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4349D" w14:textId="77777777" w:rsidR="00873943" w:rsidRDefault="00873943" w:rsidP="008739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14:paraId="4F9C9465" w14:textId="77777777" w:rsidR="00873943" w:rsidRPr="009B4489" w:rsidRDefault="00873943" w:rsidP="00873943">
      <w:pPr>
        <w:pStyle w:val="NormalWeb"/>
        <w:jc w:val="both"/>
      </w:pPr>
      <w:r w:rsidRPr="009B4489">
        <w:rPr>
          <w:noProof/>
        </w:rPr>
        <w:drawing>
          <wp:inline distT="0" distB="0" distL="0" distR="0" wp14:anchorId="21C88003" wp14:editId="23E3C297">
            <wp:extent cx="5731510" cy="3352800"/>
            <wp:effectExtent l="0" t="0" r="2540" b="0"/>
            <wp:docPr id="208693274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5B90A" w14:textId="0ACCE0BD" w:rsidR="00873943" w:rsidRPr="009B4489" w:rsidRDefault="00191A4E" w:rsidP="00873943">
      <w:pPr>
        <w:pStyle w:val="NormalWeb"/>
        <w:jc w:val="both"/>
      </w:pPr>
      <w:r>
        <w:rPr>
          <w:rStyle w:val="Strong"/>
        </w:rPr>
        <w:t xml:space="preserve"> </w:t>
      </w:r>
      <w:r w:rsidR="00873943" w:rsidRPr="009B4489">
        <w:t xml:space="preserve"> </w:t>
      </w:r>
      <w:r w:rsidR="00873943" w:rsidRPr="009B4489">
        <w:rPr>
          <w:rStyle w:val="Emphasis"/>
        </w:rPr>
        <w:t xml:space="preserve">Molecular docking visualization and binding affinity analysis of selected ligands (Ornithine D7 and </w:t>
      </w:r>
      <w:proofErr w:type="spellStart"/>
      <w:r w:rsidR="00873943" w:rsidRPr="009B4489">
        <w:rPr>
          <w:rStyle w:val="Emphasis"/>
        </w:rPr>
        <w:t>Hypotaurine</w:t>
      </w:r>
      <w:proofErr w:type="spellEnd"/>
      <w:r w:rsidR="00873943" w:rsidRPr="009B4489">
        <w:rPr>
          <w:rStyle w:val="Emphasis"/>
        </w:rPr>
        <w:t>) against ROR1 and other immune checkpoints.</w:t>
      </w:r>
      <w:r w:rsidR="00873943" w:rsidRPr="009B4489">
        <w:t xml:space="preserve"> The diagram illustrates the computational interaction of </w:t>
      </w:r>
      <w:proofErr w:type="spellStart"/>
      <w:r w:rsidR="00873943" w:rsidRPr="009B4489">
        <w:t>Hypotaurine</w:t>
      </w:r>
      <w:proofErr w:type="spellEnd"/>
      <w:r w:rsidR="00873943" w:rsidRPr="009B4489">
        <w:t xml:space="preserve"> and Ornithine D7 derived from </w:t>
      </w:r>
      <w:r w:rsidR="00873943" w:rsidRPr="009B4489">
        <w:rPr>
          <w:rStyle w:val="Emphasis"/>
        </w:rPr>
        <w:t>Curcuma zedoaria</w:t>
      </w:r>
      <w:r w:rsidR="00873943" w:rsidRPr="009B4489">
        <w:t xml:space="preserve"> and </w:t>
      </w:r>
      <w:r w:rsidR="00873943" w:rsidRPr="009B4489">
        <w:rPr>
          <w:rStyle w:val="Emphasis"/>
        </w:rPr>
        <w:t>Curcuma caesia</w:t>
      </w:r>
      <w:r w:rsidR="00873943" w:rsidRPr="009B4489">
        <w:t xml:space="preserve">, respectively, showing significant binding affinity toward ROR1 receptor tyrosine kinase. The estimated binding energies and inhibition constants indicate strong inhibitory potential, with </w:t>
      </w:r>
      <w:proofErr w:type="spellStart"/>
      <w:r w:rsidR="00873943" w:rsidRPr="009B4489">
        <w:t>Hypotaurine</w:t>
      </w:r>
      <w:proofErr w:type="spellEnd"/>
      <w:r w:rsidR="00873943" w:rsidRPr="009B4489">
        <w:t xml:space="preserve"> showing a ΔG of –14.89 kcal/mol and Ki of 413.74 </w:t>
      </w:r>
      <w:proofErr w:type="spellStart"/>
      <w:r w:rsidR="00873943" w:rsidRPr="009B4489">
        <w:t>fM</w:t>
      </w:r>
      <w:proofErr w:type="spellEnd"/>
      <w:r w:rsidR="00873943" w:rsidRPr="009B4489">
        <w:t xml:space="preserve"> .Structural visualization revealed that </w:t>
      </w:r>
      <w:proofErr w:type="spellStart"/>
      <w:r w:rsidR="00873943" w:rsidRPr="009B4489">
        <w:t>Hypotaurine</w:t>
      </w:r>
      <w:proofErr w:type="spellEnd"/>
      <w:r w:rsidR="00873943" w:rsidRPr="009B4489">
        <w:t xml:space="preserve"> occupies the active binding pocket of ROR1, forming multiple hydrogen bonds and electrostatic interactions with key amino acid residues responsible for receptor activation </w:t>
      </w:r>
      <w:r w:rsidR="00873943" w:rsidRPr="009B4489">
        <w:rPr>
          <w:b/>
          <w:bCs/>
          <w:sz w:val="22"/>
          <w:szCs w:val="22"/>
        </w:rPr>
        <w:t>Figure 3(a-b)</w:t>
      </w:r>
      <w:r w:rsidR="00873943" w:rsidRPr="009B4489">
        <w:t xml:space="preserve">. These interactions suggest that </w:t>
      </w:r>
      <w:proofErr w:type="spellStart"/>
      <w:r w:rsidR="00873943" w:rsidRPr="009B4489">
        <w:t>Hypotaurine</w:t>
      </w:r>
      <w:proofErr w:type="spellEnd"/>
      <w:r w:rsidR="00873943" w:rsidRPr="009B4489">
        <w:t xml:space="preserve"> may sterically block Wnt5a binding, thereby preventing ROR1 dimerization and suppressing downstream PI3K/AKT and MAPK </w:t>
      </w:r>
      <w:proofErr w:type="spellStart"/>
      <w:r w:rsidR="00873943" w:rsidRPr="009B4489">
        <w:t>signaling</w:t>
      </w:r>
      <w:proofErr w:type="spellEnd"/>
      <w:r w:rsidR="00873943" w:rsidRPr="009B4489">
        <w:t xml:space="preserve"> pathways associated with cancer progression.</w:t>
      </w:r>
    </w:p>
    <w:p w14:paraId="499DB380" w14:textId="77777777" w:rsidR="00873943" w:rsidRDefault="00873943" w:rsidP="008739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14:paraId="7BB7A75D" w14:textId="77777777" w:rsidR="00873943" w:rsidRDefault="00873943" w:rsidP="008739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14:paraId="2739679B" w14:textId="41FC00CE" w:rsidR="00873943" w:rsidRPr="009B4489" w:rsidRDefault="00873943" w:rsidP="008739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B4489">
        <w:rPr>
          <w:noProof/>
        </w:rPr>
        <w:lastRenderedPageBreak/>
        <w:drawing>
          <wp:inline distT="0" distB="0" distL="0" distR="0" wp14:anchorId="22EF3370" wp14:editId="4D950842">
            <wp:extent cx="4787900" cy="2349500"/>
            <wp:effectExtent l="0" t="0" r="12700" b="12700"/>
            <wp:docPr id="117083556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858F45E-07E6-6838-1BF7-FF0BE863BB6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0486BF7" w14:textId="303C4754" w:rsidR="00873943" w:rsidRPr="009B4489" w:rsidRDefault="00873943" w:rsidP="008739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IN"/>
        </w:rPr>
      </w:pPr>
      <w:r w:rsidRPr="009B4489">
        <w:rPr>
          <w:rFonts w:ascii="Times New Roman" w:eastAsia="Times New Roman" w:hAnsi="Times New Roman" w:cs="Times New Roman"/>
          <w:b/>
          <w:bCs/>
          <w:lang w:eastAsia="en-IN"/>
        </w:rPr>
        <w:t xml:space="preserve">Comparative Bar Graph of Binding Energy (ΔG): </w:t>
      </w:r>
      <w:r w:rsidRPr="009B4489">
        <w:rPr>
          <w:rFonts w:ascii="Times New Roman" w:eastAsia="Times New Roman" w:hAnsi="Times New Roman" w:cs="Times New Roman"/>
          <w:lang w:eastAsia="en-IN"/>
        </w:rPr>
        <w:t xml:space="preserve">Shows that </w:t>
      </w:r>
      <w:proofErr w:type="spellStart"/>
      <w:r w:rsidRPr="009B4489">
        <w:rPr>
          <w:rFonts w:ascii="Times New Roman" w:eastAsia="Times New Roman" w:hAnsi="Times New Roman" w:cs="Times New Roman"/>
          <w:b/>
          <w:bCs/>
          <w:lang w:eastAsia="en-IN"/>
        </w:rPr>
        <w:t>Hypotaurine</w:t>
      </w:r>
      <w:proofErr w:type="spellEnd"/>
      <w:r w:rsidRPr="009B4489">
        <w:rPr>
          <w:rFonts w:ascii="Times New Roman" w:eastAsia="Times New Roman" w:hAnsi="Times New Roman" w:cs="Times New Roman"/>
          <w:b/>
          <w:bCs/>
          <w:lang w:eastAsia="en-IN"/>
        </w:rPr>
        <w:t>–ROR1</w:t>
      </w:r>
      <w:r w:rsidRPr="009B4489">
        <w:rPr>
          <w:rFonts w:ascii="Times New Roman" w:eastAsia="Times New Roman" w:hAnsi="Times New Roman" w:cs="Times New Roman"/>
          <w:lang w:eastAsia="en-IN"/>
        </w:rPr>
        <w:t xml:space="preserve"> (–14.89 kcal/mol) has the highest binding affinity, followed closely by </w:t>
      </w:r>
      <w:r w:rsidRPr="009B4489">
        <w:rPr>
          <w:rFonts w:ascii="Times New Roman" w:eastAsia="Times New Roman" w:hAnsi="Times New Roman" w:cs="Times New Roman"/>
          <w:b/>
          <w:bCs/>
          <w:lang w:eastAsia="en-IN"/>
        </w:rPr>
        <w:t>GPER</w:t>
      </w:r>
      <w:r w:rsidRPr="009B4489">
        <w:rPr>
          <w:rFonts w:ascii="Times New Roman" w:eastAsia="Times New Roman" w:hAnsi="Times New Roman" w:cs="Times New Roman"/>
          <w:lang w:eastAsia="en-IN"/>
        </w:rPr>
        <w:t>.</w:t>
      </w:r>
    </w:p>
    <w:p w14:paraId="5562C795" w14:textId="77777777" w:rsidR="00873943" w:rsidRPr="009B4489" w:rsidRDefault="00873943" w:rsidP="008739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B4489">
        <w:rPr>
          <w:noProof/>
        </w:rPr>
        <w:drawing>
          <wp:inline distT="0" distB="0" distL="0" distR="0" wp14:anchorId="696AAB22" wp14:editId="3C342B6B">
            <wp:extent cx="5731510" cy="2880360"/>
            <wp:effectExtent l="0" t="0" r="2540" b="0"/>
            <wp:docPr id="102927288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F8BB3" w14:textId="10B07433" w:rsidR="00873943" w:rsidRPr="009B4489" w:rsidRDefault="00873943" w:rsidP="008739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en-IN"/>
        </w:rPr>
      </w:pPr>
      <w:r w:rsidRPr="009B4489">
        <w:rPr>
          <w:rFonts w:ascii="Times New Roman" w:eastAsia="Times New Roman" w:hAnsi="Times New Roman" w:cs="Times New Roman"/>
          <w:b/>
          <w:bCs/>
          <w:lang w:eastAsia="en-IN"/>
        </w:rPr>
        <w:t xml:space="preserve">Shows ΔG vs Ki Scatter Plot (log scale): </w:t>
      </w:r>
      <w:r w:rsidRPr="009B4489">
        <w:rPr>
          <w:rFonts w:ascii="Times New Roman" w:eastAsia="Times New Roman" w:hAnsi="Times New Roman" w:cs="Times New Roman"/>
          <w:lang w:eastAsia="en-IN"/>
        </w:rPr>
        <w:t xml:space="preserve">Illustrates the inverse relationship between ΔG and Ki, with </w:t>
      </w:r>
      <w:r w:rsidRPr="009B4489">
        <w:rPr>
          <w:rFonts w:ascii="Times New Roman" w:eastAsia="Times New Roman" w:hAnsi="Times New Roman" w:cs="Times New Roman"/>
          <w:b/>
          <w:bCs/>
          <w:lang w:eastAsia="en-IN"/>
        </w:rPr>
        <w:t>ROR1</w:t>
      </w:r>
      <w:r w:rsidRPr="009B4489">
        <w:rPr>
          <w:rFonts w:ascii="Times New Roman" w:eastAsia="Times New Roman" w:hAnsi="Times New Roman" w:cs="Times New Roman"/>
          <w:lang w:eastAsia="en-IN"/>
        </w:rPr>
        <w:t xml:space="preserve"> and </w:t>
      </w:r>
      <w:r w:rsidRPr="009B4489">
        <w:rPr>
          <w:rFonts w:ascii="Times New Roman" w:eastAsia="Times New Roman" w:hAnsi="Times New Roman" w:cs="Times New Roman"/>
          <w:b/>
          <w:bCs/>
          <w:lang w:eastAsia="en-IN"/>
        </w:rPr>
        <w:t>GPER</w:t>
      </w:r>
      <w:r w:rsidRPr="009B4489">
        <w:rPr>
          <w:rFonts w:ascii="Times New Roman" w:eastAsia="Times New Roman" w:hAnsi="Times New Roman" w:cs="Times New Roman"/>
          <w:lang w:eastAsia="en-IN"/>
        </w:rPr>
        <w:t xml:space="preserve"> clustering in the femtomolar range, confirming their strong interaction potential.</w:t>
      </w:r>
    </w:p>
    <w:p w14:paraId="70AB41D6" w14:textId="77777777" w:rsidR="005B238E" w:rsidRDefault="005B238E"/>
    <w:p w14:paraId="20F5BE2C" w14:textId="77777777" w:rsidR="00873943" w:rsidRDefault="00873943" w:rsidP="008739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B4489">
        <w:rPr>
          <w:noProof/>
        </w:rPr>
        <w:lastRenderedPageBreak/>
        <w:drawing>
          <wp:inline distT="0" distB="0" distL="0" distR="0" wp14:anchorId="38A332BD" wp14:editId="67DE5EF7">
            <wp:extent cx="5364480" cy="2743200"/>
            <wp:effectExtent l="0" t="0" r="7620" b="0"/>
            <wp:docPr id="14784146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B26A052-469D-7DFE-5154-52DDA0F82C1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8CC2089" w14:textId="65DC16D1" w:rsidR="00873943" w:rsidRPr="009B4489" w:rsidRDefault="00873943" w:rsidP="0087394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</w:p>
    <w:p w14:paraId="6835F385" w14:textId="77777777" w:rsidR="00873943" w:rsidRDefault="00873943" w:rsidP="008739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14:paraId="5EB74AEB" w14:textId="476449FC" w:rsidR="00873943" w:rsidRPr="009B4489" w:rsidRDefault="00873943" w:rsidP="008739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14:paraId="0E8D5D3A" w14:textId="6D771E43" w:rsidR="00873943" w:rsidRPr="009B4489" w:rsidRDefault="00191A4E" w:rsidP="008739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Style w:val="Strong"/>
          <w:rFonts w:ascii="Times New Roman" w:hAnsi="Times New Roman" w:cs="Times New Roman"/>
        </w:rPr>
        <w:t xml:space="preserve"> </w:t>
      </w:r>
    </w:p>
    <w:p w14:paraId="4E26915B" w14:textId="1691F4E8" w:rsidR="00873943" w:rsidRPr="00191A4E" w:rsidRDefault="00873943" w:rsidP="008739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B4489">
        <w:rPr>
          <w:noProof/>
        </w:rPr>
        <w:drawing>
          <wp:inline distT="0" distB="0" distL="0" distR="0" wp14:anchorId="58EE0F8F" wp14:editId="3FD7B505">
            <wp:extent cx="5664200" cy="2216150"/>
            <wp:effectExtent l="0" t="0" r="0" b="0"/>
            <wp:docPr id="149193551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021" cy="222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4489">
        <w:rPr>
          <w:rStyle w:val="Emphasis"/>
          <w:rFonts w:ascii="Times New Roman" w:hAnsi="Times New Roman" w:cs="Times New Roman"/>
        </w:rPr>
        <w:t xml:space="preserve">Correlation between binding energy (ΔG) and inhibition constant (Ki) of ligand–target complexes. </w:t>
      </w:r>
      <w:r w:rsidRPr="009B4489">
        <w:rPr>
          <w:rFonts w:ascii="Times New Roman" w:hAnsi="Times New Roman" w:cs="Times New Roman"/>
        </w:rPr>
        <w:t>A scatter plot (log-scale Ki) demonstrating the inverse relationship between ΔG and Ki. Ornithine D7–ROR1 lies in the femtomolar range, confirming high-affinity binding.</w:t>
      </w:r>
    </w:p>
    <w:p w14:paraId="286760B5" w14:textId="77777777" w:rsidR="00873943" w:rsidRDefault="00873943"/>
    <w:p w14:paraId="00B336B5" w14:textId="77777777" w:rsidR="00873943" w:rsidRPr="009B4489" w:rsidRDefault="00873943" w:rsidP="00873943">
      <w:pPr>
        <w:pStyle w:val="NormalWeb"/>
        <w:jc w:val="both"/>
      </w:pPr>
      <w:r w:rsidRPr="009B4489">
        <w:t>combination could be explored for future anticancer strategies.</w:t>
      </w:r>
    </w:p>
    <w:p w14:paraId="764663D1" w14:textId="77777777" w:rsidR="00873943" w:rsidRPr="009B4489" w:rsidRDefault="00873943" w:rsidP="00873943">
      <w:pPr>
        <w:pStyle w:val="NormalWeb"/>
        <w:jc w:val="both"/>
      </w:pPr>
      <w:r w:rsidRPr="009B4489"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3B850462" wp14:editId="227DE3B2">
            <wp:simplePos x="0" y="0"/>
            <wp:positionH relativeFrom="margin">
              <wp:align>right</wp:align>
            </wp:positionH>
            <wp:positionV relativeFrom="paragraph">
              <wp:posOffset>19050</wp:posOffset>
            </wp:positionV>
            <wp:extent cx="5410200" cy="3606800"/>
            <wp:effectExtent l="19050" t="19050" r="19050" b="12700"/>
            <wp:wrapTight wrapText="bothSides">
              <wp:wrapPolygon edited="0">
                <wp:start x="-76" y="-114"/>
                <wp:lineTo x="-76" y="21562"/>
                <wp:lineTo x="21600" y="21562"/>
                <wp:lineTo x="21600" y="-114"/>
                <wp:lineTo x="-76" y="-114"/>
              </wp:wrapPolygon>
            </wp:wrapTight>
            <wp:docPr id="71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606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ffectLst/>
                  </pic:spPr>
                </pic:pic>
              </a:graphicData>
            </a:graphic>
          </wp:anchor>
        </w:drawing>
      </w:r>
    </w:p>
    <w:p w14:paraId="05702D43" w14:textId="0C16BB6E" w:rsidR="00873943" w:rsidRPr="009B4489" w:rsidRDefault="00191A4E" w:rsidP="00873943">
      <w:pPr>
        <w:pStyle w:val="NormalWeb"/>
        <w:jc w:val="both"/>
        <w:rPr>
          <w:sz w:val="22"/>
          <w:szCs w:val="22"/>
        </w:rPr>
      </w:pPr>
      <w:r>
        <w:rPr>
          <w:rStyle w:val="Strong"/>
          <w:sz w:val="22"/>
          <w:szCs w:val="22"/>
        </w:rPr>
        <w:t xml:space="preserve"> </w:t>
      </w:r>
      <w:r w:rsidR="00873943" w:rsidRPr="009B4489">
        <w:rPr>
          <w:sz w:val="22"/>
          <w:szCs w:val="22"/>
        </w:rPr>
        <w:t xml:space="preserve"> </w:t>
      </w:r>
      <w:r w:rsidR="00873943" w:rsidRPr="009B4489">
        <w:rPr>
          <w:rStyle w:val="Emphasis"/>
          <w:rFonts w:eastAsiaTheme="majorEastAsia"/>
          <w:sz w:val="22"/>
          <w:szCs w:val="22"/>
        </w:rPr>
        <w:t xml:space="preserve">Proposed comparative mechanism of </w:t>
      </w:r>
      <w:proofErr w:type="spellStart"/>
      <w:r w:rsidR="00873943" w:rsidRPr="009B4489">
        <w:rPr>
          <w:rStyle w:val="Emphasis"/>
          <w:rFonts w:eastAsiaTheme="majorEastAsia"/>
          <w:sz w:val="22"/>
          <w:szCs w:val="22"/>
        </w:rPr>
        <w:t>Hypotaurine</w:t>
      </w:r>
      <w:proofErr w:type="spellEnd"/>
      <w:r w:rsidR="00873943" w:rsidRPr="009B4489">
        <w:rPr>
          <w:rStyle w:val="Emphasis"/>
          <w:rFonts w:eastAsiaTheme="majorEastAsia"/>
          <w:sz w:val="22"/>
          <w:szCs w:val="22"/>
        </w:rPr>
        <w:t xml:space="preserve"> and Ornithine D7 in inhibiting ROR1 </w:t>
      </w:r>
      <w:proofErr w:type="spellStart"/>
      <w:r w:rsidR="00873943" w:rsidRPr="009B4489">
        <w:rPr>
          <w:rStyle w:val="Emphasis"/>
          <w:rFonts w:eastAsiaTheme="majorEastAsia"/>
          <w:sz w:val="22"/>
          <w:szCs w:val="22"/>
        </w:rPr>
        <w:t>signaling</w:t>
      </w:r>
      <w:proofErr w:type="spellEnd"/>
      <w:r w:rsidR="00873943" w:rsidRPr="009B4489">
        <w:rPr>
          <w:rStyle w:val="Emphasis"/>
          <w:rFonts w:eastAsiaTheme="majorEastAsia"/>
          <w:sz w:val="22"/>
          <w:szCs w:val="22"/>
        </w:rPr>
        <w:t xml:space="preserve">. </w:t>
      </w:r>
    </w:p>
    <w:p w14:paraId="63041B4F" w14:textId="77777777" w:rsidR="00873943" w:rsidRPr="009B4489" w:rsidRDefault="00873943" w:rsidP="00873943">
      <w:pPr>
        <w:pStyle w:val="NormalWeb"/>
        <w:jc w:val="both"/>
      </w:pPr>
    </w:p>
    <w:p w14:paraId="2F9884A2" w14:textId="77777777" w:rsidR="00873943" w:rsidRPr="009B4489" w:rsidRDefault="00873943" w:rsidP="00873943">
      <w:pPr>
        <w:pStyle w:val="NormalWeb"/>
        <w:jc w:val="both"/>
      </w:pPr>
      <w:r w:rsidRPr="009B448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63B2CA" wp14:editId="5ECED715">
                <wp:simplePos x="0" y="0"/>
                <wp:positionH relativeFrom="column">
                  <wp:posOffset>2990850</wp:posOffset>
                </wp:positionH>
                <wp:positionV relativeFrom="paragraph">
                  <wp:posOffset>2735580</wp:posOffset>
                </wp:positionV>
                <wp:extent cx="539750" cy="342900"/>
                <wp:effectExtent l="0" t="0" r="0" b="0"/>
                <wp:wrapNone/>
                <wp:docPr id="163194162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75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37A97B" w14:textId="77777777" w:rsidR="00873943" w:rsidRPr="00C90AF9" w:rsidRDefault="00873943" w:rsidP="00873943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  <w:r w:rsidRPr="00C90AF9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63B2C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35.5pt;margin-top:215.4pt;width:42.5pt;height:2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" fillcolor="white [3201]" stroked="f" strokeweight=".5pt">
                <v:textbox>
                  <w:txbxContent>
                    <w:p w14:paraId="2037A97B" w14:textId="77777777" w:rsidR="00873943" w:rsidRPr="00C90AF9" w:rsidRDefault="00873943" w:rsidP="00873943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  <w:r w:rsidRPr="00C90AF9">
                        <w:rPr>
                          <w:rFonts w:ascii="Times New Roman" w:hAnsi="Times New Roman" w:cs="Times New Roman"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9B448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1E2974" wp14:editId="60292566">
                <wp:simplePos x="0" y="0"/>
                <wp:positionH relativeFrom="column">
                  <wp:posOffset>76200</wp:posOffset>
                </wp:positionH>
                <wp:positionV relativeFrom="paragraph">
                  <wp:posOffset>2698750</wp:posOffset>
                </wp:positionV>
                <wp:extent cx="539750" cy="342900"/>
                <wp:effectExtent l="0" t="0" r="0" b="0"/>
                <wp:wrapNone/>
                <wp:docPr id="146806772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75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C6E076" w14:textId="77777777" w:rsidR="00873943" w:rsidRPr="00C90AF9" w:rsidRDefault="00873943" w:rsidP="00873943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C90AF9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1E2974" id="_x0000_s1027" type="#_x0000_t202" style="position:absolute;left:0;text-align:left;margin-left:6pt;margin-top:212.5pt;width:42.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" fillcolor="white [3201]" stroked="f" strokeweight=".5pt">
                <v:textbox>
                  <w:txbxContent>
                    <w:p w14:paraId="11C6E076" w14:textId="77777777" w:rsidR="00873943" w:rsidRPr="00C90AF9" w:rsidRDefault="00873943" w:rsidP="00873943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C90AF9">
                        <w:rPr>
                          <w:rFonts w:ascii="Times New Roman" w:hAnsi="Times New Roman" w:cs="Times New Roman"/>
                          <w:lang w:val="en-US"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  <w:r w:rsidRPr="009B4489">
        <w:rPr>
          <w:noProof/>
        </w:rPr>
        <w:drawing>
          <wp:inline distT="0" distB="0" distL="0" distR="0" wp14:anchorId="258CA73A" wp14:editId="1FF82880">
            <wp:extent cx="2803525" cy="3078480"/>
            <wp:effectExtent l="0" t="0" r="0" b="7620"/>
            <wp:docPr id="1429216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65" t="2271" r="15654" b="210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620" cy="308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B4489">
        <w:rPr>
          <w:noProof/>
        </w:rPr>
        <w:drawing>
          <wp:inline distT="0" distB="0" distL="0" distR="0" wp14:anchorId="0E367478" wp14:editId="5A1EDB63">
            <wp:extent cx="2468245" cy="3067777"/>
            <wp:effectExtent l="0" t="0" r="8255" b="0"/>
            <wp:docPr id="39925853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22" t="3036" r="10466" b="4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563" cy="3074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251A04" w14:textId="152A0240" w:rsidR="00873943" w:rsidRPr="009B4489" w:rsidRDefault="00873943" w:rsidP="00873943">
      <w:pPr>
        <w:pStyle w:val="NormalWeb"/>
        <w:jc w:val="both"/>
        <w:rPr>
          <w:sz w:val="28"/>
          <w:szCs w:val="28"/>
        </w:rPr>
      </w:pPr>
      <w:r w:rsidRPr="009B4489">
        <w:rPr>
          <w:sz w:val="22"/>
          <w:szCs w:val="22"/>
        </w:rPr>
        <w:t xml:space="preserve"> </w:t>
      </w:r>
      <w:r w:rsidRPr="009B4489">
        <w:rPr>
          <w:i/>
          <w:iCs/>
          <w:sz w:val="22"/>
          <w:szCs w:val="22"/>
        </w:rPr>
        <w:t>Network-based prediction of biological activity was performed to identify potential molecular interactions of selected bioactive compounds from Curcuma caesia and Curcuma zedoaria</w:t>
      </w:r>
      <w:r w:rsidRPr="009B4489">
        <w:rPr>
          <w:sz w:val="22"/>
          <w:szCs w:val="22"/>
        </w:rPr>
        <w:t xml:space="preserve">. • </w:t>
      </w:r>
      <w:r w:rsidRPr="009B4489">
        <w:rPr>
          <w:b/>
          <w:bCs/>
          <w:sz w:val="22"/>
          <w:szCs w:val="22"/>
        </w:rPr>
        <w:t>Panel A</w:t>
      </w:r>
      <w:r w:rsidRPr="009B4489">
        <w:rPr>
          <w:sz w:val="22"/>
          <w:szCs w:val="22"/>
        </w:rPr>
        <w:t xml:space="preserve"> illustrates the predicted interaction profile of </w:t>
      </w:r>
      <w:proofErr w:type="spellStart"/>
      <w:r w:rsidRPr="009B4489">
        <w:rPr>
          <w:sz w:val="22"/>
          <w:szCs w:val="22"/>
        </w:rPr>
        <w:t>Hypotaurine</w:t>
      </w:r>
      <w:proofErr w:type="spellEnd"/>
      <w:r w:rsidRPr="009B4489">
        <w:rPr>
          <w:sz w:val="22"/>
          <w:szCs w:val="22"/>
        </w:rPr>
        <w:t>, showing a dominant inactive cluster (green nodes), indicating minimal biological activity. A small active cluster suggests weak interactions with cardiovascular (cardio), nephrotoxicity (</w:t>
      </w:r>
      <w:proofErr w:type="spellStart"/>
      <w:r w:rsidRPr="009B4489">
        <w:rPr>
          <w:sz w:val="22"/>
          <w:szCs w:val="22"/>
        </w:rPr>
        <w:t>nephro</w:t>
      </w:r>
      <w:proofErr w:type="spellEnd"/>
      <w:r w:rsidRPr="009B4489">
        <w:rPr>
          <w:sz w:val="22"/>
          <w:szCs w:val="22"/>
        </w:rPr>
        <w:t>), respiratory (</w:t>
      </w:r>
      <w:proofErr w:type="spellStart"/>
      <w:r w:rsidRPr="009B4489">
        <w:rPr>
          <w:sz w:val="22"/>
          <w:szCs w:val="22"/>
        </w:rPr>
        <w:t>respi</w:t>
      </w:r>
      <w:proofErr w:type="spellEnd"/>
      <w:r w:rsidRPr="009B4489">
        <w:rPr>
          <w:sz w:val="22"/>
          <w:szCs w:val="22"/>
        </w:rPr>
        <w:t>), blood-brain barrier (</w:t>
      </w:r>
      <w:proofErr w:type="spellStart"/>
      <w:r w:rsidRPr="009B4489">
        <w:rPr>
          <w:sz w:val="22"/>
          <w:szCs w:val="22"/>
        </w:rPr>
        <w:t>bbb</w:t>
      </w:r>
      <w:proofErr w:type="spellEnd"/>
      <w:r w:rsidRPr="009B4489">
        <w:rPr>
          <w:sz w:val="22"/>
          <w:szCs w:val="22"/>
        </w:rPr>
        <w:t xml:space="preserve">), and </w:t>
      </w:r>
      <w:proofErr w:type="spellStart"/>
      <w:r w:rsidRPr="009B4489">
        <w:rPr>
          <w:sz w:val="22"/>
          <w:szCs w:val="22"/>
        </w:rPr>
        <w:lastRenderedPageBreak/>
        <w:t>estrogen</w:t>
      </w:r>
      <w:proofErr w:type="spellEnd"/>
      <w:r w:rsidRPr="009B4489">
        <w:rPr>
          <w:sz w:val="22"/>
          <w:szCs w:val="22"/>
        </w:rPr>
        <w:t xml:space="preserve"> receptor (ER) pathways.• </w:t>
      </w:r>
      <w:r w:rsidRPr="009B4489">
        <w:rPr>
          <w:b/>
          <w:bCs/>
          <w:sz w:val="22"/>
          <w:szCs w:val="22"/>
        </w:rPr>
        <w:t>Panel B</w:t>
      </w:r>
      <w:r w:rsidRPr="009B4489">
        <w:rPr>
          <w:sz w:val="22"/>
          <w:szCs w:val="22"/>
        </w:rPr>
        <w:t xml:space="preserve"> presents Ornithine, which also shows mostly inactive targets, but with slight predicted activity in cardio, </w:t>
      </w:r>
      <w:proofErr w:type="spellStart"/>
      <w:r w:rsidRPr="009B4489">
        <w:rPr>
          <w:sz w:val="22"/>
          <w:szCs w:val="22"/>
        </w:rPr>
        <w:t>bbb</w:t>
      </w:r>
      <w:proofErr w:type="spellEnd"/>
      <w:r w:rsidRPr="009B4489">
        <w:rPr>
          <w:sz w:val="22"/>
          <w:szCs w:val="22"/>
        </w:rPr>
        <w:t>, respiratory (</w:t>
      </w:r>
      <w:proofErr w:type="spellStart"/>
      <w:r w:rsidRPr="009B4489">
        <w:rPr>
          <w:sz w:val="22"/>
          <w:szCs w:val="22"/>
        </w:rPr>
        <w:t>respi</w:t>
      </w:r>
      <w:proofErr w:type="spellEnd"/>
      <w:r w:rsidRPr="009B4489">
        <w:rPr>
          <w:sz w:val="22"/>
          <w:szCs w:val="22"/>
        </w:rPr>
        <w:t>), GABA receptor modulation (</w:t>
      </w:r>
      <w:proofErr w:type="spellStart"/>
      <w:r w:rsidRPr="009B4489">
        <w:rPr>
          <w:sz w:val="22"/>
          <w:szCs w:val="22"/>
        </w:rPr>
        <w:t>mie_gabar</w:t>
      </w:r>
      <w:proofErr w:type="spellEnd"/>
      <w:r w:rsidRPr="009B4489">
        <w:rPr>
          <w:sz w:val="22"/>
          <w:szCs w:val="22"/>
        </w:rPr>
        <w:t>), and mutagenicity (mutagen), indicating limited but specific biological engagement</w:t>
      </w:r>
      <w:r w:rsidRPr="009B4489">
        <w:t>.</w:t>
      </w:r>
    </w:p>
    <w:p w14:paraId="0E26C729" w14:textId="70D7F93C" w:rsidR="00873943" w:rsidRDefault="00873943">
      <w:r w:rsidRPr="009B4489">
        <w:rPr>
          <w:noProof/>
        </w:rPr>
        <w:drawing>
          <wp:anchor distT="0" distB="0" distL="114300" distR="114300" simplePos="0" relativeHeight="251664384" behindDoc="1" locked="0" layoutInCell="1" allowOverlap="1" wp14:anchorId="288174A6" wp14:editId="0DD0E8C1">
            <wp:simplePos x="0" y="0"/>
            <wp:positionH relativeFrom="margin">
              <wp:posOffset>0</wp:posOffset>
            </wp:positionH>
            <wp:positionV relativeFrom="paragraph">
              <wp:posOffset>338455</wp:posOffset>
            </wp:positionV>
            <wp:extent cx="5410200" cy="3606800"/>
            <wp:effectExtent l="19050" t="19050" r="19050" b="12700"/>
            <wp:wrapTight wrapText="bothSides">
              <wp:wrapPolygon edited="0">
                <wp:start x="-76" y="-114"/>
                <wp:lineTo x="-76" y="21562"/>
                <wp:lineTo x="21600" y="21562"/>
                <wp:lineTo x="21600" y="-114"/>
                <wp:lineTo x="-76" y="-114"/>
              </wp:wrapPolygon>
            </wp:wrapTight>
            <wp:docPr id="8113490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606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ffectLst/>
                  </pic:spPr>
                </pic:pic>
              </a:graphicData>
            </a:graphic>
          </wp:anchor>
        </w:drawing>
      </w:r>
    </w:p>
    <w:p w14:paraId="4A018D82" w14:textId="77777777" w:rsidR="00873943" w:rsidRPr="00873943" w:rsidRDefault="00873943" w:rsidP="00873943"/>
    <w:p w14:paraId="25C54C14" w14:textId="26559D0E" w:rsidR="00873943" w:rsidRPr="009B4489" w:rsidRDefault="00873943" w:rsidP="00873943">
      <w:pPr>
        <w:pStyle w:val="NormalWeb"/>
        <w:jc w:val="both"/>
        <w:rPr>
          <w:sz w:val="22"/>
          <w:szCs w:val="22"/>
        </w:rPr>
      </w:pPr>
      <w:r w:rsidRPr="009B4489">
        <w:rPr>
          <w:sz w:val="22"/>
          <w:szCs w:val="22"/>
        </w:rPr>
        <w:t xml:space="preserve"> </w:t>
      </w:r>
      <w:r w:rsidRPr="009B4489">
        <w:rPr>
          <w:rStyle w:val="Emphasis"/>
          <w:rFonts w:eastAsiaTheme="majorEastAsia"/>
          <w:sz w:val="22"/>
          <w:szCs w:val="22"/>
        </w:rPr>
        <w:t xml:space="preserve">Proposed comparative mechanism of </w:t>
      </w:r>
      <w:proofErr w:type="spellStart"/>
      <w:r w:rsidRPr="009B4489">
        <w:rPr>
          <w:rStyle w:val="Emphasis"/>
          <w:rFonts w:eastAsiaTheme="majorEastAsia"/>
          <w:sz w:val="22"/>
          <w:szCs w:val="22"/>
        </w:rPr>
        <w:t>Hypotaurine</w:t>
      </w:r>
      <w:proofErr w:type="spellEnd"/>
      <w:r w:rsidRPr="009B4489">
        <w:rPr>
          <w:rStyle w:val="Emphasis"/>
          <w:rFonts w:eastAsiaTheme="majorEastAsia"/>
          <w:sz w:val="22"/>
          <w:szCs w:val="22"/>
        </w:rPr>
        <w:t xml:space="preserve"> and Ornithine D7 in inhibiting ROR1 </w:t>
      </w:r>
      <w:proofErr w:type="spellStart"/>
      <w:r w:rsidRPr="009B4489">
        <w:rPr>
          <w:rStyle w:val="Emphasis"/>
          <w:rFonts w:eastAsiaTheme="majorEastAsia"/>
          <w:sz w:val="22"/>
          <w:szCs w:val="22"/>
        </w:rPr>
        <w:t>signaling</w:t>
      </w:r>
      <w:proofErr w:type="spellEnd"/>
      <w:r w:rsidRPr="009B4489">
        <w:rPr>
          <w:rStyle w:val="Emphasis"/>
          <w:rFonts w:eastAsiaTheme="majorEastAsia"/>
          <w:sz w:val="22"/>
          <w:szCs w:val="22"/>
        </w:rPr>
        <w:t xml:space="preserve">. </w:t>
      </w:r>
    </w:p>
    <w:p w14:paraId="33DCE972" w14:textId="77777777" w:rsidR="00873943" w:rsidRPr="00873943" w:rsidRDefault="00873943" w:rsidP="00873943"/>
    <w:p w14:paraId="0D7DF813" w14:textId="77777777" w:rsidR="00873943" w:rsidRPr="00873943" w:rsidRDefault="00873943" w:rsidP="00873943"/>
    <w:p w14:paraId="5E52515E" w14:textId="77777777" w:rsidR="00873943" w:rsidRPr="00873943" w:rsidRDefault="00873943" w:rsidP="00873943"/>
    <w:p w14:paraId="370F45A5" w14:textId="77777777" w:rsidR="00873943" w:rsidRPr="00873943" w:rsidRDefault="00873943" w:rsidP="00873943"/>
    <w:p w14:paraId="03FC6796" w14:textId="77777777" w:rsidR="00873943" w:rsidRPr="00873943" w:rsidRDefault="00873943" w:rsidP="00873943"/>
    <w:p w14:paraId="0357C2D4" w14:textId="77777777" w:rsidR="00873943" w:rsidRPr="00873943" w:rsidRDefault="00873943" w:rsidP="00873943"/>
    <w:p w14:paraId="3BBD0302" w14:textId="77777777" w:rsidR="00873943" w:rsidRPr="00873943" w:rsidRDefault="00873943" w:rsidP="00873943"/>
    <w:p w14:paraId="0FE9EF58" w14:textId="77777777" w:rsidR="00873943" w:rsidRPr="00873943" w:rsidRDefault="00873943" w:rsidP="00873943"/>
    <w:p w14:paraId="53ACBEAD" w14:textId="77777777" w:rsidR="00873943" w:rsidRPr="00873943" w:rsidRDefault="00873943" w:rsidP="00873943"/>
    <w:p w14:paraId="3703E80D" w14:textId="77777777" w:rsidR="00873943" w:rsidRPr="00873943" w:rsidRDefault="00873943" w:rsidP="00873943"/>
    <w:p w14:paraId="1B36F0EC" w14:textId="77777777" w:rsidR="00873943" w:rsidRPr="00873943" w:rsidRDefault="00873943" w:rsidP="00873943"/>
    <w:sectPr w:rsidR="00873943" w:rsidRPr="008739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943"/>
    <w:rsid w:val="00104648"/>
    <w:rsid w:val="00191A4E"/>
    <w:rsid w:val="002A53C3"/>
    <w:rsid w:val="005A153B"/>
    <w:rsid w:val="005B238E"/>
    <w:rsid w:val="007532D7"/>
    <w:rsid w:val="0077207A"/>
    <w:rsid w:val="00873943"/>
    <w:rsid w:val="00A52B1A"/>
    <w:rsid w:val="00EB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840D4"/>
  <w15:chartTrackingRefBased/>
  <w15:docId w15:val="{DED35799-64C2-43F0-9D98-A6978D3FA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94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39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39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39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39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39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39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39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39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39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39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39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39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39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39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39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39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39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39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39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39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39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39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39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39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39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39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9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9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3943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873943"/>
    <w:rPr>
      <w:i/>
      <w:iCs/>
    </w:rPr>
  </w:style>
  <w:style w:type="character" w:styleId="Strong">
    <w:name w:val="Strong"/>
    <w:basedOn w:val="DefaultParagraphFont"/>
    <w:uiPriority w:val="22"/>
    <w:qFormat/>
    <w:rsid w:val="00873943"/>
    <w:rPr>
      <w:b/>
      <w:bCs/>
    </w:rPr>
  </w:style>
  <w:style w:type="paragraph" w:styleId="NormalWeb">
    <w:name w:val="Normal (Web)"/>
    <w:basedOn w:val="Normal"/>
    <w:uiPriority w:val="99"/>
    <w:unhideWhenUsed/>
    <w:rsid w:val="008739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chart" Target="charts/chart1.xml"/><Relationship Id="rId10" Type="http://schemas.openxmlformats.org/officeDocument/2006/relationships/image" Target="media/image5.jpeg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 Comparitive Binding Energy of Ligands with Targets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1811950037285608"/>
          <c:y val="0.17680665204678367"/>
          <c:w val="0.86057177479492919"/>
          <c:h val="0.7061962719298245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Sheet1!$D$5</c:f>
              <c:strCache>
                <c:ptCount val="1"/>
                <c:pt idx="0">
                  <c:v>Estimated Free Energy of Binding   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tx2">
                  <a:lumMod val="50000"/>
                  <a:lumOff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76C4-4A6E-82FB-76C06970F76C}"/>
              </c:ext>
            </c:extLst>
          </c:dPt>
          <c:dPt>
            <c:idx val="2"/>
            <c:invertIfNegative val="0"/>
            <c:bubble3D val="0"/>
            <c:spPr>
              <a:solidFill>
                <a:srgbClr val="FAE99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76C4-4A6E-82FB-76C06970F76C}"/>
              </c:ext>
            </c:extLst>
          </c:dPt>
          <c:dPt>
            <c:idx val="3"/>
            <c:invertIfNegative val="0"/>
            <c:bubble3D val="0"/>
            <c:spPr>
              <a:solidFill>
                <a:srgbClr val="FFCC6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76C4-4A6E-82FB-76C06970F76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Sheet1!$C$6:$C$9</c:f>
              <c:strCache>
                <c:ptCount val="4"/>
                <c:pt idx="0">
                  <c:v>C5aR1</c:v>
                </c:pt>
                <c:pt idx="1">
                  <c:v>TIGIT</c:v>
                </c:pt>
                <c:pt idx="2">
                  <c:v>ROR1</c:v>
                </c:pt>
                <c:pt idx="3">
                  <c:v>GPER</c:v>
                </c:pt>
              </c:strCache>
            </c:strRef>
          </c:cat>
          <c:val>
            <c:numRef>
              <c:f>Sheet1!$D$6:$D$9</c:f>
              <c:numCache>
                <c:formatCode>General</c:formatCode>
                <c:ptCount val="4"/>
                <c:pt idx="0">
                  <c:v>-12.16</c:v>
                </c:pt>
                <c:pt idx="1">
                  <c:v>-12.99</c:v>
                </c:pt>
                <c:pt idx="2">
                  <c:v>-14.89</c:v>
                </c:pt>
                <c:pt idx="3">
                  <c:v>-13.74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6C4-4A6E-82FB-76C06970F76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56"/>
        <c:overlap val="-25"/>
        <c:axId val="1133053647"/>
        <c:axId val="1133054127"/>
      </c:barChart>
      <c:catAx>
        <c:axId val="1133053647"/>
        <c:scaling>
          <c:orientation val="minMax"/>
        </c:scaling>
        <c:delete val="0"/>
        <c:axPos val="b"/>
        <c:majorGridlines>
          <c:spPr>
            <a:ln w="0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Targets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t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33054127"/>
        <c:crosses val="autoZero"/>
        <c:auto val="0"/>
        <c:lblAlgn val="ctr"/>
        <c:lblOffset val="100"/>
        <c:tickLblSkip val="1"/>
        <c:noMultiLvlLbl val="0"/>
      </c:catAx>
      <c:valAx>
        <c:axId val="1133054127"/>
        <c:scaling>
          <c:orientation val="minMax"/>
        </c:scaling>
        <c:delete val="0"/>
        <c:axPos val="l"/>
        <c:majorGridlines>
          <c:spPr>
            <a:ln w="0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/>
                  <a:t> </a:t>
                </a:r>
                <a:r>
                  <a:rPr lang="en-IN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Binding</a:t>
                </a:r>
                <a:r>
                  <a:rPr lang="en-IN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 Energy(kcal/mol</a:t>
                </a:r>
                <a:r>
                  <a:rPr lang="en-IN" baseline="0"/>
                  <a:t>)</a:t>
                </a:r>
                <a:endParaRPr lang="en-IN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IN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33053647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 Comparitive Binding Energy of Ligands with Targets</a:t>
            </a:r>
          </a:p>
        </c:rich>
      </c:tx>
      <c:layout>
        <c:manualLayout>
          <c:xMode val="edge"/>
          <c:yMode val="edge"/>
          <c:x val="0.19922900262467194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1811950037285608"/>
          <c:y val="0.17680665204678367"/>
          <c:w val="0.86057177479492919"/>
          <c:h val="0.70619627192982459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Sheet1!$D$22</c:f>
              <c:strCache>
                <c:ptCount val="1"/>
                <c:pt idx="0">
                  <c:v>Estimated Free Energy of Binding    </c:v>
                </c:pt>
              </c:strCache>
            </c:strRef>
          </c:tx>
          <c:spPr>
            <a:solidFill>
              <a:schemeClr val="tx2">
                <a:lumMod val="50000"/>
                <a:lumOff val="50000"/>
              </a:schemeClr>
            </a:solidFill>
          </c:spPr>
          <c:invertIfNegative val="0"/>
          <c:dPt>
            <c:idx val="1"/>
            <c:invertIfNegative val="0"/>
            <c:bubble3D val="0"/>
            <c:spPr>
              <a:solidFill>
                <a:schemeClr val="tx2">
                  <a:lumMod val="75000"/>
                  <a:lumOff val="25000"/>
                </a:schemeClr>
              </a:solidFill>
              <a:ln>
                <a:solidFill>
                  <a:schemeClr val="accent1">
                    <a:lumMod val="75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1-B57A-440E-BBCB-E64EABA15D18}"/>
              </c:ext>
            </c:extLst>
          </c:dPt>
          <c:dPt>
            <c:idx val="2"/>
            <c:invertIfNegative val="0"/>
            <c:bubble3D val="0"/>
            <c:spPr>
              <a:solidFill>
                <a:srgbClr val="FAE994"/>
              </a:solidFill>
            </c:spPr>
            <c:extLst>
              <c:ext xmlns:c16="http://schemas.microsoft.com/office/drawing/2014/chart" uri="{C3380CC4-5D6E-409C-BE32-E72D297353CC}">
                <c16:uniqueId val="{00000003-B57A-440E-BBCB-E64EABA15D18}"/>
              </c:ext>
            </c:extLst>
          </c:dPt>
          <c:dPt>
            <c:idx val="3"/>
            <c:invertIfNegative val="0"/>
            <c:bubble3D val="0"/>
            <c:spPr>
              <a:solidFill>
                <a:srgbClr val="FFCC66"/>
              </a:solidFill>
            </c:spPr>
            <c:extLst>
              <c:ext xmlns:c16="http://schemas.microsoft.com/office/drawing/2014/chart" uri="{C3380CC4-5D6E-409C-BE32-E72D297353CC}">
                <c16:uniqueId val="{00000005-B57A-440E-BBCB-E64EABA15D18}"/>
              </c:ext>
            </c:extLst>
          </c:dPt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Sheet1!$C$23:$C$26</c:f>
              <c:strCache>
                <c:ptCount val="4"/>
                <c:pt idx="0">
                  <c:v>C5aR1</c:v>
                </c:pt>
                <c:pt idx="1">
                  <c:v>TIGIT</c:v>
                </c:pt>
                <c:pt idx="2">
                  <c:v>ROR1</c:v>
                </c:pt>
                <c:pt idx="3">
                  <c:v>GPER</c:v>
                </c:pt>
              </c:strCache>
            </c:strRef>
          </c:cat>
          <c:val>
            <c:numRef>
              <c:f>Sheet1!$D$23:$D$26</c:f>
              <c:numCache>
                <c:formatCode>General</c:formatCode>
                <c:ptCount val="4"/>
                <c:pt idx="0">
                  <c:v>-13.02</c:v>
                </c:pt>
                <c:pt idx="1">
                  <c:v>-13.59</c:v>
                </c:pt>
                <c:pt idx="2">
                  <c:v>-14.95</c:v>
                </c:pt>
                <c:pt idx="3">
                  <c:v>-14.03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B57A-440E-BBCB-E64EABA15D1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56"/>
        <c:overlap val="-25"/>
        <c:axId val="1133053647"/>
        <c:axId val="1133054127"/>
      </c:barChart>
      <c:catAx>
        <c:axId val="1133053647"/>
        <c:scaling>
          <c:orientation val="minMax"/>
        </c:scaling>
        <c:delete val="0"/>
        <c:axPos val="b"/>
        <c:majorGridlines>
          <c:spPr>
            <a:ln w="0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Targets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t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33054127"/>
        <c:crosses val="autoZero"/>
        <c:auto val="0"/>
        <c:lblAlgn val="ctr"/>
        <c:lblOffset val="100"/>
        <c:tickLblSkip val="1"/>
        <c:noMultiLvlLbl val="0"/>
      </c:catAx>
      <c:valAx>
        <c:axId val="1133054127"/>
        <c:scaling>
          <c:orientation val="minMax"/>
        </c:scaling>
        <c:delete val="0"/>
        <c:axPos val="l"/>
        <c:majorGridlines>
          <c:spPr>
            <a:ln w="0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/>
                  <a:t> </a:t>
                </a:r>
                <a:r>
                  <a:rPr lang="en-IN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Binding</a:t>
                </a:r>
                <a:r>
                  <a:rPr lang="en-IN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 Energy(kcal/mol</a:t>
                </a:r>
                <a:r>
                  <a:rPr lang="en-IN" baseline="0"/>
                  <a:t>)</a:t>
                </a:r>
                <a:endParaRPr lang="en-IN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33053647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gopinathtvl2004@gmail.com</dc:creator>
  <cp:keywords/>
  <dc:description/>
  <cp:lastModifiedBy>CAPTAIN BAVIN</cp:lastModifiedBy>
  <cp:revision>2</cp:revision>
  <dcterms:created xsi:type="dcterms:W3CDTF">2026-06-29T10:36:00Z</dcterms:created>
  <dcterms:modified xsi:type="dcterms:W3CDTF">2026-08-23T09:08:00Z</dcterms:modified>
</cp:coreProperties>
</file>