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4034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7996AA76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2065838"/>
      <w:r>
        <w:rPr>
          <w:rFonts w:ascii="Times New Roman" w:hAnsi="Times New Roman" w:cs="Times New Roman"/>
          <w:b/>
          <w:bCs/>
          <w:sz w:val="28"/>
          <w:szCs w:val="28"/>
        </w:rPr>
        <w:t>Utilization of a Zirconium-Based Porous Metal-Organic Framework (PCN-224) for Enhanced Electrochemiluminescence of Porphyrin via Suppression of Aggregation-Caused Quenching</w:t>
      </w:r>
    </w:p>
    <w:p w14:paraId="24166EC0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BA37539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18D4CB6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Zhengyi Zhao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>, Yige Li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 xml:space="preserve">,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Tiantian Ji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>, Haoyi Ren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>, Mingzhe Jiang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>, Yu Qi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1*</w:t>
      </w:r>
      <w:r>
        <w:rPr>
          <w:rFonts w:hint="eastAsia" w:ascii="Times New Roman" w:hAnsi="Times New Roman" w:cs="Times New Roman"/>
          <w:sz w:val="28"/>
          <w:szCs w:val="28"/>
        </w:rPr>
        <w:t>, Chenglin Hong</w:t>
      </w:r>
      <w:r>
        <w:rPr>
          <w:rFonts w:hint="eastAsia" w:ascii="Times New Roman" w:hAnsi="Times New Roman" w:cs="Times New Roman"/>
          <w:sz w:val="28"/>
          <w:szCs w:val="28"/>
          <w:vertAlign w:val="superscript"/>
        </w:rPr>
        <w:t>1*</w:t>
      </w:r>
    </w:p>
    <w:p w14:paraId="368BCAAB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</w:p>
    <w:p w14:paraId="2BEAC7F5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905C09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School of Chemistry and Chemical Engineering/State Key Laboratory Incubation Base for Green Processing of Chemical Engineering, Shihezi University, Shihezi 832003, PR China.</w:t>
      </w:r>
    </w:p>
    <w:p w14:paraId="1CB96E3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10C61145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30EFEA0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19913D0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vertAlign w:val="superscript"/>
        </w:rPr>
        <w:t>*</w:t>
      </w:r>
      <w:r>
        <w:rPr>
          <w:rFonts w:ascii="Times New Roman" w:hAnsi="Times New Roman" w:cs="Times New Roman"/>
          <w:b/>
          <w:bCs/>
          <w:sz w:val="24"/>
        </w:rPr>
        <w:t>Corresponding Author: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Yu Qi,</w:t>
      </w:r>
      <w:r>
        <w:rPr>
          <w:rFonts w:ascii="Times New Roman" w:hAnsi="Times New Roman" w:cs="Times New Roman"/>
          <w:sz w:val="24"/>
        </w:rPr>
        <w:t xml:space="preserve"> Chenglin Hong</w:t>
      </w:r>
    </w:p>
    <w:p w14:paraId="73DE77B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hcl_tea@shzu.edu.cn     </w:t>
      </w:r>
      <w:r>
        <w:rPr>
          <w:rFonts w:hint="eastAsia"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hone</w:t>
      </w:r>
      <w:r>
        <w:rPr>
          <w:rFonts w:hint="eastAsia"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86+18097586568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(CN)</w:t>
      </w:r>
    </w:p>
    <w:p w14:paraId="38A3FA0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</w:rPr>
        <w:t>E-mail: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fldChar w:fldCharType="begin"/>
      </w:r>
      <w:r>
        <w:instrText xml:space="preserve"> HYPERLINK "mailto:qiyu@shzu.edu.cn" </w:instrText>
      </w:r>
      <w:r>
        <w:fldChar w:fldCharType="separate"/>
      </w:r>
      <w:r>
        <w:rPr>
          <w:rStyle w:val="19"/>
          <w:rFonts w:ascii="Times New Roman" w:hAnsi="Times New Roman" w:cs="Times New Roman"/>
          <w:color w:val="auto"/>
          <w:sz w:val="24"/>
          <w:u w:val="none"/>
        </w:rPr>
        <w:t>qiyu@shzu.edu.cn</w:t>
      </w:r>
      <w:r>
        <w:rPr>
          <w:rStyle w:val="19"/>
          <w:rFonts w:ascii="Times New Roman" w:hAnsi="Times New Roman" w:cs="Times New Roman"/>
          <w:color w:val="auto"/>
          <w:sz w:val="24"/>
          <w:u w:val="none"/>
        </w:rPr>
        <w:fldChar w:fldCharType="end"/>
      </w:r>
      <w:r>
        <w:rPr>
          <w:rFonts w:hint="eastAsia" w:ascii="Times New Roman" w:hAnsi="Times New Roman" w:cs="Times New Roman"/>
          <w:sz w:val="24"/>
        </w:rPr>
        <w:t xml:space="preserve">       P</w:t>
      </w:r>
      <w:r>
        <w:rPr>
          <w:rFonts w:ascii="Times New Roman" w:hAnsi="Times New Roman" w:cs="Times New Roman"/>
          <w:sz w:val="24"/>
        </w:rPr>
        <w:t>hone</w:t>
      </w:r>
      <w:r>
        <w:rPr>
          <w:rFonts w:hint="eastAsia" w:ascii="Times New Roman" w:hAnsi="Times New Roman" w:cs="Times New Roman"/>
          <w:sz w:val="24"/>
        </w:rPr>
        <w:t>:86+13565555922 (CN)</w:t>
      </w:r>
    </w:p>
    <w:p w14:paraId="163F5D2A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1. Chemicals and Reagents</w:t>
      </w:r>
    </w:p>
    <w:p w14:paraId="577F5D6E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5,10,15,20-Tetrakis(4-carboxyphenyl)porphyrin (TCPP) was purchased from Adamas. Zirconyl chloride octahydrate (ZrOCl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·8H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O), benzoic acid, cerium(IV) oxide (CeO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), potassium persulfate (K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S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hint="eastAsia" w:ascii="Times New Roman" w:hAnsi="Times New Roman" w:cs="Times New Roman"/>
          <w:vertAlign w:val="subscript"/>
        </w:rPr>
        <w:t>8</w:t>
      </w:r>
      <w:r>
        <w:rPr>
          <w:rFonts w:ascii="Times New Roman" w:hAnsi="Times New Roman" w:cs="Times New Roman"/>
        </w:rPr>
        <w:t>), N,N-dimethylformamide (DMF), tris(hydroxymethyl)aminomethane (Tris), dopamine hydrochloride, 1-(3-dimethylaminopropyl)-3-ethylcarbodiimide hydrochloride (EDC), N-hydroxysuccinimide (NHS), chloroauric acid tetrahydrate (HAuCl</w:t>
      </w:r>
      <w:r>
        <w:rPr>
          <w:rFonts w:hint="eastAsia"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·4H</w:t>
      </w:r>
      <w:r>
        <w:rPr>
          <w:rFonts w:hint="eastAsia"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O), potassium dihydrogen phosphate dihydrate (KH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PO</w:t>
      </w:r>
      <w:r>
        <w:rPr>
          <w:rFonts w:hint="eastAsia"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·2H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O), dipotassium hydrogen phosphate (K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HPO</w:t>
      </w:r>
      <w:r>
        <w:rPr>
          <w:rFonts w:hint="eastAsia"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), potassium chloride (KCl), and aluminum oxide (Al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) were all obtained from Macklin. Bovine serum albumin (BSA) was sourced from Alfa Aesar. Alpha-fetoprotein (AFP) antigen and its corresponding antibody were procured from Zhengzhou Biocell Co., Ltd.</w:t>
      </w:r>
    </w:p>
    <w:p w14:paraId="05C7BEE7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2. Apparatus</w:t>
      </w:r>
    </w:p>
    <w:p w14:paraId="63088435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instruments were used in this study: a KQ-250B ultrasonic cleaner; an RG-160AT centrifuge (Human, China); a Horiba SZ-100 nanoparticle size and Zeta potential analyzer; high-resolution transmission electron microscopy (HRTEM); a JEOL JSM-6700F scanning electron microscope (SEM, Hitachi); an H-600 transmission electron microscope (TEM); an IR-solution Fourier transform infrared (FT-IR) spectrometer; a Thermo Scientific K-Alpha+ X-ray photoelectron spectrometer (XPS); photoluminescence (PL) spectrometers (F-4700 FL and FLS-1000) for recording emission spectra; and a Shimadzu UV-3600i Plus spectrophotometer for acquiring ultraviolet-visible (UV-Vis) absorption spectra.</w:t>
      </w:r>
    </w:p>
    <w:p w14:paraId="6492D43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  <w:b/>
          <w:bCs/>
        </w:rPr>
        <w:t>Synthesis of Au@PCN-224 Nanoparticles</w:t>
      </w:r>
    </w:p>
    <w:p w14:paraId="6FE32F45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Au@PCN-224 nanoparticles were </w:t>
      </w:r>
      <w:r>
        <w:rPr>
          <w:rFonts w:hint="eastAsia" w:ascii="Times New Roman" w:hAnsi="Times New Roman" w:cs="Times New Roman"/>
        </w:rPr>
        <w:t>prepared with minor adaptations based on a previously documented protocol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ZOTERO_ITEM CSL_CITATION {"citationID":"obLzNJe1","properties":{"formattedCitation":"\\super 1\\nosupersub{}","plainCitation":"1","noteIndex":0},"citationItems":[{"id":70,"uris":["http://zotero.org/users/local/afNCKS36/items/CX74WTMD"],"itemData":{"id":70,"type":"article-journal","container-title":"Chinese Chemical Letters","DOI":"10.1016/j.cclet.2022.05.016","issue":"3","page":"107502","source":"COinS","title":"Colorimetric-assisted photoelectrochemical sensing for dual-model detection of sialic acid via oxidation-power mediator integration","volume":"34","author":[{"family":"Cheng","given":"Yuanyuan"},{"family":"Kong","given":"Rong-Mei"},{"family":"Hu","given":"Wenao"},{"family":"Tian","given":"Xiaoxia"},{"family":"Zhang","given":"Lingdong"},{"family":"Xia","given":"Lian"},{"family":"Qu","given":"Fengli"}],"issued":{"date-parts":[["2023"]]}}}],"schema":"https://github.com/citation-style-language/schema/raw/master/csl-citation.json"}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kern w:val="0"/>
          <w:vertAlign w:val="superscript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Briefly, 0.5 mg of the as-synthesized PCN-224 powder was dispersed in 1 mL of deionized water under sonication to form a homogeneous suspension. Subsequently, 2 mL of the gold nanoparticle solution was added to the suspension, and the mixture was stirred continuously at </w:t>
      </w:r>
      <w:r>
        <w:rPr>
          <w:rFonts w:hint="eastAsia" w:ascii="Times New Roman" w:hAnsi="Times New Roman" w:cs="Times New Roman"/>
        </w:rPr>
        <w:t>RT</w:t>
      </w:r>
      <w:r>
        <w:rPr>
          <w:rFonts w:ascii="Times New Roman" w:hAnsi="Times New Roman" w:cs="Times New Roman"/>
        </w:rPr>
        <w:t xml:space="preserve"> for 6 h to facilitate the effective conjugation of Au NPs onto the PCN-224 framework.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Following the reaction, the product was collected and washed three times with deionized water to remove any unbound Au NPs. The final Au@PCN-224 nanocomposite was thus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obtained by drying the purified product in an vacuum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oven at 60°C for 10 h and was subsequently used for further characterization and analysis.</w:t>
      </w:r>
    </w:p>
    <w:p w14:paraId="7999513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4. Synthesis of CeO</w:t>
      </w:r>
      <w:r>
        <w:rPr>
          <w:rFonts w:hint="eastAsia" w:ascii="Times New Roman" w:hAnsi="Times New Roman" w:cs="Times New Roman"/>
          <w:b/>
          <w:bCs/>
          <w:vertAlign w:val="subscript"/>
        </w:rPr>
        <w:t>2</w:t>
      </w:r>
      <w:r>
        <w:rPr>
          <w:rFonts w:ascii="Times New Roman" w:hAnsi="Times New Roman" w:cs="Times New Roman"/>
          <w:b/>
          <w:bCs/>
        </w:rPr>
        <w:t>@PDA Nanomaterial</w:t>
      </w:r>
    </w:p>
    <w:p w14:paraId="09CE9603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@PDA nanomaterial was synthesized as follows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ZOTERO_ITEM CSL_CITATION {"citationID":"AMS8Z43Y","properties":{"formattedCitation":"\\super 2\\nosupersub{}","plainCitation":"2","noteIndex":0},"citationItems":[{"id":75,"uris":["http://zotero.org/users/local/afNCKS36/items/WEP33EHG"],"itemData":{"id":75,"type":"article-journal","container-title":"Journal of Electroanalytical Chemistry","DOI":"10.1016/j.jelechem.2020.113970","ISSN":"15726657","journalAbbreviation":"Journal of Electroanalytical Chemistry","language":"en","page":"113970","source":"DOI.org (Crossref)","title":"Electrochemiluminescence behaviour of m-CNNS quenched by CeO2@PDA composites for sensitive detection of BNP","volume":"862","author":[{"family":"Ali","given":"Asghar"},{"family":"Xing","given":"Bin"},{"family":"Khan","given":"Malik Saddam"},{"family":"Ma","given":"Ning"},{"family":"Manzoor","given":"Romana"},{"family":"Wu","given":"Dan"},{"family":"Wei","given":"Qin"}],"issued":{"date-parts":[["2020",4]]}}}],"schema":"https://github.com/citation-style-language/schema/raw/master/csl-citation.json"}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kern w:val="0"/>
          <w:vertAlign w:val="superscript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: 0.0743 g of dopamine hydrochloride was first dispersed in a 10 mM Tris-HCl solution </w:t>
      </w:r>
      <w:r>
        <w:rPr>
          <w:rFonts w:hint="eastAsia"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 xml:space="preserve"> ultrasonication to achieve a homogeneous mixture, and the pH of the system was subsequently adjusted to 8.5. Then, 0.05 g of 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powder was added to the solution, and the mixture was stirred continuously at</w:t>
      </w:r>
      <w:r>
        <w:rPr>
          <w:rFonts w:hint="eastAsia" w:ascii="Times New Roman" w:hAnsi="Times New Roman" w:cs="Times New Roman"/>
        </w:rPr>
        <w:t xml:space="preserve"> RT</w:t>
      </w:r>
      <w:r>
        <w:rPr>
          <w:rFonts w:ascii="Times New Roman" w:hAnsi="Times New Roman" w:cs="Times New Roman"/>
        </w:rPr>
        <w:t xml:space="preserve"> for 8 h to allow the polymerization of dopamine on the surface of 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, forming a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PDA coating.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After the reaction, the product was washed three times with distilled water to remove unreacted dopamine hydrochloride. Finally, the obtained 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@PDA was dried in an vacuum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oven at 60 °C for 8 h, and the resulting powder was used for subsequent characterization and analysis.</w:t>
      </w:r>
    </w:p>
    <w:p w14:paraId="24D527A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5. </w:t>
      </w:r>
      <w:r>
        <w:rPr>
          <w:rFonts w:ascii="Times New Roman" w:hAnsi="Times New Roman" w:cs="Times New Roman"/>
          <w:b/>
          <w:bCs/>
        </w:rPr>
        <w:t>Preparation of CeO</w:t>
      </w:r>
      <w:r>
        <w:rPr>
          <w:rFonts w:hint="eastAsia" w:ascii="Times New Roman" w:hAnsi="Times New Roman" w:cs="Times New Roman"/>
          <w:b/>
          <w:bCs/>
          <w:vertAlign w:val="subscript"/>
        </w:rPr>
        <w:t>2</w:t>
      </w:r>
      <w:r>
        <w:rPr>
          <w:rFonts w:ascii="Times New Roman" w:hAnsi="Times New Roman" w:cs="Times New Roman"/>
          <w:b/>
          <w:bCs/>
        </w:rPr>
        <w:t>@PDA-Ab</w:t>
      </w:r>
      <w:r>
        <w:rPr>
          <w:rFonts w:hint="eastAsia" w:ascii="Times New Roman" w:hAnsi="Times New Roman" w:cs="Times New Roman"/>
          <w:b/>
          <w:bCs/>
          <w:vertAlign w:val="subscript"/>
        </w:rPr>
        <w:t>2</w:t>
      </w:r>
      <w:r>
        <w:rPr>
          <w:rFonts w:ascii="Times New Roman" w:hAnsi="Times New Roman" w:cs="Times New Roman"/>
          <w:b/>
          <w:bCs/>
        </w:rPr>
        <w:t xml:space="preserve"> Probe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A volume of 400 μL of 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@PDA (1 mg·mL⁻¹) was mixed with 20 μL of 1-(3-dimethylaminopropyl)-3-ethylcarbodiimide hydrochloride (EDC, 0.1 mol/L) and 80 μL of N-hydroxysuccinimide (NHS, 0.1 mol/L), followed by stirring at 37 °C for 30 minutes. Then, 400 μL of detection antibody (Ab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) was added to the solution and stirred at 4 °C for 10 hours. Subsequently, 240 μL of bovine serum albumin (BSA) was introduced, and the mixture was stirred for an additional 2 hours. Finally, the product was collected by freeze centrifugation, washed once, and redispersed in 500 μL of PBS (pH 7.5)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ZOTERO_ITEM CSL_CITATION {"citationID":"uBz9KyAv","properties":{"formattedCitation":"\\super 3\\nosupersub{}","plainCitation":"3","noteIndex":0},"citationItems":[{"id":76,"uris":["http://zotero.org/users/local/afNCKS36/items/YHFJ7P4K"],"itemData":{"id":76,"type":"article-journal","container-title":"Biosensors and Bioelectronics","DOI":"10.1016/j.bios.2019.111915","page":"111915","source":"COinS","title":"Sensitive immunosensor based on high effective resonance energy transfer of lucigenin to the cathodic electrochemiluminescence of tris(bipyridine) Ru(II) complex.","volume":"150","author":[{"family":"Wang","given":"Haijun"},{"family":"Liao","given":"Linli"},{"family":"Chai","given":"Yaqin"},{"family":"Yuan","given":"Ruo"}],"issued":{"date-parts":[["2020"]]}}}],"schema":"https://github.com/citation-style-language/schema/raw/master/csl-citation.json"}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kern w:val="0"/>
          <w:vertAlign w:val="superscript"/>
        </w:rPr>
        <w:t>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555DA68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Immunosensor Fabrication Procedure</w:t>
      </w:r>
    </w:p>
    <w:p w14:paraId="04C9DCFD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glassy carbon electrode (GCE) was first pre-treated by sequentially polishing its surface with 0.3 μm and 0.05 μm aluminum oxide (Al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) slurries on a microcloth, progressing from coarse to fine polishing to achieve a mirror-like finish. The polished electrode was then ultrasonically cleaned in ultrapure water and absolute ethanol, respectively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sequentially (5–10 min for each step), to remove residual Al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  <w:r>
        <w:rPr>
          <w:rFonts w:hint="eastAsia"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particles and other impurities. Finally, the electrode was gently dried with a stream of high-purity nitrogen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gas and stored for subsequent use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ZOTERO_ITEM CSL_CITATION {"citationID":"Yu1uiC9y","properties":{"formattedCitation":"\\super 4\\nosupersub{}","plainCitation":"4","noteIndex":0},"citationItems":[{"id":78,"uris":["http://zotero.org/users/local/afNCKS36/items/UR92TLQF"],"itemData":{"id":78,"type":"article-journal","container-title":"Analytica Chimica Acta","DOI":"10.1016/j.aca.2019.07.010","page":"65-71","source":"COinS","title":"High-sensitive electrochemiluminescent analysis based on co-reactive high-molecular polymer and dual catalysis to generate oxygen in situ","volume":"1081","author":[{"family":"Wang","given":"Haijun"},{"family":"Song","given":"Yuhang"},{"family":"Chai","given":"Yaqin"},{"family":"Yuan","given":"Ruo"}],"issued":{"date-parts":[["2019"]]}}}],"schema":"https://github.com/citation-style-language/schema/raw/master/csl-citation.json"}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kern w:val="0"/>
          <w:vertAlign w:val="superscript"/>
        </w:rPr>
        <w:t>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4F2F90E1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volume of 8 μL of the Au@PCN-224 suspension was drop-coated onto the pre-treated GCE surface and allowed to dry under ambient conditions (or incubated at 37 °C for 10 min to accelerate solvent evaporation). After complete drying, 12 μL of the capture antibody (Ab</w:t>
      </w:r>
      <w:r>
        <w:rPr>
          <w:rFonts w:hint="eastAsia"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) solution was applied onto the modified electrode, followed by incubation at 4 °C for 12 h (or at </w:t>
      </w:r>
      <w:r>
        <w:rPr>
          <w:rFonts w:hint="eastAsia" w:ascii="Times New Roman" w:hAnsi="Times New Roman" w:cs="Times New Roman"/>
        </w:rPr>
        <w:t>RT</w:t>
      </w:r>
      <w:r>
        <w:rPr>
          <w:rFonts w:ascii="Times New Roman" w:hAnsi="Times New Roman" w:cs="Times New Roman"/>
        </w:rPr>
        <w:t xml:space="preserve"> for 2 h) to facilitate efficient immobilization. The electrode was then treated with 8 μL of bovine serum albumin (BSA) solution and incubated at </w:t>
      </w:r>
      <w:r>
        <w:rPr>
          <w:rFonts w:hint="eastAsia" w:ascii="Times New Roman" w:hAnsi="Times New Roman" w:cs="Times New Roman"/>
        </w:rPr>
        <w:t>RT</w:t>
      </w:r>
      <w:r>
        <w:rPr>
          <w:rFonts w:ascii="Times New Roman" w:hAnsi="Times New Roman" w:cs="Times New Roman"/>
        </w:rPr>
        <w:t xml:space="preserve"> for 30 min to block non-specific binding sites.</w:t>
      </w:r>
    </w:p>
    <w:p w14:paraId="1EBA6EF4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Subsequently, 12 μL of AFP standard solutions at varying concentrations were introduced onto the electrode surface and incubated at 37 °C for 30 min to allow specific immunoreaction between AFP and the immobilized Ab₁. After incubation, the electrode was rinsed gently three times with ultrapure water to remove unbound antigens and impurities. Finally, 12 μL of the as-prepared CeO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@PDA-Ab</w:t>
      </w:r>
      <w:r>
        <w:rPr>
          <w:rFonts w:hint="eastAsia"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conjugate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solution was applied, and the electrode was further incubated at 37 °C for 1 h to complete the assembly of the immunosensor. The fabricated immunosensor was stored sealed at 4 °C prior to subsequent electrochemical and ECL measurements.</w:t>
      </w:r>
    </w:p>
    <w:p w14:paraId="6124D901">
      <w:pPr>
        <w:spacing w:line="480" w:lineRule="auto"/>
        <w:ind w:firstLine="440" w:firstLineChars="200"/>
        <w:jc w:val="both"/>
        <w:rPr>
          <w:rFonts w:ascii="Times New Roman" w:hAnsi="Times New Roman" w:cs="Times New Roman"/>
        </w:rPr>
      </w:pPr>
    </w:p>
    <w:p w14:paraId="286C5905">
      <w:pPr>
        <w:spacing w:line="480" w:lineRule="auto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4390390" cy="3589655"/>
            <wp:effectExtent l="0" t="0" r="0" b="0"/>
            <wp:docPr id="15385760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7609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6" t="8667" r="12232" b="2397"/>
                    <a:stretch>
                      <a:fillRect/>
                    </a:stretch>
                  </pic:blipFill>
                  <pic:spPr>
                    <a:xfrm>
                      <a:off x="0" y="0"/>
                      <a:ext cx="4392021" cy="3591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C5CE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 S1</w:t>
      </w:r>
      <w:r>
        <w:rPr>
          <w:rFonts w:ascii="Times New Roman" w:hAnsi="Times New Roman" w:cs="Times New Roman"/>
          <w:sz w:val="24"/>
        </w:rPr>
        <w:t>. storage stability of the ECL biosensor</w:t>
      </w:r>
      <w:r>
        <w:rPr>
          <w:rFonts w:hint="eastAsia" w:ascii="Times New Roman" w:hAnsi="Times New Roman" w:cs="Times New Roman"/>
          <w:sz w:val="24"/>
        </w:rPr>
        <w:t>.</w:t>
      </w:r>
    </w:p>
    <w:p w14:paraId="0A4F1D4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5254D01">
      <w:pPr>
        <w:spacing w:line="480" w:lineRule="auto"/>
        <w:rPr>
          <w:rFonts w:ascii="Times New Roman" w:hAnsi="Times New Roman" w:cs="Times New Roman"/>
          <w:sz w:val="24"/>
        </w:rPr>
      </w:pPr>
    </w:p>
    <w:p w14:paraId="60AC42AA">
      <w:pPr>
        <w:spacing w:line="480" w:lineRule="auto"/>
        <w:rPr>
          <w:rFonts w:ascii="Times New Roman" w:hAnsi="Times New Roman" w:cs="Times New Roman"/>
          <w:sz w:val="24"/>
        </w:rPr>
      </w:pPr>
    </w:p>
    <w:p w14:paraId="563BD5D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REFERENCES</w:t>
      </w:r>
    </w:p>
    <w:p w14:paraId="631F6CC7">
      <w:pPr>
        <w:pStyle w:val="40"/>
        <w:rPr>
          <w:rFonts w:ascii="Times New Roman" w:hAnsi="Times New Roman" w:cs="Times New Roman"/>
          <w:sz w:val="24"/>
        </w:rPr>
      </w:pPr>
      <w:r>
        <w:fldChar w:fldCharType="begin"/>
      </w:r>
      <w:r>
        <w:rPr>
          <w:rFonts w:hint="eastAsia"/>
        </w:rPr>
        <w:instrText xml:space="preserve"> ADDIN ZOTERO_BIBL {"uncited":[],"omitted":[],"custom":[]} CSL_BIBLIOGRAPHY </w:instrText>
      </w:r>
      <w:r>
        <w:fldChar w:fldCharType="separate"/>
      </w:r>
      <w:r>
        <w:rPr>
          <w:rFonts w:ascii="Times New Roman" w:hAnsi="Times New Roman" w:cs="Times New Roman"/>
          <w:sz w:val="24"/>
        </w:rPr>
        <w:t>(1)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Cheng, Y.; Kong, R.-M.; Hu, W.; Tian, X.; Zhang, L.; Xia, L.; Qu, F. Colorimetric-Assisted Photoelectrochemical Sensing for Dual-Model Detection of Sialic Acid via Oxidation-Power Mediator Integration. </w:t>
      </w:r>
      <w:r>
        <w:rPr>
          <w:rFonts w:ascii="Times New Roman" w:hAnsi="Times New Roman" w:cs="Times New Roman"/>
          <w:i/>
          <w:iCs/>
          <w:sz w:val="24"/>
        </w:rPr>
        <w:t>Chinese Chemical Letters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2023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34</w:t>
      </w:r>
      <w:r>
        <w:rPr>
          <w:rFonts w:ascii="Times New Roman" w:hAnsi="Times New Roman" w:cs="Times New Roman"/>
          <w:sz w:val="24"/>
        </w:rPr>
        <w:t xml:space="preserve"> (3), 107502. https://doi.org/10.1016/j.cclet.2022.05.016.</w:t>
      </w:r>
    </w:p>
    <w:p w14:paraId="479D06A1">
      <w:pPr>
        <w:pStyle w:val="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(2)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Ali, A.; Xing, B.; Khan, M. S.; Ma, N.; Manzoor, R.; Wu, D.; Wei, Q. Electrochemiluminescence Behaviour of M-CNNS Quenched by CeO2@PDA Composites for Sensitive Detection of BNP. </w:t>
      </w:r>
      <w:r>
        <w:rPr>
          <w:rFonts w:ascii="Times New Roman" w:hAnsi="Times New Roman" w:cs="Times New Roman"/>
          <w:i/>
          <w:iCs/>
          <w:sz w:val="24"/>
        </w:rPr>
        <w:t>Journal of Electroanalytical Chemistry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2020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862</w:t>
      </w:r>
      <w:r>
        <w:rPr>
          <w:rFonts w:ascii="Times New Roman" w:hAnsi="Times New Roman" w:cs="Times New Roman"/>
          <w:sz w:val="24"/>
        </w:rPr>
        <w:t>, 113970. https://doi.org/10.1016/j.jelechem.2020.113970.</w:t>
      </w:r>
    </w:p>
    <w:p w14:paraId="6E141D63">
      <w:pPr>
        <w:pStyle w:val="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Wang, H.; Liao, L.; Chai, Y.; Yuan, R. Sensitive Immunosensor Based on High Effective Resonance Energy Transfer of Lucigenin to the Cathodic Electrochemiluminescence of Tris(Bipyridine) Ru(II) Complex. </w:t>
      </w:r>
      <w:r>
        <w:rPr>
          <w:rFonts w:ascii="Times New Roman" w:hAnsi="Times New Roman" w:cs="Times New Roman"/>
          <w:i/>
          <w:iCs/>
          <w:sz w:val="24"/>
        </w:rPr>
        <w:t>Biosensors and Bioelectronics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2020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150</w:t>
      </w:r>
      <w:r>
        <w:rPr>
          <w:rFonts w:ascii="Times New Roman" w:hAnsi="Times New Roman" w:cs="Times New Roman"/>
          <w:sz w:val="24"/>
        </w:rPr>
        <w:t>, 111915. https://doi.org/10.1016/j.bios.2019.111915.</w:t>
      </w:r>
    </w:p>
    <w:p w14:paraId="14B84312">
      <w:pPr>
        <w:pStyle w:val="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(4)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Wang, H.; Song, Y.; Chai, Y.; Yuan, R. High-Sensitive Electrochemiluminescent Analysis Based on Co-Reactive High-Molecular Polymer and Dual Catalysis to Generate Oxygen in Situ. </w:t>
      </w:r>
      <w:r>
        <w:rPr>
          <w:rFonts w:ascii="Times New Roman" w:hAnsi="Times New Roman" w:cs="Times New Roman"/>
          <w:i/>
          <w:iCs/>
          <w:sz w:val="24"/>
        </w:rPr>
        <w:t>Analytica Chimica Acta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2019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1081</w:t>
      </w:r>
      <w:r>
        <w:rPr>
          <w:rFonts w:ascii="Times New Roman" w:hAnsi="Times New Roman" w:cs="Times New Roman"/>
          <w:sz w:val="24"/>
        </w:rPr>
        <w:t>, 65–71. https://doi.org/10.1016/j.aca.2019.07.010.</w:t>
      </w:r>
    </w:p>
    <w:p w14:paraId="01FC44B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8A"/>
    <w:rsid w:val="000175E7"/>
    <w:rsid w:val="00021CBD"/>
    <w:rsid w:val="000A35A5"/>
    <w:rsid w:val="000B0ABE"/>
    <w:rsid w:val="000E278E"/>
    <w:rsid w:val="001A2DE6"/>
    <w:rsid w:val="0020708A"/>
    <w:rsid w:val="00250D71"/>
    <w:rsid w:val="002D4E71"/>
    <w:rsid w:val="002E7239"/>
    <w:rsid w:val="00344B30"/>
    <w:rsid w:val="004E700D"/>
    <w:rsid w:val="00504E13"/>
    <w:rsid w:val="00554DBA"/>
    <w:rsid w:val="006D77A9"/>
    <w:rsid w:val="00790143"/>
    <w:rsid w:val="008F1D93"/>
    <w:rsid w:val="00A9422F"/>
    <w:rsid w:val="00EB625D"/>
    <w:rsid w:val="00FC5E04"/>
    <w:rsid w:val="17714B15"/>
    <w:rsid w:val="35FE0B71"/>
    <w:rsid w:val="530F75EE"/>
    <w:rsid w:val="69757914"/>
    <w:rsid w:val="7F49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line number"/>
    <w:basedOn w:val="17"/>
    <w:semiHidden/>
    <w:unhideWhenUsed/>
    <w:qFormat/>
    <w:uiPriority w:val="99"/>
  </w:style>
  <w:style w:type="character" w:styleId="19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40">
    <w:name w:val="Bibliography"/>
    <w:basedOn w:val="1"/>
    <w:next w:val="1"/>
    <w:unhideWhenUsed/>
    <w:qFormat/>
    <w:uiPriority w:val="37"/>
    <w:pPr>
      <w:tabs>
        <w:tab w:val="left" w:pos="384"/>
      </w:tabs>
      <w:spacing w:after="0" w:line="240" w:lineRule="auto"/>
      <w:ind w:left="384" w:hanging="384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1011</Words>
  <Characters>6309</Characters>
  <Lines>263</Lines>
  <Paragraphs>122</Paragraphs>
  <TotalTime>0</TotalTime>
  <ScaleCrop>false</ScaleCrop>
  <LinksUpToDate>false</LinksUpToDate>
  <CharactersWithSpaces>7303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2025-10-22T13:55:00Z</dcterms:created>
  <dc:creator>ZhaoZhengyi</dc:creator>
  <cp:lastModifiedBy>何遇</cp:lastModifiedBy>
  <dcterms:modified xsi:type="dcterms:W3CDTF">2026-08-26T04:27:34Z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id="KRVgmKQr"/&gt;&lt;style id="http://www.zotero.org/styles/analytical-chemistry" hasBibliography="1" bibliographyStyleHasBeenSet="1"/&gt;&lt;prefs&gt;&lt;pref name="fieldType" value="Field"/&gt;&lt;/prefs&gt;&lt;/data&gt;</vt:lpwstr>
  </property>
  <property fmtid="{D5CDD505-2E9C-101B-9397-08002B2CF9AE}" pid="3" name="KSOTemplateDocerSaveRecord">
    <vt:lpwstr>eyJoZGlkIjoiZTI3ZTI0ZTU3MmQ2ZmRiMTFhMTc3YThkOTI5MzkyZGIiLCJ1c2VySWQiOiI0MTc5NjkyMzYifQ==</vt:lpwstr>
  </property>
  <property fmtid="{D5CDD505-2E9C-101B-9397-08002B2CF9AE}" pid="4" name="KSOProductBuildVer">
    <vt:lpwstr>2052-12.1.0.28043</vt:lpwstr>
  </property>
  <property fmtid="{D5CDD505-2E9C-101B-9397-08002B2CF9AE}" pid="5" name="ICV">
    <vt:lpwstr>33BAD6AC003F46839394260B4E7FD7A1_12</vt:lpwstr>
  </property>
</Properties>
</file>