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297A4" w14:textId="796F58E1" w:rsidR="00255FB6" w:rsidRDefault="00255FB6">
      <w:bookmarkStart w:id="0" w:name="_cezo27kpx62l" w:colFirst="0" w:colLast="0"/>
      <w:bookmarkEnd w:id="0"/>
    </w:p>
    <w:p w14:paraId="675F9C16" w14:textId="622408F6" w:rsidR="00255FB6" w:rsidRDefault="00255FB6" w:rsidP="001B100E">
      <w:pPr>
        <w:pStyle w:val="Heading1"/>
        <w:numPr>
          <w:ilvl w:val="0"/>
          <w:numId w:val="6"/>
        </w:numPr>
      </w:pPr>
      <w:r>
        <w:t>Supplementary Materials</w:t>
      </w:r>
    </w:p>
    <w:p w14:paraId="59F3EA55" w14:textId="43E21524" w:rsidR="00255FB6" w:rsidRDefault="00255FB6" w:rsidP="00255FB6">
      <w:r>
        <w:rPr>
          <w:b/>
        </w:rPr>
        <w:t xml:space="preserve">Table </w:t>
      </w:r>
      <w:r w:rsidR="00F93C94">
        <w:rPr>
          <w:b/>
        </w:rPr>
        <w:t>S</w:t>
      </w:r>
      <w:r>
        <w:rPr>
          <w:b/>
        </w:rPr>
        <w:t>1</w:t>
      </w:r>
      <w:r w:rsidRPr="001A2AA0">
        <w:rPr>
          <w:b/>
        </w:rPr>
        <w:t xml:space="preserve"> </w:t>
      </w:r>
      <w:r w:rsidRPr="001A2AA0">
        <w:t xml:space="preserve">| </w:t>
      </w:r>
      <w:r>
        <w:t>Researcher-</w:t>
      </w:r>
      <w:r w:rsidRPr="009719A3">
        <w:t xml:space="preserve">Selected </w:t>
      </w:r>
      <w:r>
        <w:t>Song List</w:t>
      </w:r>
    </w:p>
    <w:tbl>
      <w:tblPr>
        <w:tblW w:w="10215" w:type="dxa"/>
        <w:tblInd w:w="-855" w:type="dxa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5268"/>
        <w:gridCol w:w="2363"/>
        <w:gridCol w:w="1918"/>
      </w:tblGrid>
      <w:tr w:rsidR="002D4DB3" w:rsidRPr="00620CCB" w14:paraId="3E626A41" w14:textId="77777777" w:rsidTr="004C5F10">
        <w:trPr>
          <w:trHeight w:val="300"/>
        </w:trPr>
        <w:tc>
          <w:tcPr>
            <w:tcW w:w="222" w:type="dxa"/>
            <w:tcBorders>
              <w:left w:val="nil"/>
              <w:right w:val="nil"/>
            </w:tcBorders>
            <w:shd w:val="clear" w:color="auto" w:fill="auto"/>
          </w:tcPr>
          <w:p w14:paraId="05E3FBE3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left w:val="nil"/>
              <w:right w:val="nil"/>
            </w:tcBorders>
            <w:shd w:val="clear" w:color="auto" w:fill="auto"/>
          </w:tcPr>
          <w:p w14:paraId="1642DD5A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left w:val="nil"/>
              <w:right w:val="nil"/>
            </w:tcBorders>
            <w:shd w:val="clear" w:color="000000" w:fill="FFFFFF"/>
          </w:tcPr>
          <w:p w14:paraId="1E328DC7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52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719FC2" w14:textId="58D531CA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</w:rPr>
            </w:pPr>
            <w:r w:rsidRPr="00620CCB">
              <w:rPr>
                <w:rFonts w:eastAsia="Times New Roman"/>
                <w:color w:val="000000"/>
              </w:rPr>
              <w:t>Title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0AD05D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</w:rPr>
            </w:pPr>
            <w:r w:rsidRPr="00620CCB">
              <w:rPr>
                <w:rFonts w:eastAsia="Times New Roman"/>
                <w:color w:val="000000"/>
              </w:rPr>
              <w:t>Artist/Composer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E82F11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</w:rPr>
            </w:pPr>
            <w:r w:rsidRPr="00620CCB">
              <w:rPr>
                <w:rFonts w:eastAsia="Times New Roman"/>
                <w:color w:val="000000"/>
              </w:rPr>
              <w:t xml:space="preserve">Music Selection </w:t>
            </w:r>
          </w:p>
        </w:tc>
      </w:tr>
      <w:tr w:rsidR="002D4DB3" w:rsidRPr="00620CCB" w14:paraId="1623FB46" w14:textId="77777777" w:rsidTr="004C5F10">
        <w:trPr>
          <w:trHeight w:val="2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62EC5B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22138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0914A19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93199A" w14:textId="1475DB18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 xml:space="preserve">Adagio for Strings 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A088F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>Barber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700BB" w14:textId="7E74E2F9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Well-Known</w:t>
            </w:r>
          </w:p>
        </w:tc>
      </w:tr>
      <w:tr w:rsidR="002D4DB3" w:rsidRPr="00620CCB" w14:paraId="0EFB69C5" w14:textId="77777777" w:rsidTr="004C5F10">
        <w:trPr>
          <w:trHeight w:val="2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5B0804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F73DF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21CF380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B7123" w14:textId="30D45203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 xml:space="preserve">Symphony No. 2, Finale 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03B36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>Mahler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C44E2" w14:textId="290ECE92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Well-Known</w:t>
            </w:r>
          </w:p>
        </w:tc>
      </w:tr>
      <w:tr w:rsidR="002D4DB3" w:rsidRPr="00620CCB" w14:paraId="526CFFD3" w14:textId="77777777" w:rsidTr="004C5F10">
        <w:trPr>
          <w:trHeight w:val="3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A45E93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CCF4F5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7DE46C1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1571F9" w14:textId="4BB645E6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>Cavatina Op. 130 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23B44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 xml:space="preserve">Beethoven 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8896D" w14:textId="79BC4950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Well-Known</w:t>
            </w:r>
          </w:p>
        </w:tc>
      </w:tr>
      <w:tr w:rsidR="002D4DB3" w:rsidRPr="00620CCB" w14:paraId="7A6D1E6C" w14:textId="77777777" w:rsidTr="004C5F10">
        <w:trPr>
          <w:trHeight w:val="3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3A1E14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0B811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1C20CA4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F2AC7" w14:textId="454D1562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 xml:space="preserve">John Wayne Gacy Jr. 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8E811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 xml:space="preserve">Sufjan Stevens 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2B8A80" w14:textId="379B4F35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Well-Known</w:t>
            </w:r>
          </w:p>
        </w:tc>
      </w:tr>
      <w:tr w:rsidR="002D4DB3" w:rsidRPr="00620CCB" w14:paraId="6E3D86F1" w14:textId="77777777" w:rsidTr="004C5F10">
        <w:trPr>
          <w:trHeight w:val="3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D99C13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45330C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CC4401E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3511D7" w14:textId="0C6BA65B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>Hurt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A41A4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 xml:space="preserve">Johnny Cash 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516ED" w14:textId="46EAFF98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Well-Known</w:t>
            </w:r>
          </w:p>
        </w:tc>
      </w:tr>
      <w:tr w:rsidR="002D4DB3" w:rsidRPr="00620CCB" w14:paraId="149F8D89" w14:textId="77777777" w:rsidTr="004C5F10">
        <w:trPr>
          <w:trHeight w:val="3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C923E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4345BD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DD74F30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ECDB3" w14:textId="1FDC9E96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>Sound of Silence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63980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>Simon and Garfunkel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8A570" w14:textId="2FCE180F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Well-Known</w:t>
            </w:r>
          </w:p>
        </w:tc>
      </w:tr>
      <w:tr w:rsidR="002D4DB3" w:rsidRPr="00620CCB" w14:paraId="7513C364" w14:textId="77777777" w:rsidTr="004C5F10">
        <w:trPr>
          <w:trHeight w:val="3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A7D471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8DC8D7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65EDF7D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57E10" w14:textId="18058ABB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>Reckoner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C1F59F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>Radiohead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88504" w14:textId="469EEC5F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Well-Known</w:t>
            </w:r>
          </w:p>
        </w:tc>
      </w:tr>
      <w:tr w:rsidR="002D4DB3" w:rsidRPr="00620CCB" w14:paraId="6D547847" w14:textId="77777777" w:rsidTr="004C5F10">
        <w:trPr>
          <w:trHeight w:val="3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D7711B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E2E9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07FF722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3BC479" w14:textId="50B069CB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 xml:space="preserve">Nocturne in C Sharp Minor 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D143A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>Chopin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DA660" w14:textId="564C6071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Well-Known</w:t>
            </w:r>
          </w:p>
        </w:tc>
      </w:tr>
      <w:tr w:rsidR="002D4DB3" w:rsidRPr="00620CCB" w14:paraId="61FA3A53" w14:textId="77777777" w:rsidTr="004C5F10">
        <w:trPr>
          <w:trHeight w:val="3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7DDE43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C486BC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D719E56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973FF7" w14:textId="2838C22C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 xml:space="preserve">Nessun Dorma 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7DD075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 xml:space="preserve">Andrea Bocelli 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B2D74B" w14:textId="26319CDF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Well-Known</w:t>
            </w:r>
          </w:p>
        </w:tc>
      </w:tr>
      <w:tr w:rsidR="002D4DB3" w:rsidRPr="00620CCB" w14:paraId="7E9A973F" w14:textId="77777777" w:rsidTr="004C5F10">
        <w:trPr>
          <w:trHeight w:val="3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2B752D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3AED47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EADA3E5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C7970" w14:textId="5AD3FA05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 xml:space="preserve">Symphony No. 6, movement 1 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B9E1F" w14:textId="0F75D92B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>Tchaikovsky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DDC55" w14:textId="58312404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Well-Known</w:t>
            </w:r>
          </w:p>
        </w:tc>
      </w:tr>
      <w:tr w:rsidR="002D4DB3" w:rsidRPr="00620CCB" w14:paraId="58F0AA83" w14:textId="77777777" w:rsidTr="004C5F10">
        <w:trPr>
          <w:trHeight w:val="3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E2A2B7" w14:textId="77777777" w:rsidR="002D4DB3" w:rsidRPr="00620CCB" w:rsidRDefault="002D4DB3" w:rsidP="00456842">
            <w:pPr>
              <w:tabs>
                <w:tab w:val="left" w:pos="6684"/>
              </w:tabs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8930A7" w14:textId="77777777" w:rsidR="002D4DB3" w:rsidRPr="00620CCB" w:rsidRDefault="002D4DB3" w:rsidP="00456842">
            <w:pPr>
              <w:tabs>
                <w:tab w:val="left" w:pos="6684"/>
              </w:tabs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E1C5F57" w14:textId="77777777" w:rsidR="002D4DB3" w:rsidRPr="00620CCB" w:rsidRDefault="002D4DB3" w:rsidP="00456842">
            <w:pPr>
              <w:tabs>
                <w:tab w:val="left" w:pos="6684"/>
              </w:tabs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0EEAD" w14:textId="56755FA2" w:rsidR="002D4DB3" w:rsidRPr="00620CCB" w:rsidRDefault="002D4DB3" w:rsidP="00456842">
            <w:pPr>
              <w:tabs>
                <w:tab w:val="left" w:pos="6684"/>
              </w:tabs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>Bohlen-Pierce Pan Flute Folk Tune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      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BA93B29" w14:textId="4D8F0285" w:rsidR="002D4DB3" w:rsidRPr="00620CCB" w:rsidRDefault="002D4DB3" w:rsidP="00456842">
            <w:pPr>
              <w:tabs>
                <w:tab w:val="left" w:pos="6684"/>
              </w:tabs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Arturo Grolimund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4F3D54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>Novel</w:t>
            </w:r>
          </w:p>
        </w:tc>
      </w:tr>
      <w:tr w:rsidR="002D4DB3" w:rsidRPr="00620CCB" w14:paraId="5935C67D" w14:textId="77777777" w:rsidTr="004C5F10">
        <w:trPr>
          <w:trHeight w:val="3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F3A34C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CC6649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B7CE9E5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A4C1E" w14:textId="2182834B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>H</w:t>
            </w:r>
            <w:r>
              <w:rPr>
                <w:rFonts w:eastAsia="Times New Roman"/>
                <w:color w:val="000000"/>
                <w:sz w:val="20"/>
                <w:szCs w:val="20"/>
              </w:rPr>
              <w:t>oquetus</w:t>
            </w:r>
            <w:r w:rsidRPr="00620CCB">
              <w:rPr>
                <w:rFonts w:eastAsia="Times New Roman"/>
                <w:color w:val="000000"/>
                <w:sz w:val="20"/>
                <w:szCs w:val="20"/>
              </w:rPr>
              <w:t xml:space="preserve"> II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6DD49" w14:textId="516EC769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Johannes Kretz</w:t>
            </w:r>
            <w:r w:rsidRPr="00620CC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410D0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>Novel</w:t>
            </w:r>
          </w:p>
        </w:tc>
      </w:tr>
      <w:tr w:rsidR="002D4DB3" w:rsidRPr="00620CCB" w14:paraId="7F824E18" w14:textId="77777777" w:rsidTr="004C5F10">
        <w:trPr>
          <w:trHeight w:val="3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9A0366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810EBB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81F225B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C9BD2" w14:textId="2225B4E9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>Reminiscences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2D581" w14:textId="671590C4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Steven Yi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858669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>Novel</w:t>
            </w:r>
          </w:p>
        </w:tc>
      </w:tr>
      <w:tr w:rsidR="002D4DB3" w:rsidRPr="00620CCB" w14:paraId="2DA03024" w14:textId="77777777" w:rsidTr="004C5F10">
        <w:trPr>
          <w:trHeight w:val="3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FE9005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E7F4E4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AAD04F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AFAC2" w14:textId="1D75D1CE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>Beyond The Horizon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2D10C" w14:textId="283FFB1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Georg Hajdu</w:t>
            </w:r>
            <w:r w:rsidRPr="00620CC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A9AC4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>Novel</w:t>
            </w:r>
          </w:p>
        </w:tc>
      </w:tr>
      <w:tr w:rsidR="002D4DB3" w:rsidRPr="00620CCB" w14:paraId="0304F4A5" w14:textId="77777777" w:rsidTr="004C5F10">
        <w:trPr>
          <w:trHeight w:val="3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6F0A4C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EAE5B5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C7B15AF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38DDF" w14:textId="34061561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 xml:space="preserve">When the Moon Casts Shadows 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69814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 xml:space="preserve">Hubert Ho 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4F8AE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>Novel</w:t>
            </w:r>
          </w:p>
        </w:tc>
      </w:tr>
      <w:tr w:rsidR="002D4DB3" w:rsidRPr="00620CCB" w14:paraId="5472C3AB" w14:textId="77777777" w:rsidTr="004C5F10">
        <w:trPr>
          <w:trHeight w:val="3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A5CECD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FB47DF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300EEBB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2A11B7" w14:textId="18FBDEFA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>Simmer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68708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 xml:space="preserve">Hubert Ho 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A6F787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>Novel</w:t>
            </w:r>
          </w:p>
        </w:tc>
      </w:tr>
      <w:tr w:rsidR="002D4DB3" w:rsidRPr="00620CCB" w14:paraId="288AD310" w14:textId="77777777" w:rsidTr="004C5F10">
        <w:trPr>
          <w:trHeight w:val="3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711D5E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80613D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81F1C94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957DA" w14:textId="35D36908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>Vertigo Temporum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C3324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 xml:space="preserve">Hubert Ho 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82C9F8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>Novel</w:t>
            </w:r>
          </w:p>
        </w:tc>
      </w:tr>
      <w:tr w:rsidR="002D4DB3" w:rsidRPr="00620CCB" w14:paraId="0A17A055" w14:textId="77777777" w:rsidTr="004C5F10">
        <w:trPr>
          <w:trHeight w:val="310"/>
        </w:trPr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63CF044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ADA305B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6F7DC9C1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CFC77B" w14:textId="6C98352D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>Manual Labor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249C23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 xml:space="preserve">Hubert Ho 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86DEA2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20CCB">
              <w:rPr>
                <w:rFonts w:eastAsia="Times New Roman"/>
                <w:color w:val="000000"/>
                <w:sz w:val="20"/>
                <w:szCs w:val="20"/>
              </w:rPr>
              <w:t>Novel</w:t>
            </w:r>
          </w:p>
        </w:tc>
      </w:tr>
      <w:tr w:rsidR="002D4DB3" w:rsidRPr="00620CCB" w14:paraId="739FFF46" w14:textId="77777777" w:rsidTr="004C5F10">
        <w:trPr>
          <w:trHeight w:val="290"/>
        </w:trPr>
        <w:tc>
          <w:tcPr>
            <w:tcW w:w="222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14:paraId="0E335CD1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14:paraId="637C7CDD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14:paraId="39CF1A4E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E8830" w14:textId="47B1E1E1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</w:rPr>
            </w:pPr>
            <w:r w:rsidRPr="00620CC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6B72D3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</w:rPr>
            </w:pPr>
            <w:r w:rsidRPr="00620CC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0FD3E" w14:textId="77777777" w:rsidR="002D4DB3" w:rsidRPr="00620CCB" w:rsidRDefault="002D4DB3" w:rsidP="00255FB6">
            <w:pPr>
              <w:spacing w:line="240" w:lineRule="auto"/>
              <w:rPr>
                <w:rFonts w:eastAsia="Times New Roman"/>
                <w:color w:val="000000"/>
              </w:rPr>
            </w:pPr>
            <w:r w:rsidRPr="00620CCB">
              <w:rPr>
                <w:rFonts w:eastAsia="Times New Roman"/>
                <w:color w:val="000000"/>
              </w:rPr>
              <w:t> </w:t>
            </w:r>
          </w:p>
        </w:tc>
      </w:tr>
    </w:tbl>
    <w:p w14:paraId="5C1112C5" w14:textId="245397F5" w:rsidR="00255FB6" w:rsidRPr="009719A3" w:rsidRDefault="00AC7982" w:rsidP="00255FB6">
      <w:r>
        <w:rPr>
          <w:b/>
          <w:noProof/>
          <w:lang w:val="en-US" w:eastAsia="en-US"/>
        </w:rPr>
        <w:drawing>
          <wp:inline distT="0" distB="0" distL="0" distR="0" wp14:anchorId="35F95524" wp14:editId="4995864E">
            <wp:extent cx="5260749" cy="229108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ureS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749" cy="2291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09F09A" w14:textId="249523EC" w:rsidR="00255FB6" w:rsidRDefault="00255FB6" w:rsidP="00255FB6">
      <w:pPr>
        <w:spacing w:before="240" w:after="240"/>
        <w:ind w:left="45"/>
      </w:pPr>
      <w:r w:rsidRPr="007F2FD6">
        <w:rPr>
          <w:b/>
        </w:rPr>
        <w:t>F</w:t>
      </w:r>
      <w:r>
        <w:rPr>
          <w:b/>
        </w:rPr>
        <w:t xml:space="preserve">igure </w:t>
      </w:r>
      <w:r w:rsidR="00A838CD">
        <w:rPr>
          <w:b/>
        </w:rPr>
        <w:t>S</w:t>
      </w:r>
      <w:r>
        <w:rPr>
          <w:b/>
        </w:rPr>
        <w:t>1</w:t>
      </w:r>
      <w:r w:rsidRPr="007F2FD6">
        <w:rPr>
          <w:b/>
        </w:rPr>
        <w:t>. Univariate whole-brain analyses</w:t>
      </w:r>
      <w:r>
        <w:rPr>
          <w:b/>
        </w:rPr>
        <w:t xml:space="preserve"> for different levels of liking</w:t>
      </w:r>
      <w:r w:rsidRPr="007F2FD6">
        <w:rPr>
          <w:b/>
        </w:rPr>
        <w:t xml:space="preserve">. (A) </w:t>
      </w:r>
      <w:r>
        <w:rPr>
          <w:b/>
        </w:rPr>
        <w:t>Love</w:t>
      </w:r>
      <w:r w:rsidRPr="007F2FD6">
        <w:rPr>
          <w:b/>
        </w:rPr>
        <w:t>.</w:t>
      </w:r>
      <w:r w:rsidRPr="007F2FD6">
        <w:t xml:space="preserve"> Auditory and DMN regions showed activity </w:t>
      </w:r>
      <w:r>
        <w:t>both pre- and post-intervention, with the TPJ showing pre-intervention activity only</w:t>
      </w:r>
      <w:r w:rsidRPr="007F2FD6">
        <w:t xml:space="preserve">. Motor areas </w:t>
      </w:r>
      <w:r>
        <w:t>showed deactivation</w:t>
      </w:r>
      <w:r w:rsidRPr="007F2FD6">
        <w:t xml:space="preserve"> </w:t>
      </w:r>
      <w:r>
        <w:t>both pre- and post-intervention</w:t>
      </w:r>
      <w:r w:rsidRPr="007F2FD6">
        <w:t xml:space="preserve">. </w:t>
      </w:r>
      <w:r w:rsidRPr="007F2FD6">
        <w:rPr>
          <w:b/>
        </w:rPr>
        <w:t xml:space="preserve"> (B) </w:t>
      </w:r>
      <w:r>
        <w:rPr>
          <w:b/>
        </w:rPr>
        <w:t>Like</w:t>
      </w:r>
      <w:r w:rsidRPr="007F2FD6">
        <w:rPr>
          <w:b/>
        </w:rPr>
        <w:t>.</w:t>
      </w:r>
      <w:r w:rsidRPr="007F2FD6">
        <w:t xml:space="preserve"> Auditory regions showed activity both pre- and post-intervention. </w:t>
      </w:r>
      <w:r>
        <w:t>Regions spanning the m</w:t>
      </w:r>
      <w:r w:rsidRPr="00DD211B">
        <w:t xml:space="preserve">otor </w:t>
      </w:r>
      <w:r>
        <w:t xml:space="preserve">and DMN areas </w:t>
      </w:r>
      <w:r w:rsidRPr="00DD211B">
        <w:t>showed deactivation both pre- and post-intervention.</w:t>
      </w:r>
      <w:r w:rsidRPr="007F2FD6">
        <w:t xml:space="preserve"> </w:t>
      </w:r>
      <w:r w:rsidRPr="007F2FD6">
        <w:rPr>
          <w:b/>
        </w:rPr>
        <w:t xml:space="preserve">(C) </w:t>
      </w:r>
      <w:r>
        <w:rPr>
          <w:b/>
        </w:rPr>
        <w:t>Neutral</w:t>
      </w:r>
      <w:r w:rsidRPr="007F2FD6">
        <w:rPr>
          <w:b/>
        </w:rPr>
        <w:t>.</w:t>
      </w:r>
      <w:r w:rsidRPr="007F2FD6">
        <w:t xml:space="preserve"> </w:t>
      </w:r>
      <w:r w:rsidRPr="00573D83">
        <w:lastRenderedPageBreak/>
        <w:t xml:space="preserve">Auditory regions showed activity both pre- and post-intervention. Regions spanning the motor and DMN areas showed deactivation both pre- and post-intervention. </w:t>
      </w:r>
      <w:r>
        <w:rPr>
          <w:b/>
        </w:rPr>
        <w:t>(D</w:t>
      </w:r>
      <w:r w:rsidRPr="007F2FD6">
        <w:rPr>
          <w:b/>
        </w:rPr>
        <w:t xml:space="preserve">) </w:t>
      </w:r>
      <w:r>
        <w:rPr>
          <w:b/>
        </w:rPr>
        <w:t>Hate</w:t>
      </w:r>
      <w:r w:rsidRPr="007F2FD6">
        <w:rPr>
          <w:b/>
        </w:rPr>
        <w:t>.</w:t>
      </w:r>
      <w:r w:rsidRPr="007F2FD6">
        <w:t xml:space="preserve"> </w:t>
      </w:r>
      <w:r w:rsidRPr="00573D83">
        <w:t xml:space="preserve">Auditory regions showed activity both pre- and post-intervention. Regions spanning the motor and DMN areas showed deactivation both pre- and post-intervention. </w:t>
      </w:r>
      <w:r w:rsidRPr="007F2FD6">
        <w:t xml:space="preserve">All images are results of second-level analyses showing significant clusters at the p &lt; .05 FDR-corrected level. </w:t>
      </w:r>
    </w:p>
    <w:p w14:paraId="1660000A" w14:textId="3E7DC3F3" w:rsidR="00255FB6" w:rsidRDefault="00AC7982" w:rsidP="00255FB6">
      <w:pPr>
        <w:spacing w:before="240" w:after="240"/>
        <w:ind w:left="45"/>
      </w:pPr>
      <w:r>
        <w:rPr>
          <w:noProof/>
          <w:lang w:val="en-US" w:eastAsia="en-US"/>
        </w:rPr>
        <w:drawing>
          <wp:inline distT="0" distB="0" distL="0" distR="0" wp14:anchorId="79D324A1" wp14:editId="535310E2">
            <wp:extent cx="5786445" cy="2291080"/>
            <wp:effectExtent l="0" t="0" r="508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ureS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445" cy="2291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EE4D08" w14:textId="0067C5F3" w:rsidR="00255FB6" w:rsidRDefault="00255FB6" w:rsidP="00255FB6">
      <w:pPr>
        <w:spacing w:before="240" w:after="240"/>
        <w:ind w:left="45"/>
      </w:pPr>
      <w:r w:rsidRPr="00573D83">
        <w:rPr>
          <w:b/>
        </w:rPr>
        <w:t>F</w:t>
      </w:r>
      <w:r>
        <w:rPr>
          <w:b/>
        </w:rPr>
        <w:t xml:space="preserve">igure </w:t>
      </w:r>
      <w:r w:rsidR="00A838CD">
        <w:rPr>
          <w:b/>
        </w:rPr>
        <w:t>S</w:t>
      </w:r>
      <w:r>
        <w:rPr>
          <w:b/>
        </w:rPr>
        <w:t>2</w:t>
      </w:r>
      <w:r w:rsidRPr="00573D83">
        <w:rPr>
          <w:b/>
        </w:rPr>
        <w:t>. Univariate whole-brain analyses</w:t>
      </w:r>
      <w:r>
        <w:rPr>
          <w:b/>
        </w:rPr>
        <w:t xml:space="preserve"> for different levels of familiarity</w:t>
      </w:r>
      <w:r w:rsidRPr="00573D83">
        <w:rPr>
          <w:b/>
        </w:rPr>
        <w:t xml:space="preserve">. (A) </w:t>
      </w:r>
      <w:r>
        <w:rPr>
          <w:b/>
        </w:rPr>
        <w:t>Very Familiar</w:t>
      </w:r>
      <w:r w:rsidRPr="00573D83">
        <w:rPr>
          <w:b/>
        </w:rPr>
        <w:t>.</w:t>
      </w:r>
      <w:r w:rsidRPr="00573D83">
        <w:t xml:space="preserve"> Auditory and DMN regions showed activity both pre- and post-intervention, with the TPJ showing pre-intervention activity</w:t>
      </w:r>
      <w:r>
        <w:t xml:space="preserve"> only</w:t>
      </w:r>
      <w:r w:rsidRPr="00573D83">
        <w:t xml:space="preserve">. Motor areas showed deactivation both pre- and post-intervention. </w:t>
      </w:r>
      <w:r w:rsidRPr="00573D83">
        <w:rPr>
          <w:b/>
        </w:rPr>
        <w:t xml:space="preserve"> (B) </w:t>
      </w:r>
      <w:r>
        <w:rPr>
          <w:b/>
        </w:rPr>
        <w:t>Familiar</w:t>
      </w:r>
      <w:r w:rsidRPr="00573D83">
        <w:rPr>
          <w:b/>
        </w:rPr>
        <w:t>.</w:t>
      </w:r>
      <w:r w:rsidRPr="00573D83">
        <w:t xml:space="preserve"> </w:t>
      </w:r>
      <w:r>
        <w:t>A</w:t>
      </w:r>
      <w:r w:rsidRPr="00573D83">
        <w:t>uditory regions showed activity both pre- and post-intervention</w:t>
      </w:r>
      <w:r>
        <w:t>, post-intervention to a greater extent</w:t>
      </w:r>
      <w:r w:rsidRPr="00573D83">
        <w:t xml:space="preserve">. </w:t>
      </w:r>
      <w:r>
        <w:t>Motor regions</w:t>
      </w:r>
      <w:r w:rsidRPr="00573D83">
        <w:t xml:space="preserve"> showed deactivation </w:t>
      </w:r>
      <w:r>
        <w:t xml:space="preserve">only for </w:t>
      </w:r>
      <w:r w:rsidRPr="00573D83">
        <w:t xml:space="preserve">post-intervention. </w:t>
      </w:r>
      <w:r w:rsidRPr="00573D83">
        <w:rPr>
          <w:b/>
        </w:rPr>
        <w:t xml:space="preserve">(C) </w:t>
      </w:r>
      <w:r>
        <w:rPr>
          <w:b/>
        </w:rPr>
        <w:t>Very Unfamiliar</w:t>
      </w:r>
      <w:r w:rsidRPr="00573D83">
        <w:rPr>
          <w:b/>
        </w:rPr>
        <w:t>.</w:t>
      </w:r>
      <w:r w:rsidRPr="00573D83">
        <w:t xml:space="preserve"> Auditory regions showed activity both pre- and post-intervention. Regions spanning the motor and DMN areas showed deactivation both pre- and post-intervention.</w:t>
      </w:r>
      <w:r w:rsidRPr="00573D83">
        <w:rPr>
          <w:b/>
        </w:rPr>
        <w:t xml:space="preserve"> (D) </w:t>
      </w:r>
      <w:r>
        <w:rPr>
          <w:b/>
        </w:rPr>
        <w:t>Unfamiliar</w:t>
      </w:r>
      <w:r w:rsidRPr="00573D83">
        <w:rPr>
          <w:b/>
        </w:rPr>
        <w:t>.</w:t>
      </w:r>
      <w:r w:rsidRPr="00573D83">
        <w:t xml:space="preserve"> Auditory regions showed activity both pre- and post-intervention. Regions spanning the motor and DMN areas showed deactivation both pre- and post-intervention. All images are results of second-level analyses showing significant clusters at the p &lt; .05 FDR-corrected level. </w:t>
      </w:r>
    </w:p>
    <w:p w14:paraId="2821991A" w14:textId="11938361" w:rsidR="00AC7982" w:rsidRPr="00573D83" w:rsidRDefault="00AC7982" w:rsidP="00255FB6">
      <w:pPr>
        <w:spacing w:before="240" w:after="240"/>
        <w:ind w:left="45"/>
      </w:pPr>
      <w:r>
        <w:rPr>
          <w:noProof/>
          <w:lang w:val="en-US" w:eastAsia="en-US"/>
        </w:rPr>
        <w:lastRenderedPageBreak/>
        <w:drawing>
          <wp:inline distT="0" distB="0" distL="0" distR="0" wp14:anchorId="6323E95E" wp14:editId="26F13F69">
            <wp:extent cx="5633634" cy="5943701"/>
            <wp:effectExtent l="0" t="0" r="571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ureS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634" cy="5943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E1E1A" w14:textId="51752B90" w:rsidR="00255FB6" w:rsidRPr="00573D83" w:rsidRDefault="00255FB6" w:rsidP="00255FB6">
      <w:pPr>
        <w:spacing w:before="240" w:after="240"/>
        <w:ind w:left="45"/>
      </w:pPr>
      <w:r w:rsidRPr="00573D83">
        <w:rPr>
          <w:b/>
        </w:rPr>
        <w:t>F</w:t>
      </w:r>
      <w:r>
        <w:rPr>
          <w:b/>
        </w:rPr>
        <w:t xml:space="preserve">igure </w:t>
      </w:r>
      <w:r w:rsidR="00A838CD">
        <w:rPr>
          <w:b/>
        </w:rPr>
        <w:t>S</w:t>
      </w:r>
      <w:r>
        <w:rPr>
          <w:b/>
        </w:rPr>
        <w:t>3</w:t>
      </w:r>
      <w:r w:rsidRPr="00573D83">
        <w:rPr>
          <w:b/>
        </w:rPr>
        <w:t>. Univariate whole-brain analyses for</w:t>
      </w:r>
      <w:r>
        <w:rPr>
          <w:b/>
        </w:rPr>
        <w:t xml:space="preserve"> music selection</w:t>
      </w:r>
      <w:r w:rsidRPr="00573D83">
        <w:rPr>
          <w:b/>
        </w:rPr>
        <w:t xml:space="preserve">. (A) </w:t>
      </w:r>
      <w:r>
        <w:rPr>
          <w:b/>
        </w:rPr>
        <w:t>Self-Selected</w:t>
      </w:r>
      <w:r w:rsidRPr="00573D83">
        <w:rPr>
          <w:b/>
        </w:rPr>
        <w:t>.</w:t>
      </w:r>
      <w:r w:rsidRPr="00573D83">
        <w:t xml:space="preserve"> Auditory and DMN regions showed activity both pre- and post-intervention. Motor areas showed deactivation both pre- and post-intervention. </w:t>
      </w:r>
      <w:r>
        <w:rPr>
          <w:b/>
        </w:rPr>
        <w:t xml:space="preserve"> (B) </w:t>
      </w:r>
      <w:r w:rsidR="00BC02EA">
        <w:rPr>
          <w:b/>
        </w:rPr>
        <w:t>Well-Known</w:t>
      </w:r>
      <w:r w:rsidRPr="00573D83">
        <w:rPr>
          <w:b/>
        </w:rPr>
        <w:t>.</w:t>
      </w:r>
      <w:r w:rsidRPr="00573D83">
        <w:t xml:space="preserve"> Auditory regions showed activity both pre- and post-intervention. Regions spanning the motor and DMN areas showed deactivation both pre- and post-intervention. </w:t>
      </w:r>
      <w:r w:rsidRPr="00573D83">
        <w:rPr>
          <w:b/>
        </w:rPr>
        <w:t xml:space="preserve">(C) </w:t>
      </w:r>
      <w:r>
        <w:rPr>
          <w:b/>
        </w:rPr>
        <w:t>Novel</w:t>
      </w:r>
      <w:r w:rsidRPr="00573D83">
        <w:rPr>
          <w:b/>
        </w:rPr>
        <w:t>.</w:t>
      </w:r>
      <w:r w:rsidRPr="00573D83">
        <w:t xml:space="preserve"> Auditory regions showed activity both pre- and post-intervention. Regions spanning the motor and DMN areas showed deactivation both pre- and post-intervention. All images are results of second-level analyses showing significant clusters at the p &lt; .05 FDR-corrected level. </w:t>
      </w:r>
    </w:p>
    <w:p w14:paraId="423EAA37" w14:textId="77777777" w:rsidR="00F14CC6" w:rsidRPr="007F7F8B" w:rsidRDefault="00F14CC6" w:rsidP="00F14CC6">
      <w:r>
        <w:rPr>
          <w:noProof/>
          <w:lang w:val="en-US" w:eastAsia="en-US"/>
        </w:rPr>
        <w:lastRenderedPageBreak/>
        <w:drawing>
          <wp:inline distT="0" distB="0" distL="0" distR="0" wp14:anchorId="1AE6185D" wp14:editId="0841793C">
            <wp:extent cx="5834743" cy="3282043"/>
            <wp:effectExtent l="0" t="0" r="0" b="0"/>
            <wp:docPr id="5" name="Graphic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851" cy="3286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4C729" w14:textId="30AF665B" w:rsidR="00F14CC6" w:rsidRDefault="00F14CC6" w:rsidP="00F14CC6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Figure S4: Second Level Model RDMs. </w:t>
      </w:r>
      <w:r>
        <w:rPr>
          <w:rFonts w:ascii="Arial" w:hAnsi="Arial" w:cs="Arial"/>
          <w:color w:val="000000"/>
          <w:sz w:val="22"/>
          <w:szCs w:val="22"/>
        </w:rPr>
        <w:t>(A) Time invariant binary RDMs representing stimulus selection (top) and novelty (bottom). (B) subject-averaged RDMs representing stimulus liking (top) and familiarity (bottom) ratings at the pre-intervention timepoint. (C) subject-averaged RDMs representing stimulus liking (top) and familiarity (bottom) ratings at the post-intervention timepoint.</w:t>
      </w:r>
    </w:p>
    <w:p w14:paraId="2D295F2A" w14:textId="2F51FAFC" w:rsidR="00F14CC6" w:rsidRDefault="00F14CC6" w:rsidP="00F14CC6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7716583B" w14:textId="2F43C29A" w:rsidR="00BF3B85" w:rsidRDefault="00BF3B85" w:rsidP="00F14CC6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558D4877" w14:textId="2821D1C0" w:rsidR="00BF3B85" w:rsidRDefault="00BF3B85" w:rsidP="00F14CC6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34788865" w14:textId="77777777" w:rsidR="00BF3B85" w:rsidRDefault="00BF3B85" w:rsidP="00F14CC6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27349E0F" w14:textId="77777777" w:rsidR="00F14CC6" w:rsidRDefault="00F14CC6" w:rsidP="00F14CC6">
      <w:pPr>
        <w:pStyle w:val="NormalWeb"/>
        <w:spacing w:before="0" w:beforeAutospacing="0" w:after="0" w:afterAutospacing="0"/>
      </w:pPr>
    </w:p>
    <w:p w14:paraId="28A06A16" w14:textId="62ED1014" w:rsidR="00F14CC6" w:rsidRDefault="007A0361" w:rsidP="00F14CC6">
      <w:pPr>
        <w:spacing w:after="240"/>
      </w:pPr>
      <w:r>
        <w:rPr>
          <w:noProof/>
          <w:lang w:val="en-US" w:eastAsia="en-US"/>
        </w:rPr>
        <w:lastRenderedPageBreak/>
        <w:drawing>
          <wp:inline distT="0" distB="0" distL="0" distR="0" wp14:anchorId="1F8A00DD" wp14:editId="35898A22">
            <wp:extent cx="5943600" cy="3349117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028" cy="33921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129028" w14:textId="11F4D21C" w:rsidR="00F14CC6" w:rsidRDefault="00F14CC6" w:rsidP="00F14CC6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Figure S5: Pre-intervention fMRI-Derived RDMs. </w:t>
      </w:r>
      <w:r>
        <w:rPr>
          <w:rFonts w:ascii="Arial" w:hAnsi="Arial" w:cs="Arial"/>
          <w:color w:val="000000"/>
          <w:sz w:val="22"/>
          <w:szCs w:val="22"/>
        </w:rPr>
        <w:t>Participant-averaged RDMs representing differences in cortical responses to stimuli at the pre-intervention timepoint.</w:t>
      </w:r>
    </w:p>
    <w:p w14:paraId="3C3110EB" w14:textId="77777777" w:rsidR="00F14CC6" w:rsidRDefault="00F14CC6" w:rsidP="00F14CC6"/>
    <w:p w14:paraId="4162DEAA" w14:textId="77777777" w:rsidR="00F14CC6" w:rsidRDefault="00F14CC6" w:rsidP="00F14CC6"/>
    <w:p w14:paraId="0904EAB1" w14:textId="330BE175" w:rsidR="00F14CC6" w:rsidRDefault="007A0361" w:rsidP="00F14CC6">
      <w:r>
        <w:rPr>
          <w:noProof/>
          <w:lang w:val="en-US" w:eastAsia="en-US"/>
        </w:rPr>
        <w:drawing>
          <wp:inline distT="0" distB="0" distL="0" distR="0" wp14:anchorId="75015917" wp14:editId="204274B7">
            <wp:extent cx="5867400" cy="3399988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808" cy="34193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AC2DFE" w14:textId="440CD517" w:rsidR="00F14CC6" w:rsidRDefault="00F14CC6" w:rsidP="00F14CC6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Figure S6: Post-intervention fMRI-Derived RDMs. </w:t>
      </w:r>
      <w:r>
        <w:rPr>
          <w:rFonts w:ascii="Arial" w:hAnsi="Arial" w:cs="Arial"/>
          <w:color w:val="000000"/>
          <w:sz w:val="22"/>
          <w:szCs w:val="22"/>
        </w:rPr>
        <w:t>Participant-averaged RDMs representing differences in cortical responses to stimuli at the post-intervention timepoint.</w:t>
      </w:r>
    </w:p>
    <w:p w14:paraId="146D2AC4" w14:textId="77777777" w:rsidR="00F14CC6" w:rsidRDefault="00F14CC6" w:rsidP="00F14CC6"/>
    <w:p w14:paraId="3B0E4B3D" w14:textId="77777777" w:rsidR="00F14CC6" w:rsidRDefault="00F14CC6" w:rsidP="00F14CC6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E69392E" w14:textId="77777777" w:rsidR="00F14CC6" w:rsidRDefault="00F14CC6" w:rsidP="00F14CC6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2B35309C" wp14:editId="32969F93">
            <wp:extent cx="5943600" cy="3343275"/>
            <wp:effectExtent l="0" t="0" r="0" b="9525"/>
            <wp:docPr id="8" name="Graphic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36145" w14:textId="612EAB16" w:rsidR="00F14CC6" w:rsidRDefault="00F14CC6" w:rsidP="00F14CC6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Figure S7: Bootstrap Comparisons of Selection RDM. </w:t>
      </w:r>
      <w:r>
        <w:rPr>
          <w:rFonts w:ascii="Arial" w:hAnsi="Arial" w:cs="Arial"/>
          <w:color w:val="000000"/>
          <w:sz w:val="22"/>
          <w:szCs w:val="22"/>
        </w:rPr>
        <w:t>results of 10,000-fold bootstrap comparisons of selection RDM to second level fMRI-derived RDMs at pre-intervention (left) and post-intervention (right) time points. Asterisk (*) represents a significant correlation between selection and a given fMRI-derived RDM (p &lt;0.05, FWE corrected), and Black bars represent a significant difference between fMRI-derived RDMs (p &lt;0.05, FWE corrected)</w:t>
      </w:r>
    </w:p>
    <w:p w14:paraId="03775974" w14:textId="77777777" w:rsidR="00F14CC6" w:rsidRDefault="00F14CC6" w:rsidP="00F14CC6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14AF7243" w14:textId="77777777" w:rsidR="00F14CC6" w:rsidRDefault="00F14CC6" w:rsidP="00F14CC6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29BF33E1" w14:textId="77777777" w:rsidR="00F14CC6" w:rsidRDefault="00F14CC6" w:rsidP="00F14CC6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273619C7" w14:textId="77777777" w:rsidR="00F14CC6" w:rsidRDefault="00F14CC6" w:rsidP="00F14CC6">
      <w:pPr>
        <w:pStyle w:val="NormalWeb"/>
        <w:spacing w:before="0" w:beforeAutospacing="0" w:after="0" w:afterAutospacing="0"/>
      </w:pPr>
    </w:p>
    <w:p w14:paraId="6187B55E" w14:textId="77777777" w:rsidR="00F14CC6" w:rsidRDefault="00F14CC6" w:rsidP="00F14CC6">
      <w:r>
        <w:rPr>
          <w:noProof/>
          <w:lang w:val="en-US" w:eastAsia="en-US"/>
        </w:rPr>
        <w:lastRenderedPageBreak/>
        <w:drawing>
          <wp:inline distT="0" distB="0" distL="0" distR="0" wp14:anchorId="57748824" wp14:editId="2C97C0B2">
            <wp:extent cx="5943600" cy="3343275"/>
            <wp:effectExtent l="0" t="0" r="0" b="9525"/>
            <wp:docPr id="9" name="Graphic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5BB54" w14:textId="5F549EA7" w:rsidR="00F14CC6" w:rsidRDefault="00F14CC6" w:rsidP="00F14CC6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Figure S8: Bootstrap Comparisons of Novelty RDM. </w:t>
      </w:r>
      <w:r>
        <w:rPr>
          <w:rFonts w:ascii="Arial" w:hAnsi="Arial" w:cs="Arial"/>
          <w:color w:val="000000"/>
          <w:sz w:val="22"/>
          <w:szCs w:val="22"/>
        </w:rPr>
        <w:t>results of 10,000-fold bootstrap comparisons of novelty RDM to second level fMRI-derived RDMs at pre-intervention (left) and post-intervention (right) time points. Asterisk (*) represents a significant correlation between novelty and a given fMRI-derived RDM (p &lt;0.05, FWE corrected).</w:t>
      </w:r>
    </w:p>
    <w:p w14:paraId="443059BC" w14:textId="77777777" w:rsidR="00F14CC6" w:rsidRDefault="00F14CC6" w:rsidP="00F14CC6"/>
    <w:p w14:paraId="0DEF616F" w14:textId="77777777" w:rsidR="00F14CC6" w:rsidRDefault="00F14CC6" w:rsidP="00F14CC6"/>
    <w:p w14:paraId="33799486" w14:textId="77777777" w:rsidR="00F14CC6" w:rsidRDefault="00F14CC6" w:rsidP="00F14CC6"/>
    <w:p w14:paraId="5A43B12B" w14:textId="77777777" w:rsidR="00F14CC6" w:rsidRDefault="00F14CC6" w:rsidP="00F14CC6"/>
    <w:p w14:paraId="71F0AC50" w14:textId="77777777" w:rsidR="00F14CC6" w:rsidRDefault="00F14CC6" w:rsidP="00F14CC6"/>
    <w:p w14:paraId="390F7645" w14:textId="77777777" w:rsidR="00F14CC6" w:rsidRDefault="00F14CC6" w:rsidP="00F14CC6">
      <w:r>
        <w:rPr>
          <w:noProof/>
          <w:lang w:val="en-US" w:eastAsia="en-US"/>
        </w:rPr>
        <w:lastRenderedPageBreak/>
        <w:drawing>
          <wp:inline distT="0" distB="0" distL="0" distR="0" wp14:anchorId="54C82A8E" wp14:editId="1E1564C7">
            <wp:extent cx="5943600" cy="3343275"/>
            <wp:effectExtent l="0" t="0" r="0" b="9525"/>
            <wp:docPr id="10" name="Graphic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8FCA0" w14:textId="1F701994" w:rsidR="00F14CC6" w:rsidRDefault="00F14CC6" w:rsidP="00F14CC6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Figure S9: Bootstrap Comparisons of Liking RDM. </w:t>
      </w:r>
      <w:r>
        <w:rPr>
          <w:rFonts w:ascii="Arial" w:hAnsi="Arial" w:cs="Arial"/>
          <w:color w:val="000000"/>
          <w:sz w:val="22"/>
          <w:szCs w:val="22"/>
        </w:rPr>
        <w:t>results of 10,000-fold bootstrap comparisons of second-level liking RDM to second level fMRI-derived RDMs at pre-intervention (left) and post-intervention (right) time points. Asterisk (*) represents a significant correlation between liking and a given fMRI-derived RDM (p &lt;0.05, FWE corrected).</w:t>
      </w:r>
    </w:p>
    <w:p w14:paraId="22404B83" w14:textId="77777777" w:rsidR="00F14CC6" w:rsidRDefault="00F14CC6" w:rsidP="00F14CC6"/>
    <w:p w14:paraId="179D9BB6" w14:textId="77777777" w:rsidR="00F14CC6" w:rsidRDefault="00F14CC6" w:rsidP="00F14CC6"/>
    <w:p w14:paraId="146B54A9" w14:textId="77777777" w:rsidR="00F14CC6" w:rsidRDefault="00F14CC6" w:rsidP="00F14CC6"/>
    <w:p w14:paraId="749B8C11" w14:textId="77777777" w:rsidR="00F14CC6" w:rsidRDefault="00F14CC6" w:rsidP="00F14CC6"/>
    <w:p w14:paraId="0E595C9E" w14:textId="77777777" w:rsidR="00F14CC6" w:rsidRDefault="00F14CC6" w:rsidP="00F14CC6"/>
    <w:p w14:paraId="1542D75E" w14:textId="77777777" w:rsidR="00F14CC6" w:rsidRDefault="00F14CC6" w:rsidP="00F14CC6">
      <w:r>
        <w:rPr>
          <w:noProof/>
          <w:lang w:val="en-US" w:eastAsia="en-US"/>
        </w:rPr>
        <w:lastRenderedPageBreak/>
        <w:drawing>
          <wp:inline distT="0" distB="0" distL="0" distR="0" wp14:anchorId="35C7DBF1" wp14:editId="4F4D887D">
            <wp:extent cx="5943600" cy="3343275"/>
            <wp:effectExtent l="0" t="0" r="0" b="9525"/>
            <wp:docPr id="11" name="Graphic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CECF1" w14:textId="2B91C900" w:rsidR="00F14CC6" w:rsidRDefault="00F14CC6" w:rsidP="00F14CC6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Figure S10: Bootstrap Comparisons of Familiarity RDM. </w:t>
      </w:r>
      <w:r>
        <w:rPr>
          <w:rFonts w:ascii="Arial" w:hAnsi="Arial" w:cs="Arial"/>
          <w:color w:val="000000"/>
          <w:sz w:val="22"/>
          <w:szCs w:val="22"/>
        </w:rPr>
        <w:t>results of 10,000-fold bootstrap comparisons of second-level familiarity RDM to second level fMRI-derived RDMs at pre-intervention (left) and post-intervention (right) time points. Asterisk (*) represents a significant correlation between liking and a given fMRI-derived RDM (p &lt;0.05, FWE corrected).</w:t>
      </w:r>
    </w:p>
    <w:p w14:paraId="622AB171" w14:textId="77777777" w:rsidR="00F14CC6" w:rsidRDefault="00F14CC6" w:rsidP="00F14CC6"/>
    <w:p w14:paraId="4AE6183B" w14:textId="77777777" w:rsidR="009067FC" w:rsidRDefault="009067FC"/>
    <w:p w14:paraId="407735EA" w14:textId="77777777" w:rsidR="009067FC" w:rsidRDefault="009067FC"/>
    <w:p w14:paraId="61546BA7" w14:textId="7839313A" w:rsidR="00E93277" w:rsidRPr="00E93277" w:rsidRDefault="009067FC" w:rsidP="00D2480E">
      <w:pPr>
        <w:pStyle w:val="EndNoteBibliography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</w:p>
    <w:p w14:paraId="3FB1A7D9" w14:textId="1BC4A0AA" w:rsidR="00255FB6" w:rsidRDefault="009067FC">
      <w:r>
        <w:fldChar w:fldCharType="end"/>
      </w:r>
    </w:p>
    <w:sectPr w:rsidR="00255FB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35BE4" w14:textId="77777777" w:rsidR="000D7013" w:rsidRDefault="000D7013">
      <w:pPr>
        <w:spacing w:line="240" w:lineRule="auto"/>
      </w:pPr>
      <w:r>
        <w:separator/>
      </w:r>
    </w:p>
  </w:endnote>
  <w:endnote w:type="continuationSeparator" w:id="0">
    <w:p w14:paraId="4DB08651" w14:textId="77777777" w:rsidR="000D7013" w:rsidRDefault="000D70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C7265" w14:textId="77777777" w:rsidR="000D7013" w:rsidRDefault="000D7013">
      <w:pPr>
        <w:spacing w:line="240" w:lineRule="auto"/>
      </w:pPr>
      <w:r>
        <w:separator/>
      </w:r>
    </w:p>
  </w:footnote>
  <w:footnote w:type="continuationSeparator" w:id="0">
    <w:p w14:paraId="4EC3ACE7" w14:textId="77777777" w:rsidR="000D7013" w:rsidRDefault="000D70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2B90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A98744C"/>
    <w:multiLevelType w:val="multilevel"/>
    <w:tmpl w:val="D80CDA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780140"/>
    <w:multiLevelType w:val="hybridMultilevel"/>
    <w:tmpl w:val="05922858"/>
    <w:lvl w:ilvl="0" w:tplc="69AA063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6C4C5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3F14E31"/>
    <w:multiLevelType w:val="hybridMultilevel"/>
    <w:tmpl w:val="EA4023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BA622D"/>
    <w:multiLevelType w:val="hybridMultilevel"/>
    <w:tmpl w:val="68308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 (pl)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zf9xfd570vwwqexd9nprrfpvrtf09xzersw&quot;&gt;All articles&lt;record-ids&gt;&lt;item&gt;248&lt;/item&gt;&lt;item&gt;2868&lt;/item&gt;&lt;item&gt;4391&lt;/item&gt;&lt;item&gt;6698&lt;/item&gt;&lt;item&gt;7753&lt;/item&gt;&lt;item&gt;8551&lt;/item&gt;&lt;item&gt;9571&lt;/item&gt;&lt;item&gt;12901&lt;/item&gt;&lt;item&gt;13243&lt;/item&gt;&lt;item&gt;14598&lt;/item&gt;&lt;item&gt;14819&lt;/item&gt;&lt;item&gt;14835&lt;/item&gt;&lt;item&gt;15595&lt;/item&gt;&lt;item&gt;15693&lt;/item&gt;&lt;item&gt;15743&lt;/item&gt;&lt;item&gt;16108&lt;/item&gt;&lt;item&gt;16435&lt;/item&gt;&lt;item&gt;16597&lt;/item&gt;&lt;item&gt;16659&lt;/item&gt;&lt;item&gt;16797&lt;/item&gt;&lt;item&gt;16885&lt;/item&gt;&lt;item&gt;16914&lt;/item&gt;&lt;item&gt;16940&lt;/item&gt;&lt;item&gt;17039&lt;/item&gt;&lt;item&gt;17292&lt;/item&gt;&lt;item&gt;17375&lt;/item&gt;&lt;item&gt;17459&lt;/item&gt;&lt;item&gt;17672&lt;/item&gt;&lt;item&gt;18099&lt;/item&gt;&lt;item&gt;18219&lt;/item&gt;&lt;item&gt;18360&lt;/item&gt;&lt;item&gt;18587&lt;/item&gt;&lt;item&gt;18608&lt;/item&gt;&lt;item&gt;18669&lt;/item&gt;&lt;item&gt;18731&lt;/item&gt;&lt;item&gt;19301&lt;/item&gt;&lt;item&gt;19348&lt;/item&gt;&lt;item&gt;19693&lt;/item&gt;&lt;item&gt;19694&lt;/item&gt;&lt;item&gt;19695&lt;/item&gt;&lt;item&gt;19820&lt;/item&gt;&lt;item&gt;20025&lt;/item&gt;&lt;item&gt;20149&lt;/item&gt;&lt;item&gt;20151&lt;/item&gt;&lt;item&gt;20170&lt;/item&gt;&lt;item&gt;20314&lt;/item&gt;&lt;item&gt;20527&lt;/item&gt;&lt;item&gt;20528&lt;/item&gt;&lt;item&gt;20529&lt;/item&gt;&lt;item&gt;20530&lt;/item&gt;&lt;item&gt;20531&lt;/item&gt;&lt;item&gt;20532&lt;/item&gt;&lt;item&gt;20535&lt;/item&gt;&lt;/record-ids&gt;&lt;/item&gt;&lt;/Libraries&gt;"/>
  </w:docVars>
  <w:rsids>
    <w:rsidRoot w:val="00A96CD6"/>
    <w:rsid w:val="00000E35"/>
    <w:rsid w:val="000130F3"/>
    <w:rsid w:val="00020EA5"/>
    <w:rsid w:val="000231BB"/>
    <w:rsid w:val="00023368"/>
    <w:rsid w:val="00023926"/>
    <w:rsid w:val="00027529"/>
    <w:rsid w:val="00032820"/>
    <w:rsid w:val="00044031"/>
    <w:rsid w:val="00057FFB"/>
    <w:rsid w:val="000608B3"/>
    <w:rsid w:val="0006257A"/>
    <w:rsid w:val="00065617"/>
    <w:rsid w:val="000675A1"/>
    <w:rsid w:val="000739B1"/>
    <w:rsid w:val="00076B96"/>
    <w:rsid w:val="00090BAF"/>
    <w:rsid w:val="0009165B"/>
    <w:rsid w:val="00093643"/>
    <w:rsid w:val="000A1947"/>
    <w:rsid w:val="000B2499"/>
    <w:rsid w:val="000B4EA0"/>
    <w:rsid w:val="000B6365"/>
    <w:rsid w:val="000D7013"/>
    <w:rsid w:val="000E52A0"/>
    <w:rsid w:val="000F2CA1"/>
    <w:rsid w:val="000F2EF7"/>
    <w:rsid w:val="000F68E7"/>
    <w:rsid w:val="000F75BA"/>
    <w:rsid w:val="00103C87"/>
    <w:rsid w:val="00120ED6"/>
    <w:rsid w:val="00127539"/>
    <w:rsid w:val="00127C40"/>
    <w:rsid w:val="001338AB"/>
    <w:rsid w:val="0013531C"/>
    <w:rsid w:val="00140262"/>
    <w:rsid w:val="00141E07"/>
    <w:rsid w:val="0014419E"/>
    <w:rsid w:val="0014439D"/>
    <w:rsid w:val="001517CF"/>
    <w:rsid w:val="001558BD"/>
    <w:rsid w:val="001569C5"/>
    <w:rsid w:val="00156E83"/>
    <w:rsid w:val="0017357B"/>
    <w:rsid w:val="00182112"/>
    <w:rsid w:val="001830DB"/>
    <w:rsid w:val="001A602F"/>
    <w:rsid w:val="001B100E"/>
    <w:rsid w:val="001B1DAC"/>
    <w:rsid w:val="001D6675"/>
    <w:rsid w:val="001D7892"/>
    <w:rsid w:val="001F1C4F"/>
    <w:rsid w:val="001F4F68"/>
    <w:rsid w:val="00202C3F"/>
    <w:rsid w:val="00214043"/>
    <w:rsid w:val="00223F34"/>
    <w:rsid w:val="0022741D"/>
    <w:rsid w:val="00230491"/>
    <w:rsid w:val="002311BD"/>
    <w:rsid w:val="002321FE"/>
    <w:rsid w:val="00232884"/>
    <w:rsid w:val="00232BED"/>
    <w:rsid w:val="00233374"/>
    <w:rsid w:val="00233432"/>
    <w:rsid w:val="00245C2C"/>
    <w:rsid w:val="0024637F"/>
    <w:rsid w:val="00250921"/>
    <w:rsid w:val="00255FB6"/>
    <w:rsid w:val="00260098"/>
    <w:rsid w:val="002625E2"/>
    <w:rsid w:val="00273093"/>
    <w:rsid w:val="00273B1B"/>
    <w:rsid w:val="00274618"/>
    <w:rsid w:val="0028098C"/>
    <w:rsid w:val="002834D1"/>
    <w:rsid w:val="002930AC"/>
    <w:rsid w:val="00296599"/>
    <w:rsid w:val="002A0407"/>
    <w:rsid w:val="002B1255"/>
    <w:rsid w:val="002B212F"/>
    <w:rsid w:val="002D12F2"/>
    <w:rsid w:val="002D2E4D"/>
    <w:rsid w:val="002D4DB3"/>
    <w:rsid w:val="002E3E72"/>
    <w:rsid w:val="002F3117"/>
    <w:rsid w:val="00312DF4"/>
    <w:rsid w:val="003172D9"/>
    <w:rsid w:val="003202EE"/>
    <w:rsid w:val="00321771"/>
    <w:rsid w:val="00326310"/>
    <w:rsid w:val="00330DBB"/>
    <w:rsid w:val="00332AA0"/>
    <w:rsid w:val="00333A19"/>
    <w:rsid w:val="00362281"/>
    <w:rsid w:val="00363549"/>
    <w:rsid w:val="0036629A"/>
    <w:rsid w:val="00366F0E"/>
    <w:rsid w:val="0037024B"/>
    <w:rsid w:val="003708B4"/>
    <w:rsid w:val="00372507"/>
    <w:rsid w:val="00380DEE"/>
    <w:rsid w:val="00381E35"/>
    <w:rsid w:val="003833A0"/>
    <w:rsid w:val="003916C9"/>
    <w:rsid w:val="003A3F09"/>
    <w:rsid w:val="003A437D"/>
    <w:rsid w:val="003B0874"/>
    <w:rsid w:val="003B1013"/>
    <w:rsid w:val="003B3E20"/>
    <w:rsid w:val="003C2E32"/>
    <w:rsid w:val="003C3A35"/>
    <w:rsid w:val="003C575D"/>
    <w:rsid w:val="003C5BAD"/>
    <w:rsid w:val="003D3BA5"/>
    <w:rsid w:val="003D3E4F"/>
    <w:rsid w:val="003D7F16"/>
    <w:rsid w:val="003E058C"/>
    <w:rsid w:val="003E5CA9"/>
    <w:rsid w:val="003F1C60"/>
    <w:rsid w:val="003F2FCA"/>
    <w:rsid w:val="003F53E4"/>
    <w:rsid w:val="003F5AD4"/>
    <w:rsid w:val="00402834"/>
    <w:rsid w:val="00411218"/>
    <w:rsid w:val="00412FC5"/>
    <w:rsid w:val="0042091F"/>
    <w:rsid w:val="00425C7F"/>
    <w:rsid w:val="004316B6"/>
    <w:rsid w:val="0044443C"/>
    <w:rsid w:val="00444722"/>
    <w:rsid w:val="004463BA"/>
    <w:rsid w:val="004469BE"/>
    <w:rsid w:val="004475ED"/>
    <w:rsid w:val="00447E67"/>
    <w:rsid w:val="004513AD"/>
    <w:rsid w:val="00452603"/>
    <w:rsid w:val="0045618F"/>
    <w:rsid w:val="00456842"/>
    <w:rsid w:val="00461D3A"/>
    <w:rsid w:val="00464761"/>
    <w:rsid w:val="004679FC"/>
    <w:rsid w:val="0047640B"/>
    <w:rsid w:val="00476B4A"/>
    <w:rsid w:val="004810C8"/>
    <w:rsid w:val="00486935"/>
    <w:rsid w:val="004921D3"/>
    <w:rsid w:val="00495238"/>
    <w:rsid w:val="004A20F2"/>
    <w:rsid w:val="004C5F10"/>
    <w:rsid w:val="004C6471"/>
    <w:rsid w:val="004D13EC"/>
    <w:rsid w:val="004E1A83"/>
    <w:rsid w:val="004E79E1"/>
    <w:rsid w:val="004F0F0B"/>
    <w:rsid w:val="004F2881"/>
    <w:rsid w:val="005157DB"/>
    <w:rsid w:val="00523298"/>
    <w:rsid w:val="005302C8"/>
    <w:rsid w:val="00532B7B"/>
    <w:rsid w:val="005354E2"/>
    <w:rsid w:val="0054535E"/>
    <w:rsid w:val="00546783"/>
    <w:rsid w:val="00546A40"/>
    <w:rsid w:val="005529A0"/>
    <w:rsid w:val="00553A46"/>
    <w:rsid w:val="00574287"/>
    <w:rsid w:val="00586710"/>
    <w:rsid w:val="0059264A"/>
    <w:rsid w:val="005949C4"/>
    <w:rsid w:val="00597B43"/>
    <w:rsid w:val="005A64A1"/>
    <w:rsid w:val="005A7235"/>
    <w:rsid w:val="005A7632"/>
    <w:rsid w:val="005C72B2"/>
    <w:rsid w:val="005C77AC"/>
    <w:rsid w:val="005D02F0"/>
    <w:rsid w:val="005D3E62"/>
    <w:rsid w:val="005E6BCB"/>
    <w:rsid w:val="005F1034"/>
    <w:rsid w:val="00601107"/>
    <w:rsid w:val="00601EC3"/>
    <w:rsid w:val="00621BF6"/>
    <w:rsid w:val="00622E89"/>
    <w:rsid w:val="00641129"/>
    <w:rsid w:val="00664D7B"/>
    <w:rsid w:val="00665742"/>
    <w:rsid w:val="00667637"/>
    <w:rsid w:val="006725BD"/>
    <w:rsid w:val="006746A4"/>
    <w:rsid w:val="00675F4B"/>
    <w:rsid w:val="00683493"/>
    <w:rsid w:val="006A484F"/>
    <w:rsid w:val="006A4914"/>
    <w:rsid w:val="006B3F06"/>
    <w:rsid w:val="006B63B9"/>
    <w:rsid w:val="006C7DBB"/>
    <w:rsid w:val="006E714C"/>
    <w:rsid w:val="006E78C6"/>
    <w:rsid w:val="0072086A"/>
    <w:rsid w:val="00721AA6"/>
    <w:rsid w:val="0072206C"/>
    <w:rsid w:val="0073447F"/>
    <w:rsid w:val="007345D2"/>
    <w:rsid w:val="00744624"/>
    <w:rsid w:val="00745EE9"/>
    <w:rsid w:val="0075482C"/>
    <w:rsid w:val="00767665"/>
    <w:rsid w:val="00773318"/>
    <w:rsid w:val="00775464"/>
    <w:rsid w:val="00784F7C"/>
    <w:rsid w:val="00785B23"/>
    <w:rsid w:val="00793991"/>
    <w:rsid w:val="007A0361"/>
    <w:rsid w:val="007A51E5"/>
    <w:rsid w:val="007B62F6"/>
    <w:rsid w:val="007C32D3"/>
    <w:rsid w:val="007D0604"/>
    <w:rsid w:val="007D2DED"/>
    <w:rsid w:val="007D7973"/>
    <w:rsid w:val="007E6EC2"/>
    <w:rsid w:val="007F45CD"/>
    <w:rsid w:val="00801497"/>
    <w:rsid w:val="00801FB1"/>
    <w:rsid w:val="008078E2"/>
    <w:rsid w:val="00820626"/>
    <w:rsid w:val="0082416E"/>
    <w:rsid w:val="00825EEF"/>
    <w:rsid w:val="0083711A"/>
    <w:rsid w:val="008416D3"/>
    <w:rsid w:val="00851CE2"/>
    <w:rsid w:val="00853CB5"/>
    <w:rsid w:val="008540E9"/>
    <w:rsid w:val="00857B58"/>
    <w:rsid w:val="00863F33"/>
    <w:rsid w:val="00866B2A"/>
    <w:rsid w:val="00873629"/>
    <w:rsid w:val="00881321"/>
    <w:rsid w:val="00885293"/>
    <w:rsid w:val="00885591"/>
    <w:rsid w:val="008935DA"/>
    <w:rsid w:val="00894F0A"/>
    <w:rsid w:val="008A4CB5"/>
    <w:rsid w:val="008A5969"/>
    <w:rsid w:val="008A6812"/>
    <w:rsid w:val="008A6F4E"/>
    <w:rsid w:val="008B1A05"/>
    <w:rsid w:val="008B2C07"/>
    <w:rsid w:val="008C2A34"/>
    <w:rsid w:val="008C7CCD"/>
    <w:rsid w:val="008D1D72"/>
    <w:rsid w:val="008D3A3A"/>
    <w:rsid w:val="008E2263"/>
    <w:rsid w:val="008F339A"/>
    <w:rsid w:val="00902E9F"/>
    <w:rsid w:val="009067FC"/>
    <w:rsid w:val="00907D40"/>
    <w:rsid w:val="009217A0"/>
    <w:rsid w:val="009218B4"/>
    <w:rsid w:val="00922776"/>
    <w:rsid w:val="00923511"/>
    <w:rsid w:val="00931815"/>
    <w:rsid w:val="0093593F"/>
    <w:rsid w:val="00944801"/>
    <w:rsid w:val="00950A2F"/>
    <w:rsid w:val="009627BB"/>
    <w:rsid w:val="00963D41"/>
    <w:rsid w:val="00972A05"/>
    <w:rsid w:val="00974101"/>
    <w:rsid w:val="00975729"/>
    <w:rsid w:val="009840EE"/>
    <w:rsid w:val="00986EAC"/>
    <w:rsid w:val="00994067"/>
    <w:rsid w:val="009B0ABB"/>
    <w:rsid w:val="009B52BF"/>
    <w:rsid w:val="009B5ED7"/>
    <w:rsid w:val="009C1271"/>
    <w:rsid w:val="009C4E8A"/>
    <w:rsid w:val="009C7C9E"/>
    <w:rsid w:val="009D08C3"/>
    <w:rsid w:val="009D08FB"/>
    <w:rsid w:val="009D09CF"/>
    <w:rsid w:val="009E3E3D"/>
    <w:rsid w:val="009E5C90"/>
    <w:rsid w:val="009F6EA5"/>
    <w:rsid w:val="00A036FA"/>
    <w:rsid w:val="00A1405C"/>
    <w:rsid w:val="00A22BC0"/>
    <w:rsid w:val="00A22F15"/>
    <w:rsid w:val="00A27727"/>
    <w:rsid w:val="00A35C1D"/>
    <w:rsid w:val="00A44AF2"/>
    <w:rsid w:val="00A46B5A"/>
    <w:rsid w:val="00A5090A"/>
    <w:rsid w:val="00A53EFA"/>
    <w:rsid w:val="00A7077E"/>
    <w:rsid w:val="00A720ED"/>
    <w:rsid w:val="00A743C8"/>
    <w:rsid w:val="00A74BE9"/>
    <w:rsid w:val="00A74EA0"/>
    <w:rsid w:val="00A838CD"/>
    <w:rsid w:val="00A96CD6"/>
    <w:rsid w:val="00AA1412"/>
    <w:rsid w:val="00AB1C7D"/>
    <w:rsid w:val="00AC4615"/>
    <w:rsid w:val="00AC66C8"/>
    <w:rsid w:val="00AC7982"/>
    <w:rsid w:val="00AD00DE"/>
    <w:rsid w:val="00AD5678"/>
    <w:rsid w:val="00AE27D6"/>
    <w:rsid w:val="00AE59E8"/>
    <w:rsid w:val="00AE67C6"/>
    <w:rsid w:val="00AE7372"/>
    <w:rsid w:val="00AF6758"/>
    <w:rsid w:val="00B06D78"/>
    <w:rsid w:val="00B12DDD"/>
    <w:rsid w:val="00B15895"/>
    <w:rsid w:val="00B202BF"/>
    <w:rsid w:val="00B206A8"/>
    <w:rsid w:val="00B211F4"/>
    <w:rsid w:val="00B2280C"/>
    <w:rsid w:val="00B24D50"/>
    <w:rsid w:val="00B37628"/>
    <w:rsid w:val="00B46A79"/>
    <w:rsid w:val="00B51E09"/>
    <w:rsid w:val="00B53B05"/>
    <w:rsid w:val="00B54748"/>
    <w:rsid w:val="00B671B2"/>
    <w:rsid w:val="00B76D9C"/>
    <w:rsid w:val="00B76DDF"/>
    <w:rsid w:val="00B90113"/>
    <w:rsid w:val="00B93558"/>
    <w:rsid w:val="00BA39C4"/>
    <w:rsid w:val="00BA5AA3"/>
    <w:rsid w:val="00BA6A76"/>
    <w:rsid w:val="00BB5003"/>
    <w:rsid w:val="00BC02EA"/>
    <w:rsid w:val="00BD5414"/>
    <w:rsid w:val="00BD5BF9"/>
    <w:rsid w:val="00BE112C"/>
    <w:rsid w:val="00BE409E"/>
    <w:rsid w:val="00BE4A1C"/>
    <w:rsid w:val="00BE7629"/>
    <w:rsid w:val="00BF1E4E"/>
    <w:rsid w:val="00BF322E"/>
    <w:rsid w:val="00BF3B85"/>
    <w:rsid w:val="00BF7F93"/>
    <w:rsid w:val="00C030CA"/>
    <w:rsid w:val="00C10AE9"/>
    <w:rsid w:val="00C3161D"/>
    <w:rsid w:val="00C37146"/>
    <w:rsid w:val="00C42DB1"/>
    <w:rsid w:val="00C52B0C"/>
    <w:rsid w:val="00C55F14"/>
    <w:rsid w:val="00C611F8"/>
    <w:rsid w:val="00C617A5"/>
    <w:rsid w:val="00C62AB0"/>
    <w:rsid w:val="00C7036D"/>
    <w:rsid w:val="00C72831"/>
    <w:rsid w:val="00C81173"/>
    <w:rsid w:val="00C83A02"/>
    <w:rsid w:val="00C853C8"/>
    <w:rsid w:val="00C85512"/>
    <w:rsid w:val="00C911D9"/>
    <w:rsid w:val="00CA1B1F"/>
    <w:rsid w:val="00CA1EF2"/>
    <w:rsid w:val="00CA6169"/>
    <w:rsid w:val="00CA6DFD"/>
    <w:rsid w:val="00CB3059"/>
    <w:rsid w:val="00CC2628"/>
    <w:rsid w:val="00CC3F95"/>
    <w:rsid w:val="00CC69AE"/>
    <w:rsid w:val="00CD794D"/>
    <w:rsid w:val="00CE7DED"/>
    <w:rsid w:val="00CF1FBB"/>
    <w:rsid w:val="00D01BBC"/>
    <w:rsid w:val="00D0448E"/>
    <w:rsid w:val="00D05606"/>
    <w:rsid w:val="00D2480E"/>
    <w:rsid w:val="00D379D8"/>
    <w:rsid w:val="00D473FB"/>
    <w:rsid w:val="00D47569"/>
    <w:rsid w:val="00D533BF"/>
    <w:rsid w:val="00D60C7F"/>
    <w:rsid w:val="00D62D2B"/>
    <w:rsid w:val="00D64FCE"/>
    <w:rsid w:val="00D80F44"/>
    <w:rsid w:val="00D87AAB"/>
    <w:rsid w:val="00D944DF"/>
    <w:rsid w:val="00DB3E71"/>
    <w:rsid w:val="00DB4F63"/>
    <w:rsid w:val="00DC160E"/>
    <w:rsid w:val="00DC7E6F"/>
    <w:rsid w:val="00E0082E"/>
    <w:rsid w:val="00E12AB2"/>
    <w:rsid w:val="00E135A6"/>
    <w:rsid w:val="00E17645"/>
    <w:rsid w:val="00E37F67"/>
    <w:rsid w:val="00E4441C"/>
    <w:rsid w:val="00E53D57"/>
    <w:rsid w:val="00E5717B"/>
    <w:rsid w:val="00E66128"/>
    <w:rsid w:val="00E70EA2"/>
    <w:rsid w:val="00E74E5C"/>
    <w:rsid w:val="00E77B53"/>
    <w:rsid w:val="00E81B82"/>
    <w:rsid w:val="00E8349C"/>
    <w:rsid w:val="00E91C75"/>
    <w:rsid w:val="00E93277"/>
    <w:rsid w:val="00E95E9E"/>
    <w:rsid w:val="00E97A22"/>
    <w:rsid w:val="00EA0C03"/>
    <w:rsid w:val="00EA0E8A"/>
    <w:rsid w:val="00EA2BFC"/>
    <w:rsid w:val="00EB35CB"/>
    <w:rsid w:val="00EB393A"/>
    <w:rsid w:val="00EB568E"/>
    <w:rsid w:val="00EB5969"/>
    <w:rsid w:val="00EC04E4"/>
    <w:rsid w:val="00EC5350"/>
    <w:rsid w:val="00EE1350"/>
    <w:rsid w:val="00EE4503"/>
    <w:rsid w:val="00EF7753"/>
    <w:rsid w:val="00F0410D"/>
    <w:rsid w:val="00F11800"/>
    <w:rsid w:val="00F14CC6"/>
    <w:rsid w:val="00F2643D"/>
    <w:rsid w:val="00F33BBA"/>
    <w:rsid w:val="00F36878"/>
    <w:rsid w:val="00F36FAA"/>
    <w:rsid w:val="00F46F74"/>
    <w:rsid w:val="00F61DA7"/>
    <w:rsid w:val="00F64B13"/>
    <w:rsid w:val="00F87A1E"/>
    <w:rsid w:val="00F931F8"/>
    <w:rsid w:val="00F93C94"/>
    <w:rsid w:val="00F940BA"/>
    <w:rsid w:val="00FB0AC3"/>
    <w:rsid w:val="00FB429D"/>
    <w:rsid w:val="00FC5524"/>
    <w:rsid w:val="00FD0567"/>
    <w:rsid w:val="00FD40E1"/>
    <w:rsid w:val="00FE164A"/>
    <w:rsid w:val="00FE1F4D"/>
    <w:rsid w:val="00FE2189"/>
    <w:rsid w:val="00FF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6FE6D"/>
  <w15:docId w15:val="{7AD66B81-00DB-1543-8B9C-6858B0FA1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A51E5"/>
  </w:style>
  <w:style w:type="paragraph" w:styleId="Heading1">
    <w:name w:val="heading 1"/>
    <w:basedOn w:val="Normal"/>
    <w:next w:val="Normal"/>
    <w:uiPriority w:val="9"/>
    <w:qFormat/>
    <w:rsid w:val="00931815"/>
    <w:pPr>
      <w:keepNext/>
      <w:keepLines/>
      <w:numPr>
        <w:numId w:val="5"/>
      </w:numPr>
      <w:spacing w:before="240" w:after="240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numPr>
        <w:ilvl w:val="1"/>
        <w:numId w:val="5"/>
      </w:numPr>
      <w:spacing w:before="240" w:after="240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numPr>
        <w:ilvl w:val="2"/>
        <w:numId w:val="5"/>
      </w:numPr>
      <w:spacing w:before="240" w:after="240"/>
      <w:outlineLvl w:val="2"/>
    </w:p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numPr>
        <w:ilvl w:val="3"/>
        <w:numId w:val="5"/>
      </w:numPr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numPr>
        <w:ilvl w:val="4"/>
        <w:numId w:val="5"/>
      </w:numPr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numPr>
        <w:ilvl w:val="5"/>
        <w:numId w:val="5"/>
      </w:numPr>
      <w:spacing w:before="240" w:after="80"/>
      <w:outlineLvl w:val="5"/>
    </w:pPr>
    <w:rPr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815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815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815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240" w:after="240"/>
    </w:pPr>
    <w:rPr>
      <w:sz w:val="40"/>
      <w:szCs w:val="4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1271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271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F14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08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086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4439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439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64B13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E6EC2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E6EC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E6EC2"/>
    <w:rPr>
      <w:vertAlign w:val="superscript"/>
    </w:rPr>
  </w:style>
  <w:style w:type="paragraph" w:styleId="Revision">
    <w:name w:val="Revision"/>
    <w:hidden/>
    <w:uiPriority w:val="99"/>
    <w:semiHidden/>
    <w:rsid w:val="00820626"/>
    <w:pPr>
      <w:spacing w:line="240" w:lineRule="auto"/>
    </w:pPr>
  </w:style>
  <w:style w:type="paragraph" w:styleId="NoSpacing">
    <w:name w:val="No Spacing"/>
    <w:uiPriority w:val="1"/>
    <w:qFormat/>
    <w:rsid w:val="00931815"/>
    <w:pPr>
      <w:spacing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93181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181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181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rsid w:val="003B0874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9067FC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9067FC"/>
  </w:style>
  <w:style w:type="paragraph" w:customStyle="1" w:styleId="EndNoteBibliography">
    <w:name w:val="EndNote Bibliography"/>
    <w:basedOn w:val="Normal"/>
    <w:link w:val="EndNoteBibliographyChar"/>
    <w:rsid w:val="009067FC"/>
    <w:pPr>
      <w:spacing w:line="240" w:lineRule="auto"/>
    </w:pPr>
  </w:style>
  <w:style w:type="character" w:customStyle="1" w:styleId="EndNoteBibliographyChar">
    <w:name w:val="EndNote Bibliography Char"/>
    <w:basedOn w:val="DefaultParagraphFont"/>
    <w:link w:val="EndNoteBibliography"/>
    <w:rsid w:val="00906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29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86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sv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svg"/><Relationship Id="rId20" Type="http://schemas.openxmlformats.org/officeDocument/2006/relationships/image" Target="media/image13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881EE-7EED-3944-8927-BE562D910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9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Milena Quinci</dc:creator>
  <cp:lastModifiedBy>Psyche Loui</cp:lastModifiedBy>
  <cp:revision>10</cp:revision>
  <cp:lastPrinted>2021-07-01T17:05:00Z</cp:lastPrinted>
  <dcterms:created xsi:type="dcterms:W3CDTF">2021-09-07T17:27:00Z</dcterms:created>
  <dcterms:modified xsi:type="dcterms:W3CDTF">2021-10-14T14:22:00Z</dcterms:modified>
</cp:coreProperties>
</file>