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CEB" w:rsidRDefault="0011240F">
      <w:pPr>
        <w:pBdr>
          <w:top w:val="nil"/>
          <w:left w:val="nil"/>
          <w:bottom w:val="nil"/>
          <w:right w:val="nil"/>
          <w:between w:val="nil"/>
        </w:pBdr>
        <w:spacing w:line="360" w:lineRule="auto"/>
        <w:jc w:val="center"/>
      </w:pPr>
      <w:bookmarkStart w:id="0" w:name="_5plvz6xjrhty" w:colFirst="0" w:colLast="0"/>
      <w:bookmarkStart w:id="1" w:name="_GoBack"/>
      <w:bookmarkEnd w:id="0"/>
      <w:bookmarkEnd w:id="1"/>
      <w:r>
        <w:t>Supplementary Material</w:t>
      </w:r>
    </w:p>
    <w:p w:rsidR="00F81CEB" w:rsidRDefault="00F81CEB">
      <w:pPr>
        <w:pBdr>
          <w:top w:val="nil"/>
          <w:left w:val="nil"/>
          <w:bottom w:val="nil"/>
          <w:right w:val="nil"/>
          <w:between w:val="nil"/>
        </w:pBdr>
        <w:spacing w:line="360" w:lineRule="auto"/>
        <w:jc w:val="center"/>
      </w:pPr>
      <w:bookmarkStart w:id="2" w:name="_f77j0699iojd" w:colFirst="0" w:colLast="0"/>
      <w:bookmarkEnd w:id="2"/>
    </w:p>
    <w:p w:rsidR="00F81CEB" w:rsidRDefault="0011240F">
      <w:pPr>
        <w:spacing w:line="276" w:lineRule="auto"/>
        <w:rPr>
          <w:b/>
          <w:bCs/>
        </w:rPr>
      </w:pPr>
      <w:r>
        <w:rPr>
          <w:b/>
          <w:bCs/>
        </w:rPr>
        <w:t>Candidate plasma lipidomic alterations associated with recurrent leg-ulcer phenotype in Sickle Cell Disease</w:t>
      </w:r>
    </w:p>
    <w:p w:rsidR="00F81CEB" w:rsidRDefault="00F81CEB">
      <w:pPr>
        <w:spacing w:line="276" w:lineRule="auto"/>
        <w:rPr>
          <w:b/>
          <w:bCs/>
        </w:rPr>
      </w:pPr>
    </w:p>
    <w:p w:rsidR="00F81CEB" w:rsidRPr="009454F6" w:rsidRDefault="0011240F">
      <w:pPr>
        <w:spacing w:after="120" w:line="276" w:lineRule="auto"/>
        <w:ind w:right="-122"/>
        <w:rPr>
          <w:lang w:val="pt-BR"/>
        </w:rPr>
      </w:pPr>
      <w:r w:rsidRPr="009454F6">
        <w:rPr>
          <w:lang w:val="pt-BR"/>
        </w:rPr>
        <w:t>Sheila O. G. Mateos</w:t>
      </w:r>
      <w:r w:rsidRPr="009454F6">
        <w:rPr>
          <w:vertAlign w:val="superscript"/>
          <w:lang w:val="pt-BR"/>
        </w:rPr>
        <w:t>1,13</w:t>
      </w:r>
      <w:r w:rsidRPr="009454F6">
        <w:rPr>
          <w:lang w:val="pt-BR"/>
        </w:rPr>
        <w:t xml:space="preserve"> *, Marcos E. S. Abreu</w:t>
      </w:r>
      <w:r w:rsidRPr="009454F6">
        <w:rPr>
          <w:vertAlign w:val="superscript"/>
          <w:lang w:val="pt-BR"/>
        </w:rPr>
        <w:t>1</w:t>
      </w:r>
      <w:r w:rsidRPr="009454F6">
        <w:rPr>
          <w:lang w:val="pt-BR"/>
        </w:rPr>
        <w:t>*, Fábio E. Leal</w:t>
      </w:r>
      <w:r w:rsidRPr="009454F6">
        <w:rPr>
          <w:vertAlign w:val="superscript"/>
          <w:lang w:val="pt-BR"/>
        </w:rPr>
        <w:t>1</w:t>
      </w:r>
      <w:r w:rsidRPr="009454F6">
        <w:rPr>
          <w:lang w:val="pt-BR"/>
        </w:rPr>
        <w:t>, Felipe C. C. Santos</w:t>
      </w:r>
      <w:r w:rsidRPr="009454F6">
        <w:rPr>
          <w:vertAlign w:val="superscript"/>
          <w:lang w:val="pt-BR"/>
        </w:rPr>
        <w:t>1,3</w:t>
      </w:r>
      <w:r w:rsidRPr="009454F6">
        <w:rPr>
          <w:lang w:val="pt-BR"/>
        </w:rPr>
        <w:t>, André R. Belisário</w:t>
      </w:r>
      <w:r w:rsidRPr="009454F6">
        <w:rPr>
          <w:vertAlign w:val="superscript"/>
          <w:lang w:val="pt-BR"/>
        </w:rPr>
        <w:t>4</w:t>
      </w:r>
      <w:r w:rsidRPr="009454F6">
        <w:rPr>
          <w:lang w:val="pt-BR"/>
        </w:rPr>
        <w:t>, Brian S. Custer</w:t>
      </w:r>
      <w:r w:rsidRPr="009454F6">
        <w:rPr>
          <w:vertAlign w:val="superscript"/>
          <w:lang w:val="pt-BR"/>
        </w:rPr>
        <w:t>5,6</w:t>
      </w:r>
      <w:r w:rsidRPr="009454F6">
        <w:rPr>
          <w:lang w:val="pt-BR"/>
        </w:rPr>
        <w:t>, Carla L. Dinardo</w:t>
      </w:r>
      <w:r w:rsidRPr="009454F6">
        <w:rPr>
          <w:vertAlign w:val="superscript"/>
          <w:lang w:val="pt-BR"/>
        </w:rPr>
        <w:t>7</w:t>
      </w:r>
      <w:r w:rsidRPr="009454F6">
        <w:rPr>
          <w:lang w:val="pt-BR"/>
        </w:rPr>
        <w:t>, Luiz M. A. Filho</w:t>
      </w:r>
      <w:r w:rsidRPr="009454F6">
        <w:rPr>
          <w:vertAlign w:val="superscript"/>
          <w:lang w:val="pt-BR"/>
        </w:rPr>
        <w:t>8</w:t>
      </w:r>
      <w:r w:rsidRPr="009454F6">
        <w:rPr>
          <w:lang w:val="pt-BR"/>
        </w:rPr>
        <w:t>, Scott A. Bowler</w:t>
      </w:r>
      <w:r w:rsidRPr="009454F6">
        <w:rPr>
          <w:vertAlign w:val="superscript"/>
          <w:lang w:val="pt-BR"/>
        </w:rPr>
        <w:t>9,</w:t>
      </w:r>
      <w:r w:rsidRPr="009454F6">
        <w:rPr>
          <w:lang w:val="pt-BR"/>
        </w:rPr>
        <w:t xml:space="preserve"> Lishomwa C. Ndhlovu</w:t>
      </w:r>
      <w:r w:rsidRPr="009454F6">
        <w:rPr>
          <w:vertAlign w:val="superscript"/>
          <w:lang w:val="pt-BR"/>
        </w:rPr>
        <w:t>9,</w:t>
      </w:r>
      <w:r w:rsidRPr="009454F6">
        <w:rPr>
          <w:lang w:val="pt-BR"/>
        </w:rPr>
        <w:t>, Paula F. B. Caselli</w:t>
      </w:r>
      <w:r w:rsidRPr="009454F6">
        <w:rPr>
          <w:vertAlign w:val="superscript"/>
          <w:lang w:val="pt-BR"/>
        </w:rPr>
        <w:t>14</w:t>
      </w:r>
      <w:r w:rsidRPr="009454F6">
        <w:rPr>
          <w:lang w:val="pt-BR"/>
        </w:rPr>
        <w:t>, Hebert Culler</w:t>
      </w:r>
      <w:r w:rsidRPr="009454F6">
        <w:rPr>
          <w:vertAlign w:val="superscript"/>
          <w:lang w:val="pt-BR"/>
        </w:rPr>
        <w:t>2</w:t>
      </w:r>
      <w:r w:rsidRPr="009454F6">
        <w:rPr>
          <w:lang w:val="pt-BR"/>
        </w:rPr>
        <w:t>, Luís A. P. C. Lage</w:t>
      </w:r>
      <w:r w:rsidRPr="009454F6">
        <w:rPr>
          <w:vertAlign w:val="superscript"/>
          <w:lang w:val="pt-BR"/>
        </w:rPr>
        <w:t>2</w:t>
      </w:r>
      <w:r w:rsidRPr="009454F6">
        <w:rPr>
          <w:lang w:val="pt-BR"/>
        </w:rPr>
        <w:t>, Juliana Pereira</w:t>
      </w:r>
      <w:r w:rsidRPr="009454F6">
        <w:rPr>
          <w:vertAlign w:val="superscript"/>
          <w:lang w:val="pt-BR"/>
        </w:rPr>
        <w:t>2</w:t>
      </w:r>
      <w:r w:rsidRPr="009454F6">
        <w:rPr>
          <w:lang w:val="pt-BR"/>
        </w:rPr>
        <w:t>, Cadiele O. Reichertv</w:t>
      </w:r>
      <w:r w:rsidRPr="009454F6">
        <w:rPr>
          <w:vertAlign w:val="superscript"/>
          <w:lang w:val="pt-BR"/>
        </w:rPr>
        <w:t>2</w:t>
      </w:r>
      <w:r w:rsidRPr="009454F6">
        <w:rPr>
          <w:lang w:val="pt-BR"/>
        </w:rPr>
        <w:t>, Dahra Teles</w:t>
      </w:r>
      <w:r w:rsidRPr="009454F6">
        <w:rPr>
          <w:vertAlign w:val="superscript"/>
          <w:lang w:val="pt-BR"/>
        </w:rPr>
        <w:t>10,11</w:t>
      </w:r>
      <w:r w:rsidRPr="009454F6">
        <w:rPr>
          <w:lang w:val="pt-BR"/>
        </w:rPr>
        <w:t>, Monica Conde Tilli</w:t>
      </w:r>
      <w:r w:rsidRPr="009454F6">
        <w:rPr>
          <w:vertAlign w:val="superscript"/>
          <w:lang w:val="pt-BR"/>
        </w:rPr>
        <w:t>1</w:t>
      </w:r>
      <w:r w:rsidRPr="009454F6">
        <w:rPr>
          <w:lang w:val="pt-BR"/>
        </w:rPr>
        <w:t xml:space="preserve"> , Shannon Kelly</w:t>
      </w:r>
      <w:r w:rsidRPr="009454F6">
        <w:rPr>
          <w:highlight w:val="white"/>
          <w:vertAlign w:val="superscript"/>
          <w:lang w:val="pt-BR"/>
        </w:rPr>
        <w:t>5</w:t>
      </w:r>
      <w:r w:rsidRPr="009454F6">
        <w:rPr>
          <w:highlight w:val="white"/>
          <w:vertAlign w:val="superscript"/>
          <w:lang w:val="pt-BR"/>
        </w:rPr>
        <w:t>,12</w:t>
      </w:r>
      <w:r w:rsidRPr="009454F6">
        <w:rPr>
          <w:lang w:val="pt-BR"/>
        </w:rPr>
        <w:t>, Alex Ap. R. Silva</w:t>
      </w:r>
      <w:r w:rsidRPr="009454F6">
        <w:rPr>
          <w:vertAlign w:val="superscript"/>
          <w:lang w:val="pt-BR"/>
        </w:rPr>
        <w:t>1†</w:t>
      </w:r>
      <w:r w:rsidRPr="009454F6">
        <w:rPr>
          <w:lang w:val="pt-BR"/>
        </w:rPr>
        <w:t>, Ester C. Sabino</w:t>
      </w:r>
      <w:r w:rsidRPr="009454F6">
        <w:rPr>
          <w:vertAlign w:val="superscript"/>
          <w:lang w:val="pt-BR"/>
        </w:rPr>
        <w:t>1,13†</w:t>
      </w:r>
    </w:p>
    <w:p w:rsidR="00F81CEB" w:rsidRPr="009454F6" w:rsidRDefault="00F81CEB">
      <w:pPr>
        <w:spacing w:after="120" w:line="276" w:lineRule="auto"/>
        <w:ind w:right="-122"/>
        <w:rPr>
          <w:lang w:val="pt-BR"/>
        </w:rPr>
      </w:pPr>
    </w:p>
    <w:p w:rsidR="00F81CEB" w:rsidRPr="009454F6" w:rsidRDefault="0011240F">
      <w:pPr>
        <w:spacing w:after="120" w:line="276" w:lineRule="auto"/>
        <w:ind w:right="-122"/>
        <w:rPr>
          <w:lang w:val="pt-BR"/>
        </w:rPr>
      </w:pPr>
      <w:r w:rsidRPr="009454F6">
        <w:rPr>
          <w:vertAlign w:val="superscript"/>
          <w:lang w:val="pt-BR"/>
        </w:rPr>
        <w:t>1</w:t>
      </w:r>
      <w:r w:rsidRPr="009454F6">
        <w:rPr>
          <w:lang w:val="pt-BR"/>
        </w:rPr>
        <w:t>Universidade Municipal de São Caetano do Sul (USCS), São Caetano do Sul, Brazil;</w:t>
      </w:r>
    </w:p>
    <w:p w:rsidR="00F81CEB" w:rsidRDefault="0011240F">
      <w:pPr>
        <w:spacing w:after="120" w:line="276" w:lineRule="auto"/>
        <w:ind w:right="-122"/>
      </w:pPr>
      <w:r>
        <w:rPr>
          <w:vertAlign w:val="superscript"/>
        </w:rPr>
        <w:t>2</w:t>
      </w:r>
      <w:r>
        <w:t>Laboratory of Pathogenesis and Directed Therapy in Onco-Immuno-Hematology (LIM-31), Department of Hematology, Hemotherapy, an</w:t>
      </w:r>
      <w:r>
        <w:t xml:space="preserve">d Cell Therapy, Faculty of Medicine, University of Sao Paulo (FM-USP), Sao Paulo, Brazil; </w:t>
      </w:r>
    </w:p>
    <w:p w:rsidR="00F81CEB" w:rsidRDefault="0011240F">
      <w:pPr>
        <w:spacing w:after="120" w:line="276" w:lineRule="auto"/>
        <w:ind w:right="-122"/>
      </w:pPr>
      <w:r>
        <w:rPr>
          <w:vertAlign w:val="superscript"/>
        </w:rPr>
        <w:t>3</w:t>
      </w:r>
      <w:r>
        <w:t xml:space="preserve">National Institute of Science and Technology of </w:t>
      </w:r>
      <w:proofErr w:type="spellStart"/>
      <w:r>
        <w:t>Bioanalytics</w:t>
      </w:r>
      <w:proofErr w:type="spellEnd"/>
      <w:r>
        <w:t xml:space="preserve"> </w:t>
      </w:r>
      <w:proofErr w:type="spellStart"/>
      <w:r>
        <w:t>Lauro</w:t>
      </w:r>
      <w:proofErr w:type="spellEnd"/>
      <w:r>
        <w:t xml:space="preserve"> Kubota (</w:t>
      </w:r>
      <w:proofErr w:type="spellStart"/>
      <w:r>
        <w:t>INCTBio</w:t>
      </w:r>
      <w:proofErr w:type="spellEnd"/>
      <w:r>
        <w:t xml:space="preserve">-LK), Institute of Chemistry, </w:t>
      </w:r>
      <w:proofErr w:type="spellStart"/>
      <w:r>
        <w:t>Universidade</w:t>
      </w:r>
      <w:proofErr w:type="spellEnd"/>
      <w:r>
        <w:t xml:space="preserve"> </w:t>
      </w:r>
      <w:proofErr w:type="spellStart"/>
      <w:r>
        <w:t>Estadual</w:t>
      </w:r>
      <w:proofErr w:type="spellEnd"/>
      <w:r>
        <w:t xml:space="preserve"> de Campinas (UNICAMP), Campina</w:t>
      </w:r>
      <w:r>
        <w:t>s, São Paulo, Brazil</w:t>
      </w:r>
    </w:p>
    <w:p w:rsidR="00F81CEB" w:rsidRPr="009454F6" w:rsidRDefault="0011240F">
      <w:pPr>
        <w:spacing w:after="120" w:line="276" w:lineRule="auto"/>
        <w:ind w:right="-122"/>
        <w:rPr>
          <w:lang w:val="pt-BR"/>
        </w:rPr>
      </w:pPr>
      <w:r w:rsidRPr="009454F6">
        <w:rPr>
          <w:vertAlign w:val="superscript"/>
          <w:lang w:val="pt-BR"/>
        </w:rPr>
        <w:t>4</w:t>
      </w:r>
      <w:r w:rsidRPr="009454F6">
        <w:rPr>
          <w:lang w:val="pt-BR"/>
        </w:rPr>
        <w:t xml:space="preserve">Gerência de Desenvolvimento Técnico-Científico, Fundação Hemominas, Belo Horizonte, Brazil; </w:t>
      </w:r>
    </w:p>
    <w:p w:rsidR="00F81CEB" w:rsidRDefault="0011240F">
      <w:pPr>
        <w:spacing w:after="120" w:line="276" w:lineRule="auto"/>
        <w:ind w:right="-122"/>
      </w:pPr>
      <w:r>
        <w:rPr>
          <w:vertAlign w:val="superscript"/>
        </w:rPr>
        <w:t>5</w:t>
      </w:r>
      <w:r>
        <w:t xml:space="preserve">Vitalant Research Institute, San Francisco, CA, USA; </w:t>
      </w:r>
    </w:p>
    <w:p w:rsidR="00F81CEB" w:rsidRDefault="0011240F">
      <w:pPr>
        <w:spacing w:after="120" w:line="276" w:lineRule="auto"/>
        <w:ind w:right="-122"/>
      </w:pPr>
      <w:r>
        <w:rPr>
          <w:vertAlign w:val="superscript"/>
        </w:rPr>
        <w:t>6</w:t>
      </w:r>
      <w:r>
        <w:t>Department of Laboratory Medicine, University of California San Francisco, San Franci</w:t>
      </w:r>
      <w:r>
        <w:t xml:space="preserve">sco, CA, USA; </w:t>
      </w:r>
    </w:p>
    <w:p w:rsidR="00F81CEB" w:rsidRPr="009454F6" w:rsidRDefault="0011240F">
      <w:pPr>
        <w:spacing w:after="120" w:line="276" w:lineRule="auto"/>
        <w:ind w:right="-122"/>
        <w:rPr>
          <w:lang w:val="pt-BR"/>
        </w:rPr>
      </w:pPr>
      <w:r w:rsidRPr="009454F6">
        <w:rPr>
          <w:vertAlign w:val="superscript"/>
          <w:lang w:val="pt-BR"/>
        </w:rPr>
        <w:t>7</w:t>
      </w:r>
      <w:r w:rsidRPr="009454F6">
        <w:rPr>
          <w:lang w:val="pt-BR"/>
        </w:rPr>
        <w:t xml:space="preserve">Fundação Pró-sangue — Immunohematology Division, São Paulo, Brazil; </w:t>
      </w:r>
    </w:p>
    <w:p w:rsidR="00F81CEB" w:rsidRPr="009454F6" w:rsidRDefault="0011240F">
      <w:pPr>
        <w:spacing w:after="120" w:line="276" w:lineRule="auto"/>
        <w:ind w:right="-122"/>
        <w:rPr>
          <w:lang w:val="pt-BR"/>
        </w:rPr>
      </w:pPr>
      <w:r w:rsidRPr="009454F6">
        <w:rPr>
          <w:vertAlign w:val="superscript"/>
          <w:lang w:val="pt-BR"/>
        </w:rPr>
        <w:t>8</w:t>
      </w:r>
      <w:r w:rsidRPr="009454F6">
        <w:rPr>
          <w:lang w:val="pt-BR"/>
        </w:rPr>
        <w:t xml:space="preserve">Instituto Estadual de Hematologia Arthur de Siqueira Cavalcanti, Rio de Janeiro, Brazil; </w:t>
      </w:r>
    </w:p>
    <w:p w:rsidR="00F81CEB" w:rsidRDefault="0011240F">
      <w:pPr>
        <w:spacing w:after="120" w:line="276" w:lineRule="auto"/>
        <w:ind w:right="-122"/>
      </w:pPr>
      <w:r>
        <w:rPr>
          <w:vertAlign w:val="superscript"/>
        </w:rPr>
        <w:t>9</w:t>
      </w:r>
      <w:r>
        <w:t>Division of Infectious Diseases, Department of Medicine, Weill Cornell Medicine</w:t>
      </w:r>
      <w:r>
        <w:t xml:space="preserve">, New York City, NY, USA; </w:t>
      </w:r>
    </w:p>
    <w:p w:rsidR="00F81CEB" w:rsidRPr="009454F6" w:rsidRDefault="0011240F">
      <w:pPr>
        <w:spacing w:after="120" w:line="276" w:lineRule="auto"/>
        <w:ind w:right="-122"/>
        <w:rPr>
          <w:lang w:val="pt-BR"/>
        </w:rPr>
      </w:pPr>
      <w:r w:rsidRPr="009454F6">
        <w:rPr>
          <w:vertAlign w:val="superscript"/>
          <w:lang w:val="pt-BR"/>
        </w:rPr>
        <w:t>10</w:t>
      </w:r>
      <w:r w:rsidRPr="009454F6">
        <w:rPr>
          <w:lang w:val="pt-BR"/>
        </w:rPr>
        <w:t xml:space="preserve">Fundação HEMOPE, Recife, Pernambuco, Brazil; </w:t>
      </w:r>
    </w:p>
    <w:p w:rsidR="00F81CEB" w:rsidRPr="009454F6" w:rsidRDefault="0011240F">
      <w:pPr>
        <w:spacing w:after="120" w:line="276" w:lineRule="auto"/>
        <w:ind w:right="-122"/>
        <w:rPr>
          <w:lang w:val="pt-BR"/>
        </w:rPr>
      </w:pPr>
      <w:r w:rsidRPr="009454F6">
        <w:rPr>
          <w:vertAlign w:val="superscript"/>
          <w:lang w:val="pt-BR"/>
        </w:rPr>
        <w:t>11</w:t>
      </w:r>
      <w:r w:rsidRPr="009454F6">
        <w:rPr>
          <w:lang w:val="pt-BR"/>
        </w:rPr>
        <w:t>Universidade de Pernambuco, Recife, Pernambuco, Brazil;</w:t>
      </w:r>
    </w:p>
    <w:p w:rsidR="00F81CEB" w:rsidRDefault="0011240F">
      <w:pPr>
        <w:spacing w:after="120" w:line="276" w:lineRule="auto"/>
        <w:ind w:right="-122"/>
        <w:jc w:val="left"/>
      </w:pPr>
      <w:r>
        <w:rPr>
          <w:vertAlign w:val="superscript"/>
        </w:rPr>
        <w:t>12</w:t>
      </w:r>
      <w:r>
        <w:t>UCSF Benioff Children's Hospital, Oakland, CA, USA;</w:t>
      </w:r>
      <w:r>
        <w:br/>
      </w:r>
      <w:r>
        <w:rPr>
          <w:vertAlign w:val="superscript"/>
        </w:rPr>
        <w:t>13</w:t>
      </w:r>
      <w:r>
        <w:t xml:space="preserve">Infectious Diseases and Global Health </w:t>
      </w:r>
      <w:proofErr w:type="spellStart"/>
      <w:r>
        <w:t>Programme</w:t>
      </w:r>
      <w:proofErr w:type="spellEnd"/>
      <w:r>
        <w:t>, Faculty of Medicin</w:t>
      </w:r>
      <w:r>
        <w:t>e, University of Sao Paulo (FM-USP), Sao Paulo, Brazil.</w:t>
      </w:r>
    </w:p>
    <w:p w:rsidR="00F81CEB" w:rsidRPr="009454F6" w:rsidRDefault="0011240F">
      <w:pPr>
        <w:spacing w:after="120" w:line="276" w:lineRule="auto"/>
        <w:ind w:right="-122"/>
        <w:jc w:val="left"/>
        <w:rPr>
          <w:lang w:val="pt-BR"/>
        </w:rPr>
      </w:pPr>
      <w:r w:rsidRPr="009454F6">
        <w:rPr>
          <w:vertAlign w:val="superscript"/>
          <w:lang w:val="pt-BR"/>
        </w:rPr>
        <w:t>14</w:t>
      </w:r>
      <w:r w:rsidRPr="009454F6">
        <w:rPr>
          <w:lang w:val="pt-BR"/>
        </w:rPr>
        <w:t>Faculdade Israelita de Ciências da Saúde Albert Einstein (FICSAE), São Paulo, Brazil</w:t>
      </w:r>
    </w:p>
    <w:p w:rsidR="00F81CEB" w:rsidRPr="009454F6" w:rsidRDefault="00F81CEB">
      <w:pPr>
        <w:spacing w:after="120" w:line="276" w:lineRule="auto"/>
        <w:ind w:right="-122"/>
        <w:jc w:val="left"/>
        <w:rPr>
          <w:lang w:val="pt-BR"/>
        </w:rPr>
      </w:pPr>
    </w:p>
    <w:p w:rsidR="00F81CEB" w:rsidRPr="009454F6" w:rsidRDefault="0011240F">
      <w:pPr>
        <w:spacing w:after="120" w:line="276" w:lineRule="auto"/>
        <w:ind w:right="840"/>
        <w:jc w:val="left"/>
        <w:rPr>
          <w:highlight w:val="white"/>
          <w:lang w:val="pt-BR"/>
        </w:rPr>
      </w:pPr>
      <w:r w:rsidRPr="009454F6">
        <w:rPr>
          <w:highlight w:val="white"/>
          <w:lang w:val="pt-BR"/>
        </w:rPr>
        <w:t xml:space="preserve">Correspondence: Sheila O. G. Mateos (sheila.mateos@online.uscs.edu.br) </w:t>
      </w:r>
    </w:p>
    <w:p w:rsidR="00F81CEB" w:rsidRDefault="0011240F">
      <w:pPr>
        <w:spacing w:after="120" w:line="276" w:lineRule="auto"/>
        <w:ind w:right="840"/>
        <w:jc w:val="left"/>
        <w:rPr>
          <w:b/>
          <w:bCs/>
        </w:rPr>
      </w:pPr>
      <w:r>
        <w:rPr>
          <w:highlight w:val="white"/>
        </w:rPr>
        <w:t>*The authors contributed equally to this study.                                                †A.A.R.S. and E.C.S. are joint senior authors.</w:t>
      </w:r>
    </w:p>
    <w:p w:rsidR="00F81CEB" w:rsidRDefault="0011240F">
      <w:pPr>
        <w:spacing w:line="276" w:lineRule="auto"/>
      </w:pPr>
      <w:r>
        <w:br w:type="page"/>
      </w:r>
    </w:p>
    <w:p w:rsidR="00F81CEB" w:rsidRDefault="0011240F">
      <w:pPr>
        <w:pBdr>
          <w:top w:val="nil"/>
          <w:left w:val="nil"/>
          <w:bottom w:val="nil"/>
          <w:right w:val="nil"/>
          <w:between w:val="nil"/>
        </w:pBdr>
        <w:spacing w:after="120" w:line="360" w:lineRule="auto"/>
        <w:jc w:val="center"/>
        <w:rPr>
          <w:b/>
          <w:bCs/>
        </w:rPr>
      </w:pPr>
      <w:bookmarkStart w:id="3" w:name="_vi5tmlw20hsh" w:colFirst="0" w:colLast="0"/>
      <w:bookmarkEnd w:id="3"/>
      <w:r>
        <w:rPr>
          <w:b/>
          <w:bCs/>
        </w:rPr>
        <w:lastRenderedPageBreak/>
        <w:t>Supplementary Methodology</w:t>
      </w:r>
    </w:p>
    <w:p w:rsidR="00F81CEB" w:rsidRDefault="0011240F">
      <w:pPr>
        <w:pBdr>
          <w:top w:val="nil"/>
          <w:left w:val="nil"/>
          <w:bottom w:val="nil"/>
          <w:right w:val="nil"/>
          <w:between w:val="nil"/>
        </w:pBdr>
        <w:spacing w:after="120" w:line="360" w:lineRule="auto"/>
        <w:jc w:val="left"/>
        <w:rPr>
          <w:b/>
          <w:bCs/>
        </w:rPr>
      </w:pPr>
      <w:r>
        <w:rPr>
          <w:b/>
          <w:bCs/>
        </w:rPr>
        <w:t>Sample Preparation and Metabolite Extraction</w:t>
      </w:r>
    </w:p>
    <w:p w:rsidR="00F81CEB" w:rsidRDefault="0011240F">
      <w:pPr>
        <w:shd w:val="clear" w:color="auto" w:fill="FFFFFF"/>
        <w:spacing w:after="120" w:line="360" w:lineRule="auto"/>
        <w:ind w:firstLine="720"/>
        <w:rPr>
          <w:highlight w:val="white"/>
        </w:rPr>
      </w:pPr>
      <w:r>
        <w:rPr>
          <w:highlight w:val="white"/>
        </w:rPr>
        <w:t>For the lipidomic analysis, initially, th</w:t>
      </w:r>
      <w:r>
        <w:rPr>
          <w:highlight w:val="white"/>
        </w:rPr>
        <w:t>e samples were centrifuged at 12,000 rpm for 10 minutes at 4 °C. Subsequently, 200</w:t>
      </w:r>
      <w:r>
        <w:t xml:space="preserve"> </w:t>
      </w:r>
      <w:proofErr w:type="spellStart"/>
      <w:r>
        <w:t>μL</w:t>
      </w:r>
      <w:proofErr w:type="spellEnd"/>
      <w:r>
        <w:rPr>
          <w:highlight w:val="white"/>
        </w:rPr>
        <w:t xml:space="preserve"> of the supernatant was transferred to a clean microtube and combined with 800 </w:t>
      </w:r>
      <w:proofErr w:type="spellStart"/>
      <w:r>
        <w:rPr>
          <w:highlight w:val="white"/>
        </w:rPr>
        <w:t>μL</w:t>
      </w:r>
      <w:proofErr w:type="spellEnd"/>
      <w:r>
        <w:rPr>
          <w:highlight w:val="white"/>
        </w:rPr>
        <w:t xml:space="preserve"> of </w:t>
      </w:r>
      <w:proofErr w:type="gramStart"/>
      <w:r>
        <w:rPr>
          <w:highlight w:val="white"/>
        </w:rPr>
        <w:t>a  cold</w:t>
      </w:r>
      <w:proofErr w:type="gramEnd"/>
      <w:r>
        <w:rPr>
          <w:highlight w:val="white"/>
        </w:rPr>
        <w:t xml:space="preserve"> </w:t>
      </w:r>
      <w:proofErr w:type="spellStart"/>
      <w:r>
        <w:rPr>
          <w:highlight w:val="white"/>
        </w:rPr>
        <w:t>methanol:chloroform:tert-Butyl</w:t>
      </w:r>
      <w:proofErr w:type="spellEnd"/>
      <w:r>
        <w:rPr>
          <w:highlight w:val="white"/>
        </w:rPr>
        <w:t xml:space="preserve"> methyl ether (1.33:1:1, v/v/v) solution. The mi</w:t>
      </w:r>
      <w:r>
        <w:rPr>
          <w:highlight w:val="white"/>
        </w:rPr>
        <w:t>xture was vortexed vigorously for 30 seconds and centrifuged at 12,000 x g for 10 minutes at 4 °C to pellet debris. The supernatant was carefully transferred to a clean cryotube or Eppendorf tube (without a sealing ring), avoiding any disturbance of the pe</w:t>
      </w:r>
      <w:r>
        <w:rPr>
          <w:highlight w:val="white"/>
        </w:rPr>
        <w:t>llet. From the organic (lower) phase, 450 </w:t>
      </w:r>
      <w:proofErr w:type="spellStart"/>
      <w:r>
        <w:rPr>
          <w:highlight w:val="white"/>
        </w:rPr>
        <w:t>μL</w:t>
      </w:r>
      <w:proofErr w:type="spellEnd"/>
      <w:r>
        <w:rPr>
          <w:highlight w:val="white"/>
        </w:rPr>
        <w:t xml:space="preserve"> were collected and dried. The dried extracts were stored at –80 °C until analysis. Prior to LC analysis, samples were resuspended in the same initial proportion of the mobile phase (200 </w:t>
      </w:r>
      <w:proofErr w:type="spellStart"/>
      <w:r>
        <w:t>μL</w:t>
      </w:r>
      <w:proofErr w:type="spellEnd"/>
      <w:r>
        <w:rPr>
          <w:highlight w:val="white"/>
        </w:rPr>
        <w:t>) used in the chromatog</w:t>
      </w:r>
      <w:r>
        <w:rPr>
          <w:highlight w:val="white"/>
        </w:rPr>
        <w:t>raphic system.</w:t>
      </w:r>
    </w:p>
    <w:p w:rsidR="00F81CEB" w:rsidRDefault="0011240F">
      <w:pPr>
        <w:shd w:val="clear" w:color="auto" w:fill="FFFFFF"/>
        <w:spacing w:after="120" w:line="360" w:lineRule="auto"/>
        <w:rPr>
          <w:b/>
          <w:bCs/>
        </w:rPr>
      </w:pPr>
      <w:r>
        <w:rPr>
          <w:b/>
          <w:bCs/>
          <w:highlight w:val="white"/>
        </w:rPr>
        <w:t>Liquid chromatography coupled to mass spectrometry</w:t>
      </w:r>
      <w:r>
        <w:rPr>
          <w:b/>
          <w:bCs/>
        </w:rPr>
        <w:t xml:space="preserve"> analysis</w:t>
      </w:r>
    </w:p>
    <w:p w:rsidR="00F81CEB" w:rsidRDefault="0011240F">
      <w:pPr>
        <w:shd w:val="clear" w:color="auto" w:fill="FFFFFF"/>
        <w:spacing w:after="120" w:line="360" w:lineRule="auto"/>
        <w:ind w:firstLine="720"/>
      </w:pPr>
      <w:r>
        <w:t xml:space="preserve">Untargeted metabolomics analyses were performed using LC-MS as previously reported. A Waters </w:t>
      </w:r>
      <w:proofErr w:type="spellStart"/>
      <w:r>
        <w:t>Acquity</w:t>
      </w:r>
      <w:proofErr w:type="spellEnd"/>
      <w:r>
        <w:t xml:space="preserve"> UPLC system coupled with a </w:t>
      </w:r>
      <w:r>
        <w:rPr>
          <w:highlight w:val="white"/>
        </w:rPr>
        <w:t xml:space="preserve">SYNAPT </w:t>
      </w:r>
      <w:proofErr w:type="gramStart"/>
      <w:r>
        <w:rPr>
          <w:highlight w:val="white"/>
        </w:rPr>
        <w:t>XS</w:t>
      </w:r>
      <w:r>
        <w:t xml:space="preserve">  mass</w:t>
      </w:r>
      <w:proofErr w:type="gramEnd"/>
      <w:r>
        <w:t xml:space="preserve"> spectrometer equipped with an electro</w:t>
      </w:r>
      <w:r>
        <w:t>spray ionization source (ESI) was used. The samples were separated by an ACQUITY UPLC and eluted through a CSH C18 column (1.7 µm × 100 mm × 2.1 mm) (Waters Ltd., Elstree, UK), and analysis was acquired in negative mode. The column oven was maintained at 4</w:t>
      </w:r>
      <w:r>
        <w:t>0 °C throughout the chromatographic run.</w:t>
      </w:r>
    </w:p>
    <w:p w:rsidR="00F81CEB" w:rsidRDefault="0011240F">
      <w:pPr>
        <w:shd w:val="clear" w:color="auto" w:fill="FFFFFF"/>
        <w:spacing w:after="120" w:line="360" w:lineRule="auto"/>
        <w:ind w:firstLine="720"/>
      </w:pPr>
      <w:r>
        <w:t xml:space="preserve">For the analysis, mobile phase A was employed using an ACN/H₂O solution (60:40, v/v) and 10 mM ammonium </w:t>
      </w:r>
      <w:proofErr w:type="spellStart"/>
      <w:r>
        <w:t>formate</w:t>
      </w:r>
      <w:proofErr w:type="spellEnd"/>
      <w:r>
        <w:t xml:space="preserve"> + 0.1% formic acid, and mobile phase B, comprising isopropanol/ACN (90:10, v/v) </w:t>
      </w:r>
      <w:r>
        <w:rPr>
          <w:highlight w:val="white"/>
        </w:rPr>
        <w:t xml:space="preserve">with 10 mM ammonium </w:t>
      </w:r>
      <w:proofErr w:type="spellStart"/>
      <w:r>
        <w:rPr>
          <w:highlight w:val="white"/>
        </w:rPr>
        <w:t>for</w:t>
      </w:r>
      <w:r>
        <w:rPr>
          <w:highlight w:val="white"/>
        </w:rPr>
        <w:t>mate</w:t>
      </w:r>
      <w:proofErr w:type="spellEnd"/>
      <w:r>
        <w:rPr>
          <w:highlight w:val="white"/>
        </w:rPr>
        <w:t xml:space="preserve"> + 0.1% formic acid. The flow rate was 0.400 mL/min. The method started with 10% of solvent A, followed by </w:t>
      </w:r>
      <w:r>
        <w:t>an 18-minute</w:t>
      </w:r>
      <w:r>
        <w:rPr>
          <w:highlight w:val="white"/>
        </w:rPr>
        <w:t xml:space="preserve"> </w:t>
      </w:r>
      <w:r>
        <w:t>ramp-up</w:t>
      </w:r>
      <w:r>
        <w:rPr>
          <w:highlight w:val="white"/>
        </w:rPr>
        <w:t xml:space="preserve"> to 70% of B, which was then held for </w:t>
      </w:r>
      <w:r>
        <w:t>1.5</w:t>
      </w:r>
      <w:r>
        <w:rPr>
          <w:highlight w:val="white"/>
        </w:rPr>
        <w:t xml:space="preserve"> minutes. Shortly after, the system returned to the initial value of 10% of A, maint</w:t>
      </w:r>
      <w:r>
        <w:rPr>
          <w:highlight w:val="white"/>
        </w:rPr>
        <w:t xml:space="preserve">aining this condition for an additional </w:t>
      </w:r>
      <w:r>
        <w:t>3.5</w:t>
      </w:r>
      <w:r>
        <w:rPr>
          <w:highlight w:val="white"/>
        </w:rPr>
        <w:t xml:space="preserve"> minutes for re-equilibration. The total run time was 22 minutes, with an injection volume of 2 </w:t>
      </w:r>
      <w:proofErr w:type="spellStart"/>
      <w:r>
        <w:rPr>
          <w:highlight w:val="white"/>
        </w:rPr>
        <w:t>μL</w:t>
      </w:r>
      <w:proofErr w:type="spellEnd"/>
      <w:r>
        <w:rPr>
          <w:highlight w:val="white"/>
        </w:rPr>
        <w:t>.</w:t>
      </w:r>
      <w:r>
        <w:rPr>
          <w:highlight w:val="white"/>
        </w:rPr>
        <w:br/>
      </w:r>
      <w:r>
        <w:rPr>
          <w:highlight w:val="white"/>
        </w:rPr>
        <w:tab/>
      </w:r>
      <w:r>
        <w:t>Data was obtained in MS</w:t>
      </w:r>
      <w:r>
        <w:rPr>
          <w:vertAlign w:val="superscript"/>
        </w:rPr>
        <w:t>E</w:t>
      </w:r>
      <w:r>
        <w:t xml:space="preserve"> mode employing 6 V for low collision energy and a ramp of 20–50 V for high collision en</w:t>
      </w:r>
      <w:r>
        <w:t xml:space="preserve">ergy. The range was set from 50 to 1200 Da, with a scan duration of 0.5 s. Leucine enkephalin (molecular weight = 555.62; 200 </w:t>
      </w:r>
      <w:proofErr w:type="spellStart"/>
      <w:r>
        <w:t>pg</w:t>
      </w:r>
      <w:proofErr w:type="spellEnd"/>
      <w:r>
        <w:t xml:space="preserve"> L</w:t>
      </w:r>
      <w:r>
        <w:rPr>
          <w:rFonts w:ascii="Gungsuh" w:eastAsia="Gungsuh" w:hAnsi="Gungsuh" w:cs="Gungsuh"/>
          <w:vertAlign w:val="superscript"/>
        </w:rPr>
        <w:t>−</w:t>
      </w:r>
      <w:r>
        <w:rPr>
          <w:rFonts w:ascii="Gungsuh" w:eastAsia="Gungsuh" w:hAnsi="Gungsuh" w:cs="Gungsuh"/>
          <w:vertAlign w:val="superscript"/>
        </w:rPr>
        <w:t>1</w:t>
      </w:r>
      <w:r>
        <w:t xml:space="preserve"> in 1:1 </w:t>
      </w:r>
      <w:proofErr w:type="gramStart"/>
      <w:r>
        <w:t>ACN:H</w:t>
      </w:r>
      <w:r>
        <w:rPr>
          <w:vertAlign w:val="subscript"/>
        </w:rPr>
        <w:t>2</w:t>
      </w:r>
      <w:r>
        <w:t>O</w:t>
      </w:r>
      <w:proofErr w:type="gramEnd"/>
      <w:r>
        <w:t xml:space="preserve">, v/v) was used as the lock mass, and calibration was performed using 0.5 mM sodium </w:t>
      </w:r>
      <w:proofErr w:type="spellStart"/>
      <w:r>
        <w:t>formate</w:t>
      </w:r>
      <w:proofErr w:type="spellEnd"/>
      <w:r>
        <w:t xml:space="preserve"> solution. Additio</w:t>
      </w:r>
      <w:r>
        <w:t xml:space="preserve">nal settings included a source temperature of 140°C, a </w:t>
      </w:r>
      <w:proofErr w:type="spellStart"/>
      <w:r>
        <w:t>desolvation</w:t>
      </w:r>
      <w:proofErr w:type="spellEnd"/>
      <w:r>
        <w:t xml:space="preserve"> temperature of 550°C, a </w:t>
      </w:r>
      <w:proofErr w:type="spellStart"/>
      <w:r>
        <w:t>desolvation</w:t>
      </w:r>
      <w:proofErr w:type="spellEnd"/>
      <w:r>
        <w:t xml:space="preserve"> gas flow rate of 900 L h</w:t>
      </w:r>
      <w:r>
        <w:rPr>
          <w:rFonts w:ascii="Gungsuh" w:eastAsia="Gungsuh" w:hAnsi="Gungsuh" w:cs="Gungsuh"/>
          <w:vertAlign w:val="superscript"/>
        </w:rPr>
        <w:t>−</w:t>
      </w:r>
      <w:r>
        <w:rPr>
          <w:rFonts w:ascii="Gungsuh" w:eastAsia="Gungsuh" w:hAnsi="Gungsuh" w:cs="Gungsuh"/>
          <w:vertAlign w:val="superscript"/>
        </w:rPr>
        <w:t>1</w:t>
      </w:r>
      <w:r>
        <w:t>, a capillary voltage of 2.5 kV, and a cone voltage of 40 V.</w:t>
      </w:r>
    </w:p>
    <w:p w:rsidR="00F81CEB" w:rsidRDefault="0011240F">
      <w:pPr>
        <w:shd w:val="clear" w:color="auto" w:fill="FFFFFF"/>
        <w:spacing w:after="120" w:line="360" w:lineRule="auto"/>
        <w:ind w:firstLine="720"/>
      </w:pPr>
      <w:r>
        <w:lastRenderedPageBreak/>
        <w:t>Pooled quality control (QC) samples were prepared by combining ali</w:t>
      </w:r>
      <w:r>
        <w:t>quots from all study samples and injected every 10 runs throughout the analytical sequence to monitor extraction reproducibility and instrument stability. Sample injection order was randomized to minimize technical bias, and solvent blanks were analyzed to</w:t>
      </w:r>
      <w:r>
        <w:t xml:space="preserve"> monitor background and carryover.</w:t>
      </w:r>
    </w:p>
    <w:p w:rsidR="00F81CEB" w:rsidRDefault="00F81CEB">
      <w:pPr>
        <w:shd w:val="clear" w:color="auto" w:fill="FFFFFF"/>
        <w:spacing w:after="120" w:line="360" w:lineRule="auto"/>
        <w:ind w:firstLine="720"/>
      </w:pPr>
    </w:p>
    <w:p w:rsidR="00F81CEB" w:rsidRDefault="0011240F">
      <w:pPr>
        <w:shd w:val="clear" w:color="auto" w:fill="FFFFFF"/>
        <w:spacing w:after="120" w:line="360" w:lineRule="auto"/>
        <w:ind w:firstLine="720"/>
      </w:pPr>
      <w:r>
        <w:br w:type="page"/>
      </w:r>
    </w:p>
    <w:p w:rsidR="00F81CEB" w:rsidRDefault="0011240F">
      <w:pPr>
        <w:spacing w:after="240" w:line="360" w:lineRule="auto"/>
        <w:jc w:val="center"/>
        <w:rPr>
          <w:b/>
          <w:bCs/>
        </w:rPr>
      </w:pPr>
      <w:r>
        <w:rPr>
          <w:b/>
          <w:bCs/>
        </w:rPr>
        <w:lastRenderedPageBreak/>
        <w:t>Supplementary Results</w:t>
      </w:r>
      <w:r>
        <w:rPr>
          <w:noProof/>
        </w:rPr>
        <w:drawing>
          <wp:anchor distT="114300" distB="114300" distL="114300" distR="114300" simplePos="0" relativeHeight="251658240" behindDoc="0" locked="0" layoutInCell="1" hidden="0" allowOverlap="1">
            <wp:simplePos x="0" y="0"/>
            <wp:positionH relativeFrom="column">
              <wp:posOffset>-866773</wp:posOffset>
            </wp:positionH>
            <wp:positionV relativeFrom="paragraph">
              <wp:posOffset>495300</wp:posOffset>
            </wp:positionV>
            <wp:extent cx="7240088" cy="5596246"/>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240088" cy="5596246"/>
                    </a:xfrm>
                    <a:prstGeom prst="rect">
                      <a:avLst/>
                    </a:prstGeom>
                    <a:ln/>
                  </pic:spPr>
                </pic:pic>
              </a:graphicData>
            </a:graphic>
          </wp:anchor>
        </w:drawing>
      </w:r>
    </w:p>
    <w:p w:rsidR="00F81CEB" w:rsidRDefault="0011240F">
      <w:pPr>
        <w:pBdr>
          <w:top w:val="nil"/>
          <w:left w:val="nil"/>
          <w:bottom w:val="nil"/>
          <w:right w:val="nil"/>
          <w:between w:val="nil"/>
        </w:pBdr>
        <w:spacing w:after="240"/>
      </w:pPr>
      <w:r>
        <w:rPr>
          <w:b/>
          <w:bCs/>
        </w:rPr>
        <w:t>Figure S1.</w:t>
      </w:r>
      <w:r>
        <w:t xml:space="preserve"> Representative chromatograms from untargeted LC–MS analysis in negative ionization mode. (A) Plasma sample from a patient with leg ulcers due to sickle cell disease (SCLU). (B) Plasma sample from a control subject without leg ulcer.</w:t>
      </w:r>
    </w:p>
    <w:sectPr w:rsidR="00F81CEB">
      <w:headerReference w:type="default" r:id="rId7"/>
      <w:footerReference w:type="even" r:id="rId8"/>
      <w:footerReference w:type="default" r:id="rId9"/>
      <w:pgSz w:w="11906" w:h="16838"/>
      <w:pgMar w:top="1133" w:right="1133" w:bottom="1133" w:left="17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40F" w:rsidRDefault="0011240F">
      <w:pPr>
        <w:spacing w:line="240" w:lineRule="auto"/>
      </w:pPr>
      <w:r>
        <w:separator/>
      </w:r>
    </w:p>
  </w:endnote>
  <w:endnote w:type="continuationSeparator" w:id="0">
    <w:p w:rsidR="0011240F" w:rsidRDefault="00112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02E72237-CCCB-4C32-8B8A-EE828F4920A8}"/>
  </w:font>
  <w:font w:name="Gungsuh">
    <w:charset w:val="81"/>
    <w:family w:val="roman"/>
    <w:pitch w:val="variable"/>
    <w:sig w:usb0="B00002AF" w:usb1="69D77CFB" w:usb2="00000030" w:usb3="00000000" w:csb0="0008009F" w:csb1="00000000"/>
    <w:embedRegular r:id="rId2" w:subsetted="1" w:fontKey="{D0E20236-FB41-4B15-8C40-BD8604D07294}"/>
  </w:font>
  <w:font w:name="Times">
    <w:panose1 w:val="02020603050405020304"/>
    <w:charset w:val="00"/>
    <w:family w:val="roman"/>
    <w:pitch w:val="variable"/>
    <w:sig w:usb0="E0002EFF" w:usb1="C000785B" w:usb2="00000009" w:usb3="00000000" w:csb0="000001FF" w:csb1="00000000"/>
    <w:embedRegular r:id="rId3" w:fontKey="{1D26D2FC-ED3C-4C69-A376-7D4AC619B396}"/>
  </w:font>
  <w:font w:name="Calibri">
    <w:panose1 w:val="020F0502020204030204"/>
    <w:charset w:val="00"/>
    <w:family w:val="swiss"/>
    <w:pitch w:val="variable"/>
    <w:sig w:usb0="E4002EFF" w:usb1="C200247B" w:usb2="00000009" w:usb3="00000000" w:csb0="000001FF" w:csb1="00000000"/>
    <w:embedRegular r:id="rId4" w:fontKey="{585CFC2F-9EBC-4E6A-A5F1-ACF43B7E9D27}"/>
  </w:font>
  <w:font w:name="Cambria">
    <w:panose1 w:val="02040503050406030204"/>
    <w:charset w:val="00"/>
    <w:family w:val="roman"/>
    <w:pitch w:val="variable"/>
    <w:sig w:usb0="E00006FF" w:usb1="420024FF" w:usb2="02000000" w:usb3="00000000" w:csb0="0000019F" w:csb1="00000000"/>
    <w:embedRegular r:id="rId5" w:fontKey="{77E06C68-F8F7-4198-8C67-0DDC0ED4E7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CEB" w:rsidRDefault="0011240F">
    <w:pPr>
      <w:pBdr>
        <w:top w:val="nil"/>
        <w:left w:val="nil"/>
        <w:bottom w:val="nil"/>
        <w:right w:val="nil"/>
        <w:between w:val="nil"/>
      </w:pBdr>
      <w:tabs>
        <w:tab w:val="center" w:pos="4320"/>
        <w:tab w:val="right" w:pos="8640"/>
      </w:tabs>
      <w:spacing w:after="200" w:line="240" w:lineRule="auto"/>
      <w:jc w:val="right"/>
      <w:rPr>
        <w:rFonts w:ascii="Times" w:eastAsia="Times" w:hAnsi="Times" w:cs="Times"/>
        <w:color w:val="000000"/>
      </w:rPr>
    </w:pPr>
    <w:r>
      <w:rPr>
        <w:rFonts w:ascii="Times" w:eastAsia="Times" w:hAnsi="Times" w:cs="Times"/>
        <w:color w:val="000000"/>
      </w:rPr>
      <w:fldChar w:fldCharType="begin"/>
    </w:r>
    <w:r>
      <w:rPr>
        <w:rFonts w:ascii="Times" w:eastAsia="Times" w:hAnsi="Times" w:cs="Times"/>
        <w:color w:val="000000"/>
      </w:rPr>
      <w:instrText>PAGE</w:instrText>
    </w:r>
    <w:r>
      <w:rPr>
        <w:rFonts w:ascii="Times" w:eastAsia="Times" w:hAnsi="Times" w:cs="Times"/>
        <w:color w:val="000000"/>
      </w:rPr>
      <w:fldChar w:fldCharType="end"/>
    </w:r>
  </w:p>
  <w:p w:rsidR="00F81CEB" w:rsidRDefault="00F81CEB">
    <w:pPr>
      <w:pBdr>
        <w:top w:val="nil"/>
        <w:left w:val="nil"/>
        <w:bottom w:val="nil"/>
        <w:right w:val="nil"/>
        <w:between w:val="nil"/>
      </w:pBdr>
      <w:tabs>
        <w:tab w:val="center" w:pos="4320"/>
        <w:tab w:val="right" w:pos="8640"/>
      </w:tabs>
      <w:spacing w:after="200" w:line="240" w:lineRule="auto"/>
      <w:ind w:right="360"/>
      <w:rPr>
        <w:rFonts w:ascii="Times" w:eastAsia="Times" w:hAnsi="Times" w:cs="Time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CEB" w:rsidRDefault="0011240F">
    <w:pPr>
      <w:pBdr>
        <w:top w:val="nil"/>
        <w:left w:val="nil"/>
        <w:bottom w:val="nil"/>
        <w:right w:val="nil"/>
        <w:between w:val="nil"/>
      </w:pBdr>
      <w:tabs>
        <w:tab w:val="center" w:pos="4320"/>
        <w:tab w:val="right" w:pos="8640"/>
      </w:tabs>
      <w:spacing w:after="200" w:line="240" w:lineRule="auto"/>
      <w:jc w:val="right"/>
      <w:rPr>
        <w:rFonts w:ascii="Times" w:eastAsia="Times" w:hAnsi="Times" w:cs="Times"/>
        <w:color w:val="000000"/>
      </w:rPr>
    </w:pPr>
    <w:r>
      <w:rPr>
        <w:rFonts w:ascii="Times" w:eastAsia="Times" w:hAnsi="Times" w:cs="Times"/>
        <w:color w:val="000000"/>
      </w:rPr>
      <w:fldChar w:fldCharType="begin"/>
    </w:r>
    <w:r>
      <w:rPr>
        <w:rFonts w:ascii="Times" w:eastAsia="Times" w:hAnsi="Times" w:cs="Times"/>
        <w:color w:val="000000"/>
      </w:rPr>
      <w:instrText>PAGE</w:instrText>
    </w:r>
    <w:r w:rsidR="009454F6">
      <w:rPr>
        <w:rFonts w:ascii="Times" w:eastAsia="Times" w:hAnsi="Times" w:cs="Times"/>
        <w:color w:val="000000"/>
      </w:rPr>
      <w:fldChar w:fldCharType="separate"/>
    </w:r>
    <w:r w:rsidR="009454F6">
      <w:rPr>
        <w:rFonts w:ascii="Times" w:eastAsia="Times" w:hAnsi="Times" w:cs="Times"/>
        <w:noProof/>
        <w:color w:val="000000"/>
      </w:rPr>
      <w:t>1</w:t>
    </w:r>
    <w:r>
      <w:rPr>
        <w:rFonts w:ascii="Times" w:eastAsia="Times" w:hAnsi="Times" w:cs="Times"/>
        <w:color w:val="000000"/>
      </w:rPr>
      <w:fldChar w:fldCharType="end"/>
    </w:r>
  </w:p>
  <w:p w:rsidR="00F81CEB" w:rsidRDefault="00F81CEB">
    <w:pPr>
      <w:pBdr>
        <w:top w:val="nil"/>
        <w:left w:val="nil"/>
        <w:bottom w:val="nil"/>
        <w:right w:val="nil"/>
        <w:between w:val="nil"/>
      </w:pBdr>
      <w:tabs>
        <w:tab w:val="center" w:pos="4320"/>
        <w:tab w:val="right" w:pos="8640"/>
      </w:tabs>
      <w:spacing w:after="200" w:line="240" w:lineRule="auto"/>
      <w:ind w:right="360"/>
      <w:rPr>
        <w:rFonts w:ascii="Times" w:eastAsia="Times" w:hAnsi="Times" w:cs="Time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40F" w:rsidRDefault="0011240F">
      <w:pPr>
        <w:spacing w:line="240" w:lineRule="auto"/>
      </w:pPr>
      <w:r>
        <w:separator/>
      </w:r>
    </w:p>
  </w:footnote>
  <w:footnote w:type="continuationSeparator" w:id="0">
    <w:p w:rsidR="0011240F" w:rsidRDefault="001124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CEB" w:rsidRDefault="00F81C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CEB"/>
    <w:rsid w:val="0011240F"/>
    <w:rsid w:val="009454F6"/>
    <w:rsid w:val="00F81C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C4A3C-15A0-475B-85AD-C3ADBECE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pt-BR" w:bidi="ar-SA"/>
      </w:rPr>
    </w:rPrDefault>
    <w:pPrDefault>
      <w:pPr>
        <w:spacing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4531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Custódio Carvalho dos Santos</dc:creator>
  <cp:lastModifiedBy>Felipe Custódio Carvalho dos Santos</cp:lastModifiedBy>
  <cp:revision>2</cp:revision>
  <dcterms:created xsi:type="dcterms:W3CDTF">2026-08-25T20:14:00Z</dcterms:created>
  <dcterms:modified xsi:type="dcterms:W3CDTF">2026-08-25T20:14:00Z</dcterms:modified>
</cp:coreProperties>
</file>