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443E3C" w:rsidRDefault="00000000">
      <w:pPr>
        <w:spacing w:line="480" w:lineRule="auto"/>
        <w:ind w:left="-1440" w:right="-153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SUPPLEMENTARY MATERIALS</w:t>
      </w:r>
    </w:p>
    <w:p w14:paraId="00000002" w14:textId="77777777" w:rsidR="00443E3C" w:rsidRDefault="00000000">
      <w:pPr>
        <w:spacing w:line="480" w:lineRule="auto"/>
        <w:ind w:left="-1440" w:right="-153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Supplementary Tables</w:t>
      </w:r>
    </w:p>
    <w:p w14:paraId="00000003" w14:textId="77777777" w:rsidR="00443E3C" w:rsidRDefault="00000000">
      <w:pPr>
        <w:spacing w:line="480" w:lineRule="auto"/>
        <w:ind w:left="-1440" w:right="-153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Supplementary Table 1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b/>
          <w:bCs/>
        </w:rPr>
        <w:t>Summary of significant differentially used isoforms in the long-read RNA-seq dataset.</w:t>
      </w:r>
    </w:p>
    <w:p w14:paraId="00000004" w14:textId="7BFD7FAB" w:rsidR="00443E3C" w:rsidRDefault="00000000">
      <w:pPr>
        <w:spacing w:line="480" w:lineRule="auto"/>
        <w:ind w:left="-1440" w:right="-153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Table containing all isoforms with significant differential isoform usage based on the long-read RNA-seq analysis between experimental AD and CT, including gene and transcript annotations, isoform fraction estimates, changes in isoform usage, and significance metrics.</w:t>
      </w:r>
      <w:r w:rsidR="00853BBA">
        <w:rPr>
          <w:rFonts w:ascii="Arial" w:eastAsia="Arial" w:hAnsi="Arial" w:cs="Arial"/>
        </w:rPr>
        <w:t xml:space="preserve"> PTC: predicted premature termination codon status (TRUE = predicted NMD-sensitive; NA = open reading frame could not be assigned).</w:t>
      </w:r>
    </w:p>
    <w:p w14:paraId="00000005" w14:textId="77777777" w:rsidR="00443E3C" w:rsidRDefault="00000000">
      <w:pPr>
        <w:spacing w:line="480" w:lineRule="auto"/>
        <w:ind w:left="-1440" w:right="-153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Supplementary Table 2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b/>
          <w:bCs/>
        </w:rPr>
        <w:t>Summary of significant promoter switches in the long-read RNA-seq dataset.</w:t>
      </w:r>
      <w:r>
        <w:rPr>
          <w:rFonts w:ascii="Arial" w:eastAsia="Arial" w:hAnsi="Arial" w:cs="Arial"/>
        </w:rPr>
        <w:t xml:space="preserve"> </w:t>
      </w:r>
    </w:p>
    <w:p w14:paraId="00000006" w14:textId="77777777" w:rsidR="00443E3C" w:rsidRDefault="00000000">
      <w:pPr>
        <w:spacing w:line="480" w:lineRule="auto"/>
        <w:ind w:left="-1440" w:right="-153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Table containing significant promoter usage switch events based on the long-read RNA-seq analysis, including gene, transcript, and promoter annotations, changes in relative promoter-associated isoform usage, and statistical significance metrics.</w:t>
      </w:r>
    </w:p>
    <w:p w14:paraId="00000007" w14:textId="77777777" w:rsidR="00443E3C" w:rsidRDefault="00000000">
      <w:pPr>
        <w:spacing w:line="480" w:lineRule="auto"/>
        <w:ind w:left="-1440" w:right="-153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Supplementary Table 3</w:t>
      </w:r>
      <w:r>
        <w:rPr>
          <w:rFonts w:ascii="Arial" w:eastAsia="Arial" w:hAnsi="Arial" w:cs="Arial"/>
        </w:rPr>
        <w:t xml:space="preserve">. Summary of significantly enriched transcription factors and motifs identified in the long-read RNA-seq dataset. </w:t>
      </w:r>
    </w:p>
    <w:p w14:paraId="00000008" w14:textId="77777777" w:rsidR="00443E3C" w:rsidRDefault="00000000">
      <w:pPr>
        <w:spacing w:line="480" w:lineRule="auto"/>
        <w:ind w:left="-1440" w:right="-153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Table listing TFs and motifs significantly enriched (</w:t>
      </w:r>
      <m:oMath>
        <m:r>
          <w:rPr>
            <w:rFonts w:ascii="Cambria Math" w:eastAsia="Cambria Math" w:hAnsi="Cambria Math" w:cs="Cambria Math"/>
          </w:rPr>
          <m:t>p ≤ 0.05</m:t>
        </m:r>
      </m:oMath>
      <w:r>
        <w:rPr>
          <w:rFonts w:ascii="Arial" w:eastAsia="Arial" w:hAnsi="Arial" w:cs="Arial"/>
        </w:rPr>
        <w:t>) in association with differential promoter usage in the long-read RNA-seq data, including TFs linked to promoters with increased or decreased usage in AD relative to CT.</w:t>
      </w:r>
    </w:p>
    <w:p w14:paraId="00000009" w14:textId="77777777" w:rsidR="00443E3C" w:rsidRDefault="00000000">
      <w:pPr>
        <w:spacing w:line="480" w:lineRule="auto"/>
        <w:ind w:left="-1440" w:right="-153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Supplementary Table 4.  Summary of significant differential PSI events.</w:t>
      </w:r>
    </w:p>
    <w:p w14:paraId="0000000A" w14:textId="77777777" w:rsidR="00443E3C" w:rsidRDefault="00000000">
      <w:pPr>
        <w:spacing w:line="480" w:lineRule="auto"/>
        <w:ind w:left="-1440" w:right="-153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Table containing significant splicing events with FDR &lt; 0.05 and </w:t>
      </w:r>
      <m:oMath>
        <m:d>
          <m:dPr>
            <m:begChr m:val="|"/>
            <m:endChr m:val="|"/>
            <m:ctrlPr>
              <w:rPr>
                <w:rFonts w:ascii="Cambria Math" w:eastAsia="Cambria Math" w:hAnsi="Cambria Math" w:cs="Cambria Math"/>
              </w:rPr>
            </m:ctrlPr>
          </m:dPr>
          <m:e>
            <m:r>
              <w:rPr>
                <w:rFonts w:ascii="Cambria Math" w:eastAsia="Cambria Math" w:hAnsi="Cambria Math" w:cs="Cambria Math"/>
              </w:rPr>
              <m:t>∆PSI</m:t>
            </m:r>
          </m:e>
        </m:d>
        <m:r>
          <w:rPr>
            <w:rFonts w:ascii="Cambria Math" w:eastAsia="Cambria Math" w:hAnsi="Cambria Math" w:cs="Cambria Math"/>
          </w:rPr>
          <m:t>≥</m:t>
        </m:r>
      </m:oMath>
      <w:r>
        <w:rPr>
          <w:rFonts w:ascii="Arial" w:eastAsia="Arial" w:hAnsi="Arial" w:cs="Arial"/>
        </w:rPr>
        <w:t xml:space="preserve"> 0.10. </w:t>
      </w:r>
    </w:p>
    <w:p w14:paraId="0000000B" w14:textId="77777777" w:rsidR="00443E3C" w:rsidRDefault="00000000">
      <w:pPr>
        <w:spacing w:line="480" w:lineRule="auto"/>
        <w:ind w:left="-1440" w:right="-153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lastRenderedPageBreak/>
        <w:t xml:space="preserve">Supplementary Table 5.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</w:rPr>
        <w:t>Long-read and short-read RNA-seq transcript-level concordance summary.</w:t>
      </w:r>
    </w:p>
    <w:p w14:paraId="0000000C" w14:textId="77777777" w:rsidR="00443E3C" w:rsidRDefault="00000000">
      <w:pPr>
        <w:spacing w:line="480" w:lineRule="auto"/>
        <w:ind w:left="-1440" w:right="-153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This table reports the number of shared transcripts compared between long-read and independent short-read RNA-seq datasets, the number showing concordant AD-vs-control direction of change, and the number meeting large-effect and effect-size similarity thresholds across platforms. Spearman and Pearson correlations summarize global agreement in transcript-level AD-vs-control log2 fold-change estimates.  </w:t>
      </w:r>
    </w:p>
    <w:p w14:paraId="0000000D" w14:textId="77777777" w:rsidR="00443E3C" w:rsidRDefault="00000000">
      <w:pPr>
        <w:spacing w:line="480" w:lineRule="auto"/>
        <w:ind w:left="-1440" w:right="-153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Supplementary Figures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b/>
          <w:bCs/>
        </w:rPr>
        <w:t xml:space="preserve">Supplementary Figure 1. Quality control of the long-read RNA-seq data from Heberle </w:t>
      </w:r>
      <w:r>
        <w:rPr>
          <w:rFonts w:ascii="Arial" w:eastAsia="Arial" w:hAnsi="Arial" w:cs="Arial"/>
          <w:b/>
          <w:bCs/>
          <w:i/>
          <w:iCs/>
        </w:rPr>
        <w:t>et al</w:t>
      </w:r>
      <w:r>
        <w:rPr>
          <w:rFonts w:ascii="Arial" w:eastAsia="Arial" w:hAnsi="Arial" w:cs="Arial"/>
          <w:b/>
          <w:bCs/>
        </w:rPr>
        <w:t>.</w:t>
      </w:r>
      <w:r>
        <w:rPr>
          <w:rFonts w:ascii="Arial" w:eastAsia="Arial" w:hAnsi="Arial" w:cs="Arial"/>
        </w:rPr>
        <w:t xml:space="preserve"> Alzheimer’s disease (AD) samples are compared with cognitively unimpaired aged controls (CT). Data were reanalyzed from Heberle </w:t>
      </w:r>
      <w:r>
        <w:rPr>
          <w:rFonts w:ascii="Arial" w:eastAsia="Arial" w:hAnsi="Arial" w:cs="Arial"/>
          <w:i/>
          <w:iCs/>
        </w:rPr>
        <w:t>et al.</w:t>
      </w:r>
      <w:r>
        <w:rPr>
          <w:rFonts w:ascii="Arial" w:eastAsia="Arial" w:hAnsi="Arial" w:cs="Arial"/>
        </w:rPr>
        <w:t xml:space="preserve">, 2024 using the same processing pipeline unless otherwise noted. </w:t>
      </w:r>
      <w:r>
        <w:rPr>
          <w:rFonts w:ascii="Arial" w:eastAsia="Arial" w:hAnsi="Arial" w:cs="Arial"/>
          <w:b/>
          <w:bCs/>
        </w:rPr>
        <w:t>(A)</w:t>
      </w:r>
      <w:r>
        <w:rPr>
          <w:rFonts w:ascii="Arial" w:eastAsia="Arial" w:hAnsi="Arial" w:cs="Arial"/>
        </w:rPr>
        <w:t xml:space="preserve"> Number of reads per sample following each stage of processing. Downstream analyses were restricted to mapped pass reads containing both primers with mapping quality (MAPQ) &gt; 10. </w:t>
      </w:r>
      <w:r>
        <w:rPr>
          <w:rFonts w:ascii="Arial" w:eastAsia="Arial" w:hAnsi="Arial" w:cs="Arial"/>
          <w:b/>
          <w:bCs/>
        </w:rPr>
        <w:t>(B)</w:t>
      </w:r>
      <w:r>
        <w:rPr>
          <w:rFonts w:ascii="Arial" w:eastAsia="Arial" w:hAnsi="Arial" w:cs="Arial"/>
        </w:rPr>
        <w:t xml:space="preserve"> N50 and median read length distributions for filtered reads. </w:t>
      </w:r>
      <w:r>
        <w:rPr>
          <w:rFonts w:ascii="Arial" w:eastAsia="Arial" w:hAnsi="Arial" w:cs="Arial"/>
          <w:b/>
          <w:bCs/>
        </w:rPr>
        <w:t>(C)</w:t>
      </w:r>
      <w:r>
        <w:rPr>
          <w:rFonts w:ascii="Arial" w:eastAsia="Arial" w:hAnsi="Arial" w:cs="Arial"/>
        </w:rPr>
        <w:t xml:space="preserve"> Fraction of reads classified as full-length or uniquely assigned transcripts using Bambu. Full-length reads span all exon-exon junctions (complete intron chains) of a transcript, whereas unique reads are assigned to a single transcript isoform. For Bambu quantification, BAM files were combined before analysis, representing a modification from the original workflow. Boxplots summarize 12 biological samples (male AD, n = 3; female AD, n = 3; male CT, n = 3; female CT, n = 3). Center lines indicate medians, boxes denote interquartile ranges (IQR), and whiskers extend to 1.5 x IQR.  </w:t>
      </w:r>
    </w:p>
    <w:p w14:paraId="0000000E" w14:textId="77777777" w:rsidR="00443E3C" w:rsidRDefault="00000000">
      <w:pPr>
        <w:spacing w:line="480" w:lineRule="auto"/>
        <w:ind w:left="-1440" w:right="-153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Supplementary Figure 2. Genes with significant promoter switching events from long-read RNA-seq data.</w:t>
      </w:r>
      <w:r>
        <w:rPr>
          <w:rFonts w:ascii="Arial" w:eastAsia="Arial" w:hAnsi="Arial" w:cs="Arial"/>
        </w:rPr>
        <w:t xml:space="preserve"> Violin plot of 11 genes exhibiting a significant promoter </w:t>
      </w:r>
      <w:r>
        <w:rPr>
          <w:rFonts w:ascii="Arial" w:eastAsia="Arial" w:hAnsi="Arial" w:cs="Arial"/>
        </w:rPr>
        <w:lastRenderedPageBreak/>
        <w:t>switching event. The y-axis represents promoter usage of each promoter (x-axis) between CT and AD. The white dot represents the mean promoter usage expression.</w:t>
      </w:r>
    </w:p>
    <w:p w14:paraId="0000000F" w14:textId="77777777" w:rsidR="00443E3C" w:rsidRDefault="00000000">
      <w:pPr>
        <w:spacing w:line="480" w:lineRule="auto"/>
        <w:ind w:left="-1440" w:right="-153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Supplementary Figure 3. TF-associated promoter usage changes in AD.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</w:rPr>
        <w:t>(A)</w:t>
      </w:r>
      <w:r>
        <w:rPr>
          <w:rFonts w:ascii="Arial" w:eastAsia="Arial" w:hAnsi="Arial" w:cs="Arial"/>
        </w:rPr>
        <w:t xml:space="preserve"> Heatmap of the promoters of genes with increased (red) and decreased (blue) promoter usage and the AD-related TFs associated with these promoters. </w:t>
      </w:r>
      <w:r>
        <w:rPr>
          <w:rFonts w:ascii="Arial" w:eastAsia="Arial" w:hAnsi="Arial" w:cs="Arial"/>
          <w:b/>
          <w:bCs/>
        </w:rPr>
        <w:t xml:space="preserve">(B) </w:t>
      </w:r>
      <w:r>
        <w:rPr>
          <w:rFonts w:ascii="Arial" w:eastAsia="Arial" w:hAnsi="Arial" w:cs="Arial"/>
        </w:rPr>
        <w:t xml:space="preserve">Heatmap showing the top 10 TFs/motifs hit from </w:t>
      </w:r>
      <w:r>
        <w:rPr>
          <w:rFonts w:ascii="Arial" w:eastAsia="Arial" w:hAnsi="Arial" w:cs="Arial"/>
          <w:b/>
          <w:bCs/>
        </w:rPr>
        <w:t>Figure 3D</w:t>
      </w:r>
      <w:r>
        <w:rPr>
          <w:rFonts w:ascii="Arial" w:eastAsia="Arial" w:hAnsi="Arial" w:cs="Arial"/>
        </w:rPr>
        <w:t xml:space="preserve"> to significant promoters. Distance is from 0 to 2000 base pairs (bp). TFs/motifs are on the x-axis, and the genes associated with the promoters are on the y-axis. </w:t>
      </w:r>
    </w:p>
    <w:p w14:paraId="00000010" w14:textId="77777777" w:rsidR="00443E3C" w:rsidRDefault="00000000">
      <w:pPr>
        <w:spacing w:line="480" w:lineRule="auto"/>
        <w:ind w:left="-1440" w:right="-153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Supplementary Figure 4. Concordance of transcript-level differential expression between long-read and short-read RNA sequencing.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</w:rPr>
        <w:t>(A)</w:t>
      </w:r>
      <w:r>
        <w:rPr>
          <w:rFonts w:ascii="Arial" w:eastAsia="Arial" w:hAnsi="Arial" w:cs="Arial"/>
        </w:rPr>
        <w:t xml:space="preserve"> Comparison of AD-versus-CT log</w:t>
      </w:r>
      <w:r>
        <w:rPr>
          <w:rFonts w:ascii="Arial" w:eastAsia="Arial" w:hAnsi="Arial" w:cs="Arial"/>
          <w:vertAlign w:val="subscript"/>
        </w:rPr>
        <w:t>2</w:t>
      </w:r>
      <w:r>
        <w:rPr>
          <w:rFonts w:ascii="Arial" w:eastAsia="Arial" w:hAnsi="Arial" w:cs="Arial"/>
        </w:rPr>
        <w:t xml:space="preserve"> fold changes for transcripts with the most similar effect sizes across sequencing platforms. Positive values denote higher transcript abundance in AD, whereas negative values denote lower abundance in AD. </w:t>
      </w:r>
      <w:r>
        <w:rPr>
          <w:rFonts w:ascii="Arial" w:eastAsia="Arial" w:hAnsi="Arial" w:cs="Arial"/>
          <w:b/>
          <w:bCs/>
        </w:rPr>
        <w:t xml:space="preserve">(B) </w:t>
      </w:r>
      <w:r>
        <w:rPr>
          <w:rFonts w:ascii="Arial" w:eastAsia="Arial" w:hAnsi="Arial" w:cs="Arial"/>
        </w:rPr>
        <w:t>Mean transcript expression log</w:t>
      </w:r>
      <w:r>
        <w:rPr>
          <w:rFonts w:ascii="Arial" w:eastAsia="Arial" w:hAnsi="Arial" w:cs="Arial"/>
          <w:vertAlign w:val="subscript"/>
        </w:rPr>
        <w:t>2</w:t>
      </w:r>
      <w:r>
        <w:rPr>
          <w:rFonts w:ascii="Arial" w:eastAsia="Arial" w:hAnsi="Arial" w:cs="Arial"/>
        </w:rPr>
        <w:t>(TPM +1) in AD and CT samples for the same transcripts, shown separately for long-read (solid bars) and short-read (hatched bars) RNA-seq. Transcripts are ordered by the magnitude of their concordant log</w:t>
      </w:r>
      <w:r>
        <w:rPr>
          <w:rFonts w:ascii="Arial" w:eastAsia="Arial" w:hAnsi="Arial" w:cs="Arial"/>
          <w:vertAlign w:val="subscript"/>
        </w:rPr>
        <w:t>2</w:t>
      </w:r>
      <w:r>
        <w:rPr>
          <w:rFonts w:ascii="Arial" w:eastAsia="Arial" w:hAnsi="Arial" w:cs="Arial"/>
        </w:rPr>
        <w:t xml:space="preserve"> fold changes, demonstrating consistent transcript-level expression patterns between long-read and short-read sequencing. 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</w:rPr>
        <w:t xml:space="preserve"> </w:t>
      </w:r>
    </w:p>
    <w:p w14:paraId="00000011" w14:textId="77777777" w:rsidR="00443E3C" w:rsidRDefault="00443E3C">
      <w:pPr>
        <w:spacing w:line="480" w:lineRule="auto"/>
        <w:ind w:left="-1440" w:right="-1530"/>
        <w:rPr>
          <w:rFonts w:ascii="Arial" w:eastAsia="Arial" w:hAnsi="Arial" w:cs="Arial"/>
        </w:rPr>
      </w:pPr>
    </w:p>
    <w:sectPr w:rsidR="00443E3C">
      <w:pgSz w:w="12240" w:h="15840"/>
      <w:pgMar w:top="1440" w:right="2880" w:bottom="1440" w:left="28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7A94DD19-4B69-DA4E-8C2B-0D442F055871}"/>
    <w:embedItalic r:id="rId2" w:fontKey="{DEF08534-7A0D-1841-9C2A-E4440F7B81D6}"/>
  </w:font>
  <w:font w:name="Play">
    <w:charset w:val="00"/>
    <w:family w:val="auto"/>
    <w:pitch w:val="default"/>
    <w:embedRegular r:id="rId3" w:fontKey="{8A0F1D42-689D-1744-8918-84E8C8473B9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ADCAD410-F40A-994F-9DB0-1CE083A9C21A}"/>
    <w:embedBold r:id="rId5" w:fontKey="{E9B5FF1F-F177-1448-83E8-7BBB8035C59D}"/>
    <w:embedItalic r:id="rId6" w:fontKey="{AE333308-3987-1149-AF56-F488BA00001A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7" w:fontKey="{574A0F0D-A57A-3642-BE21-CFA4693E3CD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3861B67D-B0C7-D642-964E-CACD8E90A2EA}"/>
    <w:embedBold r:id="rId9" w:fontKey="{7B6628B3-586C-5F47-B6B4-9B909D570ACA}"/>
    <w:embedItalic r:id="rId10" w:fontKey="{84607FE3-C94B-3244-9EFB-93C8132C34DF}"/>
    <w:embedBoldItalic r:id="rId11" w:fontKey="{B10846F9-3613-A847-BDD7-2EE3F766A34C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12" w:fontKey="{3290E8EC-AA67-2F42-87E8-BD4FCAF66752}"/>
    <w:embedItalic r:id="rId13" w:fontKey="{BD2912FD-1FDD-8C49-B050-7E0DDFE4BAB4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E3C"/>
    <w:rsid w:val="00443E3C"/>
    <w:rsid w:val="00853BBA"/>
    <w:rsid w:val="00DD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2559F4"/>
  <w15:docId w15:val="{D7997E72-FB8B-DB4F-9B9C-D41A97373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02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02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02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702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02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02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02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02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02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02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02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02E3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870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8702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02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02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02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02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02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02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02E3"/>
    <w:rPr>
      <w:b/>
      <w:bCs/>
      <w:smallCaps/>
      <w:color w:val="0F4761" w:themeColor="accent1" w:themeShade="BF"/>
      <w:spacing w:val="5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83fSkc9/T6XXm82TgAC+b5e1uQ==">CgMxLjA4AHIhMWVSd1MxVWNwZEc5ZXQ0dGFDV0t3dWlndUE0SnU5ZHFh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682</Words>
  <Characters>3891</Characters>
  <Application>Microsoft Office Word</Application>
  <DocSecurity>0</DocSecurity>
  <Lines>32</Lines>
  <Paragraphs>9</Paragraphs>
  <ScaleCrop>false</ScaleCrop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Jelard Aquino</dc:creator>
  <cp:lastModifiedBy>Jelard Aquino</cp:lastModifiedBy>
  <cp:revision>2</cp:revision>
  <dcterms:created xsi:type="dcterms:W3CDTF">2026-07-29T16:19:00Z</dcterms:created>
  <dcterms:modified xsi:type="dcterms:W3CDTF">2026-08-19T18:58:00Z</dcterms:modified>
</cp:coreProperties>
</file>