
<file path=[Content_Types].xml><?xml version="1.0" encoding="utf-8"?>
<Types xmlns="http://schemas.openxmlformats.org/package/2006/content-types">
  <Default Extension="emf" ContentType="image/x-emf"/>
  <Default Extension="png" ContentType="image/pn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emf" ContentType="image/x-emf"/>
  <Override PartName="/word/media/rId25.png" ContentType="image/png"/>
  <Override PartName="/word/media/rId31.emf" ContentType="image/x-emf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Supplementary Information</w:t>
      </w:r>
    </w:p>
    <w:p>
      <w:pPr>
        <w:pStyle w:val="Subtitle"/>
      </w:pPr>
      <w:r>
        <w:t xml:space="preserve">Companion to: </w:t>
      </w:r>
      <w:r>
        <w:rPr>
          <w:i/>
        </w:rPr>
        <w:t xml:space="preserve">Mechanical Frequency Combs via Three-Wave-Mixing Parametric Excitation: A Scalable Inertial-Sensing Modality</w:t>
      </w:r>
    </w:p>
    <w:p>
      <w:pPr>
        <w:pStyle w:val="Heading1"/>
      </w:pPr>
      <w:bookmarkStart w:id="20" w:name="supplementary-note-s1"/>
      <w:r>
        <w:t xml:space="preserve">Supplementary Note S1</w:t>
      </w:r>
      <w:bookmarkEnd w:id="20"/>
    </w:p>
    <w:p>
      <w:pPr>
        <w:pStyle w:val="Heading2"/>
      </w:pPr>
      <w:bookmarkStart w:id="21" w:name="Xe62dc7fbc14eb2166774b1d77254ef048f3c492"/>
      <w:r>
        <w:t xml:space="preserve">Device-B small-signal measurement and above-threshold comb spectrum</w:t>
      </w:r>
      <w:bookmarkEnd w:id="21"/>
    </w:p>
    <w:p>
      <w:pPr>
        <w:pStyle w:val="FirstParagraph"/>
      </w:pPr>
      <w:r>
        <w:t xml:space="preserve">Fig. S1(a) shows the small-signal LDV transmission spectrum of Device B, plotted as out-of-plane velocity scaled by PZT drive voltage. Velocity was measured non-contactly with a Polytec laser Doppler vibrometer at a single point on the bridge, driven through the PZT actuator with a small-signal sinusoid swept across </w:t>
      </w:r>
      <m:oMath>
        <m:r>
          <m:t>0</m:t>
        </m:r>
      </m:oMath>
      <w:r>
        <w:t xml:space="preserve">–</w:t>
      </w:r>
      <m:oMath>
        <m:r>
          <m:t>400</m:t>
        </m:r>
        <m:r>
          <m:t> </m:t>
        </m:r>
        <m:r>
          <m:rPr>
            <m:sty m:val="p"/>
          </m:rPr>
          <m:t>k</m:t>
        </m:r>
        <m:r>
          <m:rPr>
            <m:sty m:val="p"/>
          </m:rPr>
          <m:t>H</m:t>
        </m:r>
        <m:r>
          <m:rPr>
            <m:sty m:val="p"/>
          </m:rPr>
          <m:t>z</m:t>
        </m:r>
      </m:oMath>
      <w:r>
        <w:t xml:space="preserve">. The voltage-scaled peak velocities at the two lines that set the FM-transduction operating point are:</w:t>
      </w:r>
    </w:p>
    <w:p>
      <w:pPr>
        <w:numPr>
          <w:ilvl w:val="0"/>
          <w:numId w:val="1001"/>
        </w:numPr>
        <w:pStyle w:val="Compact"/>
      </w:pPr>
      <w:r>
        <w:t xml:space="preserve">Mode 1 (</w:t>
      </w:r>
      <m:oMath>
        <m:r>
          <m:t>≈</m:t>
        </m:r>
        <m:r>
          <m:t>3.49</m:t>
        </m:r>
        <m:r>
          <m:t> </m:t>
        </m:r>
        <m:r>
          <m:rPr>
            <m:sty m:val="p"/>
          </m:rPr>
          <m:t>k</m:t>
        </m:r>
        <m:r>
          <m:rPr>
            <m:sty m:val="p"/>
          </m:rPr>
          <m:t>H</m:t>
        </m:r>
        <m:r>
          <m:rPr>
            <m:sty m:val="p"/>
          </m:rPr>
          <m:t>z</m:t>
        </m:r>
      </m:oMath>
      <w:r>
        <w:t xml:space="preserve">, </w:t>
      </w:r>
      <m:oMath>
        <m:sSub>
          <m:e>
            <m:r>
              <m:t>ω</m:t>
            </m:r>
          </m:e>
          <m:sub>
            <m:r>
              <m:t>1</m:t>
            </m:r>
          </m:sub>
        </m:sSub>
      </m:oMath>
      <w:r>
        <w:t xml:space="preserve">): </w:t>
      </w:r>
      <m:oMath>
        <m:r>
          <m:t>2.64</m:t>
        </m:r>
        <m:r>
          <m:t>×</m:t>
        </m:r>
        <m:sSup>
          <m:e>
            <m:r>
              <m:t>10</m:t>
            </m:r>
          </m:e>
          <m:sup>
            <m:r>
              <m:t>−</m:t>
            </m:r>
            <m:r>
              <m:t>1</m:t>
            </m:r>
          </m:sup>
        </m:sSup>
        <m:r>
          <m:t> </m:t>
        </m:r>
        <m:r>
          <m:rPr>
            <m:sty m:val="p"/>
          </m:rPr>
          <m:t>m</m:t>
        </m:r>
        <m:r>
          <m:rPr>
            <m:sty m:val="p"/>
          </m:rPr>
          <m:t> </m:t>
        </m:r>
        <m:sSup>
          <m:e>
            <m:r>
              <m:rPr>
                <m:sty m:val="p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1</m:t>
            </m:r>
          </m:sup>
        </m:sSup>
        <m:r>
          <m:rPr>
            <m:sty m:val="p"/>
          </m:rPr>
          <m:t> </m:t>
        </m:r>
        <m:sSup>
          <m:e>
            <m:r>
              <m:rPr>
                <m:sty m:val="p"/>
              </m:rPr>
              <m:t>V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1</m:t>
            </m:r>
          </m:sup>
        </m:sSup>
      </m:oMath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Pump line (</w:t>
      </w:r>
      <m:oMath>
        <m:r>
          <m:t>≈</m:t>
        </m:r>
        <m:r>
          <m:t>106.19</m:t>
        </m:r>
        <m:r>
          <m:t> </m:t>
        </m:r>
        <m:r>
          <m:rPr>
            <m:sty m:val="p"/>
          </m:rPr>
          <m:t>k</m:t>
        </m:r>
        <m:r>
          <m:rPr>
            <m:sty m:val="p"/>
          </m:rPr>
          <m:t>H</m:t>
        </m:r>
        <m:r>
          <m:rPr>
            <m:sty m:val="p"/>
          </m:rPr>
          <m:t>z</m:t>
        </m:r>
      </m:oMath>
      <w:r>
        <w:t xml:space="preserve">, </w:t>
      </w:r>
      <m:oMath>
        <m:sSub>
          <m:e>
            <m:r>
              <m:t>ω</m:t>
            </m:r>
          </m:e>
          <m:sub>
            <m:r>
              <m:t>p</m:t>
            </m:r>
          </m:sub>
        </m:sSub>
      </m:oMath>
      <w:r>
        <w:t xml:space="preserve">): </w:t>
      </w:r>
      <m:oMath>
        <m:r>
          <m:t>2.66</m:t>
        </m:r>
        <m:r>
          <m:t>×</m:t>
        </m:r>
        <m:sSup>
          <m:e>
            <m:r>
              <m:t>10</m:t>
            </m:r>
          </m:e>
          <m:sup>
            <m:r>
              <m:t>−</m:t>
            </m:r>
            <m:r>
              <m:t>2</m:t>
            </m:r>
          </m:sup>
        </m:sSup>
        <m:r>
          <m:t> </m:t>
        </m:r>
        <m:r>
          <m:rPr>
            <m:sty m:val="p"/>
          </m:rPr>
          <m:t>m</m:t>
        </m:r>
        <m:r>
          <m:rPr>
            <m:sty m:val="p"/>
          </m:rPr>
          <m:t> </m:t>
        </m:r>
        <m:sSup>
          <m:e>
            <m:r>
              <m:rPr>
                <m:sty m:val="p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1</m:t>
            </m:r>
          </m:sup>
        </m:sSup>
        <m:r>
          <m:rPr>
            <m:sty m:val="p"/>
          </m:rPr>
          <m:t> </m:t>
        </m:r>
        <m:sSup>
          <m:e>
            <m:r>
              <m:rPr>
                <m:sty m:val="p"/>
              </m:rPr>
              <m:t>V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1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Device-B Mode 2 sits at </w:t>
      </w:r>
      <m:oMath>
        <m:r>
          <m:t>≈</m:t>
        </m:r>
        <m:r>
          <m:t>102.70</m:t>
        </m:r>
        <m:r>
          <m:t> </m:t>
        </m:r>
        <m:r>
          <m:rPr>
            <m:sty m:val="p"/>
          </m:rPr>
          <m:t>k</m:t>
        </m:r>
        <m:r>
          <m:rPr>
            <m:sty m:val="p"/>
          </m:rPr>
          <m:t>H</m:t>
        </m:r>
        <m:r>
          <m:rPr>
            <m:sty m:val="p"/>
          </m:rPr>
          <m:t>z</m:t>
        </m:r>
      </m:oMath>
      <w:r>
        <w:t xml:space="preserve">, so the three-wave-mixing resonance condition </w:t>
      </w:r>
      <m:oMath>
        <m:sSub>
          <m:e>
            <m:r>
              <m:t>ω</m:t>
            </m:r>
          </m:e>
          <m:sub>
            <m:r>
              <m:t>p</m:t>
            </m:r>
          </m:sub>
        </m:sSub>
        <m:r>
          <m:t>≈</m:t>
        </m:r>
        <m:sSub>
          <m:e>
            <m:r>
              <m:t>ω</m:t>
            </m:r>
          </m:e>
          <m:sub>
            <m:r>
              <m:t>1</m:t>
            </m:r>
          </m:sub>
        </m:sSub>
        <m:r>
          <m:t>+</m:t>
        </m:r>
        <m:sSub>
          <m:e>
            <m:r>
              <m:t>ω</m:t>
            </m:r>
          </m:e>
          <m:sub>
            <m:r>
              <m:t>2</m:t>
            </m:r>
          </m:sub>
        </m:sSub>
      </m:oMath>
      <w:r>
        <w:t xml:space="preserve"> is satisfied to within the linewidth (</w:t>
      </w:r>
      <m:oMath>
        <m:r>
          <m:t>3.49</m:t>
        </m:r>
        <m:r>
          <m:t>+</m:t>
        </m:r>
        <m:r>
          <m:t>102.70</m:t>
        </m:r>
        <m:r>
          <m:t>=</m:t>
        </m:r>
        <m:r>
          <m:t>106.19</m:t>
        </m:r>
        <m:r>
          <m:t> </m:t>
        </m:r>
        <m:r>
          <m:rPr>
            <m:sty m:val="p"/>
          </m:rPr>
          <m:t>k</m:t>
        </m:r>
        <m:r>
          <m:rPr>
            <m:sty m:val="p"/>
          </m:rPr>
          <m:t>H</m:t>
        </m:r>
        <m:r>
          <m:rPr>
            <m:sty m:val="p"/>
          </m:rPr>
          <m:t>z</m:t>
        </m:r>
      </m:oMath>
      <w:r>
        <w:t xml:space="preserve">). Beyond these three operating lines, the small-signal sweep resolves the full Device-B mode spectrum out to </w:t>
      </w:r>
      <m:oMath>
        <m:r>
          <m:t>400</m:t>
        </m:r>
        <m:r>
          <m:t> </m:t>
        </m:r>
        <m:r>
          <m:rPr>
            <m:sty m:val="p"/>
          </m:rPr>
          <m:t>k</m:t>
        </m:r>
        <m:r>
          <m:rPr>
            <m:sty m:val="p"/>
          </m:rPr>
          <m:t>H</m:t>
        </m:r>
        <m:r>
          <m:rPr>
            <m:sty m:val="p"/>
          </m:rPr>
          <m:t>z</m:t>
        </m:r>
      </m:oMath>
      <w:r>
        <w:t xml:space="preserve">, consistent with the multi-mode linear response reported for Device A in main text Fig. 2(c). All measurements were taken at room temperature and ambient pressure unless otherwise noted.</w:t>
      </w:r>
    </w:p>
    <w:p>
      <w:pPr>
        <w:pStyle w:val="BodyText"/>
      </w:pPr>
      <w:r>
        <w:drawing>
          <wp:inline>
            <wp:extent cx="5334000" cy="2579641"/>
            <wp:effectExtent b="0" l="0" r="0" t="0"/>
            <wp:docPr descr="" title="" id="1" name="Picture"/>
            <a:graphic>
              <a:graphicData uri="http://schemas.openxmlformats.org/drawingml/2006/picture">
                <pic:pic>
                  <pic:nvPicPr>
                    <pic:cNvPr descr="media/Fig_S1.emf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9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</w:rPr>
        <w:t xml:space="preserve">Fig. S1</w:t>
      </w:r>
      <w:r>
        <w:t xml:space="preserve"> — LDV measurement of Device B in the linear and above-threshold regimes. (</w:t>
      </w:r>
      <w:r>
        <w:rPr>
          <w:b/>
        </w:rPr>
        <w:t xml:space="preserve">a</w:t>
      </w:r>
      <w:r>
        <w:t xml:space="preserve">) Small-signal velocity transmission spectrum on a </w:t>
      </w:r>
      <m:oMath>
        <m:r>
          <m:t>0</m:t>
        </m:r>
      </m:oMath>
      <w:r>
        <w:t xml:space="preserve">–</w:t>
      </w:r>
      <m:oMath>
        <m:r>
          <m:t>400</m:t>
        </m:r>
        <m:r>
          <m:t> </m:t>
        </m:r>
        <m:r>
          <m:rPr>
            <m:sty m:val="p"/>
          </m:rPr>
          <m:t>k</m:t>
        </m:r>
        <m:r>
          <m:rPr>
            <m:sty m:val="p"/>
          </m:rPr>
          <m:t>H</m:t>
        </m:r>
        <m:r>
          <m:rPr>
            <m:sty m:val="p"/>
          </m:rPr>
          <m:t>z</m:t>
        </m:r>
      </m:oMath>
      <w:r>
        <w:t xml:space="preserve"> axis, scaled by PZT drive voltage. Mode 1 (</w:t>
      </w:r>
      <m:oMath>
        <m:r>
          <m:t>≈</m:t>
        </m:r>
        <m:r>
          <m:t>3.49</m:t>
        </m:r>
        <m:r>
          <m:t> </m:t>
        </m:r>
        <m:r>
          <m:rPr>
            <m:sty m:val="p"/>
          </m:rPr>
          <m:t>k</m:t>
        </m:r>
        <m:r>
          <m:rPr>
            <m:sty m:val="p"/>
          </m:rPr>
          <m:t>H</m:t>
        </m:r>
        <m:r>
          <m:rPr>
            <m:sty m:val="p"/>
          </m:rPr>
          <m:t>z</m:t>
        </m:r>
      </m:oMath>
      <w:r>
        <w:t xml:space="preserve">, </w:t>
      </w:r>
      <m:oMath>
        <m:sSub>
          <m:e>
            <m:r>
              <m:t>ω</m:t>
            </m:r>
          </m:e>
          <m:sub>
            <m:r>
              <m:t>1</m:t>
            </m:r>
          </m:sub>
        </m:sSub>
      </m:oMath>
      <w:r>
        <w:t xml:space="preserve">) and the pump line (</w:t>
      </w:r>
      <m:oMath>
        <m:r>
          <m:t>≈</m:t>
        </m:r>
        <m:r>
          <m:t>106.19</m:t>
        </m:r>
        <m:r>
          <m:t> </m:t>
        </m:r>
        <m:r>
          <m:rPr>
            <m:sty m:val="p"/>
          </m:rPr>
          <m:t>k</m:t>
        </m:r>
        <m:r>
          <m:rPr>
            <m:sty m:val="p"/>
          </m:rPr>
          <m:t>H</m:t>
        </m:r>
        <m:r>
          <m:rPr>
            <m:sty m:val="p"/>
          </m:rPr>
          <m:t>z</m:t>
        </m:r>
      </m:oMath>
      <w:r>
        <w:t xml:space="preserve">, </w:t>
      </w:r>
      <m:oMath>
        <m:sSub>
          <m:e>
            <m:r>
              <m:t>ω</m:t>
            </m:r>
          </m:e>
          <m:sub>
            <m:r>
              <m:t>p</m:t>
            </m:r>
          </m:sub>
        </m:sSub>
      </m:oMath>
      <w:r>
        <w:t xml:space="preserve">) lie within the swept band; their voltage-scaled peak velocities are listed above. The mode density above </w:t>
      </w:r>
      <m:oMath>
        <m:r>
          <m:t>≈</m:t>
        </m:r>
        <m:r>
          <m:t>200</m:t>
        </m:r>
        <m:r>
          <m:t> </m:t>
        </m:r>
        <m:r>
          <m:rPr>
            <m:sty m:val="p"/>
          </m:rPr>
          <m:t>k</m:t>
        </m:r>
        <m:r>
          <m:rPr>
            <m:sty m:val="p"/>
          </m:rPr>
          <m:t>H</m:t>
        </m:r>
        <m:r>
          <m:rPr>
            <m:sty m:val="p"/>
          </m:rPr>
          <m:t>z</m:t>
        </m:r>
      </m:oMath>
      <w:r>
        <w:t xml:space="preserve"> is consistent with the multi-mode linear response of the same PZT-on-Si bridge platform reported for Device A in main text Fig. 2(c). (</w:t>
      </w:r>
      <w:r>
        <w:rPr>
          <w:b/>
        </w:rPr>
        <w:t xml:space="preserve">b</w:t>
      </w:r>
      <w:r>
        <w:t xml:space="preserve">) Above-threshold velocity spectrum of Device B under the pump conditions used for the FM-transduction experiment of main text Figs. 5 and 6: a dominant carrier group near </w:t>
      </w:r>
      <m:oMath>
        <m:sSub>
          <m:e>
            <m:r>
              <m:t>ω</m:t>
            </m:r>
          </m:e>
          <m:sub>
            <m:r>
              <m:t>p</m:t>
            </m:r>
          </m:sub>
        </m:sSub>
      </m:oMath>
      <w:r>
        <w:t xml:space="preserve"> together with harmonic comb groups around </w:t>
      </w:r>
      <m:oMath>
        <m:r>
          <m:t>2</m:t>
        </m:r>
        <m:sSub>
          <m:e>
            <m:r>
              <m:t>ω</m:t>
            </m:r>
          </m:e>
          <m:sub>
            <m:r>
              <m:t>p</m:t>
            </m:r>
          </m:sub>
        </m:sSub>
      </m:oMath>
      <w:r>
        <w:t xml:space="preserve"> and </w:t>
      </w:r>
      <m:oMath>
        <m:r>
          <m:t>3</m:t>
        </m:r>
        <m:sSub>
          <m:e>
            <m:r>
              <m:t>ω</m:t>
            </m:r>
          </m:e>
          <m:sub>
            <m:r>
              <m:t>p</m:t>
            </m:r>
          </m:sub>
        </m:sSub>
      </m:oMath>
      <w:r>
        <w:t xml:space="preserve"> confirms that the operating point established by panel (</w:t>
      </w:r>
      <w:r>
        <w:rPr>
          <w:b/>
        </w:rPr>
        <w:t xml:space="preserve">a</w:t>
      </w:r>
      <w:r>
        <w:t xml:space="preserve">) drives the bridge into three-wave-mixing-induced comb generation.</w:t>
      </w:r>
    </w:p>
    <w:p>
      <w:pPr>
        <w:pStyle w:val="Heading1"/>
      </w:pPr>
      <w:bookmarkStart w:id="23" w:name="supplementary-note-s2"/>
      <w:r>
        <w:t xml:space="preserve">Supplementary Note S2</w:t>
      </w:r>
      <w:bookmarkEnd w:id="23"/>
    </w:p>
    <w:p>
      <w:pPr>
        <w:pStyle w:val="Heading2"/>
      </w:pPr>
      <w:bookmarkStart w:id="24" w:name="Xe3e6b84bf278513a6c6cfe99e3170abdf1c9c63"/>
      <w:r>
        <w:t xml:space="preserve">Shaker-test setup for the accelerometer demonstration</w:t>
      </w:r>
      <w:bookmarkEnd w:id="24"/>
    </w:p>
    <w:p>
      <w:pPr>
        <w:pStyle w:val="FirstParagraph"/>
      </w:pPr>
      <w:r>
        <w:t xml:space="preserve">All accelerometer-mode validation experiments (main text Figs. 5 and 6) were performed on the bench-top setup shown in Fig. S2. Mechanical drive is provided by a custom shaker built around a commercial subwoofer driver: the moving cone of the subwoofer acts as the shaker armature, providing a large stroke and a flat low-frequency response that makes it well suited to the </w:t>
      </w:r>
      <m:oMath>
        <m:r>
          <m:t>≤</m:t>
        </m:r>
        <m:r>
          <m:t>100</m:t>
        </m:r>
        <m:r>
          <m:t> </m:t>
        </m:r>
        <m:r>
          <m:rPr>
            <m:sty m:val="p"/>
          </m:rPr>
          <m:t>H</m:t>
        </m:r>
        <m:r>
          <m:rPr>
            <m:sty m:val="p"/>
          </m:rPr>
          <m:t>z</m:t>
        </m:r>
      </m:oMath>
      <w:r>
        <w:t xml:space="preserve"> inertial-loading regime targeted in main text Figs. 5 and 6. A 3D-printed stage is rigidly fixed on top of the subwoofer cone and serves as the mounting platform for the device under test. The MEMS die (Device B) is wire-bonded to a small breakout PCB, which is in turn screwed to the 3D-printed stage; the stage simultaneously (i) raises the device into the focal plane of the LDV objective and (ii) provides additional rotational stiffness of the PCB carrier. Out-of-plane velocity at a single point on the bridge is measured non-contactly with a Polytec laser Doppler vibrometer; the LDV optical head and a co-aligned vision camera are visible in the upper portion of the photograph.</w:t>
      </w:r>
    </w:p>
    <w:p>
      <w:pPr>
        <w:pStyle w:val="BodyText"/>
      </w:pPr>
      <w:r>
        <w:t xml:space="preserve">The subwoofer is driven by a single-tone signal-generator output through a power amplifier; the drive frequency, amplitude, and waveform are recorded synchronously with the LDV velocity time series. Because the shaker is custom-built rather than a metrology-grade unit, both the on-stage acceleration amplitude and the harmonic distortion of the cone motion were calibrated in-situ with the LDV itself: out-of-plane velocity of the bare 3D-printed stage was recorded under increasing drive amplitudes, the velocity time series was twice-differentiated (or equivalently scaled by </w:t>
      </w:r>
      <m:oMath>
        <m:r>
          <m:t>ω</m:t>
        </m:r>
      </m:oMath>
      <w:r>
        <w:t xml:space="preserve">) to recover acceleration, and the harmonic content was extracted from the velocity spectrum. This procedure verified that the cone motion remains sinusoidal — with no measurable harmonic distortion above the LDV noise floor — up to peak accelerations of at least </w:t>
      </w:r>
      <m:oMath>
        <m:r>
          <m:t>±</m:t>
        </m:r>
        <m:r>
          <m:t>100</m:t>
        </m:r>
        <m:r>
          <m:t> </m:t>
        </m:r>
        <m:r>
          <m:rPr>
            <m:sty m:val="p"/>
          </m:rPr>
          <m:t>m</m:t>
        </m:r>
        <m:r>
          <m:rPr>
            <m:sty m:val="p"/>
          </m:rPr>
          <m:t>⋅</m:t>
        </m:r>
        <m:sSup>
          <m:e>
            <m:r>
              <m:rPr>
                <m:sty m:val="p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2</m:t>
            </m:r>
          </m:sup>
        </m:sSup>
      </m:oMath>
      <w:r>
        <w:t xml:space="preserve"> (</w:t>
      </w:r>
      <m:oMath>
        <m:r>
          <m:t>≈</m:t>
        </m:r>
        <m:r>
          <m:t>±</m:t>
        </m:r>
        <m:r>
          <m:t>10</m:t>
        </m:r>
        <m:r>
          <m:t> </m:t>
        </m:r>
        <m:r>
          <m:t>g</m:t>
        </m:r>
      </m:oMath>
      <w:r>
        <w:t xml:space="preserve">) over the drive bandwidth used in main text Figs. 5 and 6. The drive parameters reported for Figs. 5 and 6 (</w:t>
      </w:r>
      <m:oMath>
        <m:r>
          <m:t>50</m:t>
        </m:r>
        <m:r>
          <m:t> </m:t>
        </m:r>
        <m:r>
          <m:rPr>
            <m:sty m:val="p"/>
          </m:rPr>
          <m:t>H</m:t>
        </m:r>
        <m:r>
          <m:rPr>
            <m:sty m:val="p"/>
          </m:rPr>
          <m:t>z</m:t>
        </m:r>
      </m:oMath>
      <w:r>
        <w:t xml:space="preserve"> sinusoid, </w:t>
      </w:r>
      <m:oMath>
        <m:r>
          <m:t>≈</m:t>
        </m:r>
        <m:r>
          <m:t>±</m:t>
        </m:r>
        <m:r>
          <m:t>100</m:t>
        </m:r>
        <m:r>
          <m:t> </m:t>
        </m:r>
        <m:r>
          <m:rPr>
            <m:sty m:val="p"/>
          </m:rPr>
          <m:t>m</m:t>
        </m:r>
        <m:r>
          <m:rPr>
            <m:sty m:val="p"/>
          </m:rPr>
          <m:t>⋅</m:t>
        </m:r>
        <m:sSup>
          <m:e>
            <m:r>
              <m:rPr>
                <m:sty m:val="p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2</m:t>
            </m:r>
          </m:sup>
        </m:sSup>
      </m:oMath>
      <w:r>
        <w:t xml:space="preserve"> peak acceleration) are referenced to this LDV-based calibration. The same setup and calibration procedure are used for both threshold-crossing measurement and for the per-comb-line FM-demodulation runs.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1" name="Picture"/>
            <a:graphic>
              <a:graphicData uri="http://schemas.openxmlformats.org/drawingml/2006/picture">
                <pic:pic>
                  <pic:nvPicPr>
                    <pic:cNvPr descr="media/Fig_S2.pn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</w:rPr>
        <w:t xml:space="preserve">Fig. S2</w:t>
      </w:r>
      <w:r>
        <w:t xml:space="preserve"> — Shaker-test bench setup. Mechanical drive is provided by a custom shaker built around a commercial subwoofer driver; a 3D-printed stage is fixed on top of the subwoofer cone to act as the device-mounting platform. The Device-B breakout PCB (red, with the bonded MEMS die visible) is screwed to this 3D-printed stage. Out-of-plane velocity is measured non-contactly by a Polytec laser Doppler vibrometer (top, with a co-aligned vision camera visible); the same LDV is used to calibrate the on-stage acceleration amplitude and to verify the absence of measurable harmonic distortion up to </w:t>
      </w:r>
      <m:oMath>
        <m:r>
          <m:t>±</m:t>
        </m:r>
        <m:r>
          <m:t>10</m:t>
        </m:r>
        <m:r>
          <m:t> </m:t>
        </m:r>
        <m:r>
          <m:t>g</m:t>
        </m:r>
      </m:oMath>
      <w:r>
        <w:t xml:space="preserve">. The setup feeds the per-comb-line FM-demodulation chain reported in main text Figs. 5 and 6.</w:t>
      </w:r>
    </w:p>
    <w:p>
      <w:pPr>
        <w:pStyle w:val="Heading1"/>
      </w:pPr>
      <w:bookmarkStart w:id="26" w:name="supplementary-note-s3"/>
      <w:r>
        <w:t xml:space="preserve">Supplementary Note S3</w:t>
      </w:r>
      <w:bookmarkEnd w:id="26"/>
    </w:p>
    <w:p>
      <w:pPr>
        <w:pStyle w:val="Heading2"/>
      </w:pPr>
      <w:bookmarkStart w:id="27" w:name="Xeaa084da02be67265c86f27f15f858dc66e1565"/>
      <w:r>
        <w:t xml:space="preserve">FEM sensitivity sweep: bending-to-tension crossover with bridge thickness</w:t>
      </w:r>
      <w:bookmarkEnd w:id="27"/>
    </w:p>
    <w:p>
      <w:pPr>
        <w:pStyle w:val="Heading3"/>
      </w:pPr>
      <w:bookmarkStart w:id="28" w:name="model-setup"/>
      <w:r>
        <w:t xml:space="preserve">Model setup</w:t>
      </w:r>
      <w:bookmarkEnd w:id="28"/>
    </w:p>
    <w:p>
      <w:pPr>
        <w:pStyle w:val="FirstParagraph"/>
      </w:pPr>
      <w:r>
        <w:t xml:space="preserve">The mechanism under study is the axial-stress stiffening of the clamped–clamped bridge: under an inertial load, the central proof mass deflects out of plane, the clamped–clamped boundary forces mid-plane stretching, and the resulting axial stress shifts the mode-1 eigenfrequency that carries the FM-encoded signal in main text Figs. 5 and 6. To quantify this effect against the device-Si layer thickness </w:t>
      </w:r>
      <m:oMath>
        <m:r>
          <m:t>h</m:t>
        </m:r>
      </m:oMath>
      <w:r>
        <w:t xml:space="preserve">, a 3D static-prestress eigenfrequency study was constructed in COMSOL Multiphysics. The geometry is a deliberately simplified version of the as-fabricated stack of main text Methods: only the device-Si and the PZT layers are simulated, while the SiO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BOX, the Ti/Pt bottom electrode, the Au top electrode, and the Si</w:t>
      </w:r>
      <m:oMath>
        <m:sSub>
          <m:e>
            <m:r>
              <m:t>​</m:t>
            </m:r>
          </m:e>
          <m:sub>
            <m:r>
              <m:t>3</m:t>
            </m:r>
          </m:sub>
        </m:sSub>
      </m:oMath>
      <w:r>
        <w:t xml:space="preserve">N</w:t>
      </w:r>
      <m:oMath>
        <m:sSub>
          <m:e>
            <m:r>
              <m:t>​</m:t>
            </m:r>
          </m:e>
          <m:sub>
            <m:r>
              <m:t>4</m:t>
            </m:r>
          </m:sub>
        </m:sSub>
      </m:oMath>
      <w:r>
        <w:t xml:space="preserve"> passivation are omitted. These omitted films are sub-</w:t>
      </w:r>
      <m:oMath>
        <m:r>
          <m:t>200</m:t>
        </m:r>
        <m:r>
          <m:t> </m:t>
        </m:r>
        <m:r>
          <m:rPr>
            <m:sty m:val="p"/>
          </m:rPr>
          <m:t>n</m:t>
        </m:r>
        <m:r>
          <m:rPr>
            <m:sty m:val="p"/>
          </m:rPr>
          <m:t>m</m:t>
        </m:r>
      </m:oMath>
      <w:r>
        <w:t xml:space="preserve"> thick (much thinner than the structural Si and PZT layers) and their contribution to the mode-1 eigenfrequency and to the geometric stiffness under axial pre-stress is negligible; removing them substantially reduces the mesh size and the run time of the sweep without altering the physics under study. The bridge footprint (</w:t>
      </w:r>
      <m:oMath>
        <m:r>
          <m:t>6.70</m:t>
        </m:r>
        <m:r>
          <m:t> </m:t>
        </m:r>
        <m:r>
          <m:rPr>
            <m:sty m:val="p"/>
          </m:rPr>
          <m:t>m</m:t>
        </m:r>
        <m:r>
          <m:rPr>
            <m:sty m:val="p"/>
          </m:rPr>
          <m:t>m</m:t>
        </m:r>
      </m:oMath>
      <w:r>
        <w:t xml:space="preserve"> clamped–clamped span with a central proof mass) and the full PZT-on-Si stack defined in main text Methods are held fixed; the PZT thickness is held at its nominal value (</w:t>
      </w:r>
      <m:oMath>
        <m:r>
          <m:t>2</m:t>
        </m:r>
        <m:r>
          <m:t> </m:t>
        </m:r>
        <m:r>
          <m:rPr>
            <m:sty m:val="p"/>
          </m:rPr>
          <m:t>μ</m:t>
        </m:r>
        <m:r>
          <m:rPr>
            <m:sty m:val="p"/>
          </m:rPr>
          <m:t>m</m:t>
        </m:r>
      </m:oMath>
      <w:r>
        <w:t xml:space="preserve">) and only the device-Si thickness is swept, through </w:t>
      </w:r>
      <m:oMath>
        <m:r>
          <m:t>h</m:t>
        </m:r>
        <m:r>
          <m:t>∈</m:t>
        </m:r>
        <m:r>
          <m:t>{</m:t>
        </m:r>
        <m:r>
          <m:t>5</m:t>
        </m:r>
        <m:r>
          <m:t>,</m:t>
        </m:r>
        <m:r>
          <m:t> </m:t>
        </m:r>
        <m:r>
          <m:t>10</m:t>
        </m:r>
        <m:r>
          <m:t>,</m:t>
        </m:r>
        <m:r>
          <m:t> </m:t>
        </m:r>
        <m:r>
          <m:t>15</m:t>
        </m:r>
        <m:r>
          <m:t>}</m:t>
        </m:r>
        <m:r>
          <m:t> </m:t>
        </m:r>
        <m:r>
          <m:rPr>
            <m:sty m:val="p"/>
          </m:rPr>
          <m:t>μ</m:t>
        </m:r>
        <m:r>
          <m:rPr>
            <m:sty m:val="p"/>
          </m:rPr>
          <m:t>m</m:t>
        </m:r>
      </m:oMath>
      <w:r>
        <w:t xml:space="preserve">. The bridge is rigidly clamped at both ends and the central proof-mass region is preserved across the sweep so that only the bridge compliance changes. Inertial loading is imposed using COMSOL’s linearly accelerated reference frame applied to the entire structure: the prescribed acceleration </w:t>
      </w:r>
      <m:oMath>
        <m:r>
          <m:t>a</m:t>
        </m:r>
      </m:oMath>
      <w:r>
        <w:t xml:space="preserve"> is added uniformly to every material point as an equivalent body force, removing the need for a separately defined gravity load. The acceleration is swept over </w:t>
      </w:r>
      <m:oMath>
        <m:r>
          <m:t>a</m:t>
        </m:r>
        <m:r>
          <m:t>∈</m:t>
        </m:r>
        <m:r>
          <m:t>[</m:t>
        </m:r>
        <m:r>
          <m:t>0</m:t>
        </m:r>
        <m:r>
          <m:t>,</m:t>
        </m:r>
        <m:r>
          <m:t> </m:t>
        </m:r>
        <m:r>
          <m:t>200</m:t>
        </m:r>
        <m:r>
          <m:t>]</m:t>
        </m:r>
        <m:r>
          <m:t> </m:t>
        </m:r>
        <m:r>
          <m:rPr>
            <m:sty m:val="p"/>
          </m:rPr>
          <m:t>m</m:t>
        </m:r>
        <m:r>
          <m:rPr>
            <m:sty m:val="p"/>
          </m:rPr>
          <m:t>⋅</m:t>
        </m:r>
        <m:sSup>
          <m:e>
            <m:r>
              <m:rPr>
                <m:sty m:val="p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2</m:t>
            </m:r>
          </m:sup>
        </m:sSup>
      </m:oMath>
      <w:r>
        <w:t xml:space="preserve"> (</w:t>
      </w:r>
      <m:oMath>
        <m:r>
          <m:t>≈</m:t>
        </m:r>
        <m:r>
          <m:t>0</m:t>
        </m:r>
      </m:oMath>
      <w:r>
        <w:t xml:space="preserve">–</w:t>
      </w:r>
      <m:oMath>
        <m:r>
          <m:t>20</m:t>
        </m:r>
        <m:r>
          <m:t> </m:t>
        </m:r>
        <m:r>
          <m:t>g</m:t>
        </m:r>
      </m:oMath>
      <w:r>
        <w:t xml:space="preserve">); for each value of </w:t>
      </w:r>
      <m:oMath>
        <m:r>
          <m:t>a</m:t>
        </m:r>
      </m:oMath>
      <w:r>
        <w:t xml:space="preserve"> the solver first computes the stressed static configuration (and the resulting mid-plane axial stress) and then extracts the mode-1 eigenfrequency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(</m:t>
        </m:r>
        <m:r>
          <m:t>a</m:t>
        </m:r>
        <m:r>
          <m:t>)</m:t>
        </m:r>
      </m:oMath>
      <w:r>
        <w:t xml:space="preserve"> from a stressed-state eigenmode analysis. Linear elastic material properties are used throughout; piezoelectric coupling is disabled for the sensitivity sweep because the eigenfrequency shift is a purely mechanical (stress-stiffening) effect.</w:t>
      </w:r>
    </w:p>
    <w:p>
      <w:pPr>
        <w:pStyle w:val="Heading3"/>
      </w:pPr>
      <w:bookmarkStart w:id="29" w:name="results-bending-to-tension-crossover"/>
      <w:r>
        <w:t xml:space="preserve">Results: bending-to-tension crossover</w:t>
      </w:r>
      <w:bookmarkEnd w:id="29"/>
    </w:p>
    <w:p>
      <w:pPr>
        <w:pStyle w:val="FirstParagraph"/>
      </w:pPr>
      <w:r>
        <w:t xml:space="preserve">Fig. S3(a) shows the mode-1 eigenmode shape of the simplified two-layer (device-Si + PZT) clamped–clamped bridge, obtained from the COMSOL eigenfrequency analysis. Fig. S3(b) plots the simulated mode-1 frequency shift </w:t>
      </w:r>
      <m:oMath>
        <m:r>
          <m:t>δ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t>(</m:t>
        </m:r>
        <m:r>
          <m:t>a</m:t>
        </m:r>
        <m:r>
          <m:t>)</m:t>
        </m:r>
        <m:r>
          <m:t>=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t>(</m:t>
        </m:r>
        <m:r>
          <m:t>a</m:t>
        </m:r>
        <m:r>
          <m:t>)</m:t>
        </m:r>
        <m:r>
          <m:t>−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t>(</m:t>
        </m:r>
        <m:r>
          <m:t>0</m:t>
        </m:r>
        <m:r>
          <m:t>)</m:t>
        </m:r>
      </m:oMath>
      <w:r>
        <w:t xml:space="preserve"> as a function of out-of-plane acceleration for the three device-Si thicknesses. For the thickest bridge (</w:t>
      </w:r>
      <m:oMath>
        <m:r>
          <m:t>h</m:t>
        </m:r>
        <m:r>
          <m:t>=</m:t>
        </m:r>
        <m:r>
          <m:t>15</m:t>
        </m:r>
        <m:r>
          <m:t> </m:t>
        </m:r>
        <m:r>
          <m:rPr>
            <m:sty m:val="p"/>
          </m:rPr>
          <m:t>μ</m:t>
        </m:r>
        <m:r>
          <m:rPr>
            <m:sty m:val="p"/>
          </m:rPr>
          <m:t>m</m:t>
        </m:r>
      </m:oMath>
      <w:r>
        <w:t xml:space="preserve">), </w:t>
      </w:r>
      <m:oMath>
        <m:r>
          <m:t>δ</m:t>
        </m:r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 remains essentially flat across the full acceleration range: the flexural restoring stiffness (</w:t>
      </w:r>
      <m:oMath>
        <m:r>
          <m:t>∝</m:t>
        </m:r>
        <m:sSup>
          <m:e>
            <m:r>
              <m:t>t</m:t>
            </m:r>
          </m:e>
          <m:sup>
            <m:r>
              <m:t>3</m:t>
            </m:r>
          </m:sup>
        </m:sSup>
      </m:oMath>
      <w:r>
        <w:t xml:space="preserve">) dominates the geometric stiffness (</w:t>
      </w:r>
      <m:oMath>
        <m:r>
          <m:t>∝</m:t>
        </m:r>
        <m:r>
          <m:t>t</m:t>
        </m:r>
      </m:oMath>
      <w:r>
        <w:t xml:space="preserve">) [3, 4], so the central-mass deflection at a given acceleration is too small to induce significant mid-plane stretching and the eigenfrequency is insensitive to the inertial load. As the device layer is thinned to </w:t>
      </w:r>
      <m:oMath>
        <m:r>
          <m:t>10</m:t>
        </m:r>
        <m:r>
          <m:t> </m:t>
        </m:r>
        <m:r>
          <m:rPr>
            <m:sty m:val="p"/>
          </m:rPr>
          <m:t>μ</m:t>
        </m:r>
        <m:r>
          <m:rPr>
            <m:sty m:val="p"/>
          </m:rPr>
          <m:t>m</m:t>
        </m:r>
      </m:oMath>
      <w:r>
        <w:t xml:space="preserve"> and then to </w:t>
      </w:r>
      <m:oMath>
        <m:r>
          <m:t>5</m:t>
        </m:r>
        <m:r>
          <m:t> </m:t>
        </m:r>
        <m:r>
          <m:rPr>
            <m:sty m:val="p"/>
          </m:rPr>
          <m:t>μ</m:t>
        </m:r>
        <m:r>
          <m:rPr>
            <m:sty m:val="p"/>
          </m:rPr>
          <m:t>m</m:t>
        </m:r>
      </m:oMath>
      <w:r>
        <w:t xml:space="preserve">, </w:t>
      </w:r>
      <m:oMath>
        <m:r>
          <m:t>δ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t>(</m:t>
        </m:r>
        <m:r>
          <m:t>a</m:t>
        </m:r>
        <m:r>
          <m:t>)</m:t>
        </m:r>
      </m:oMath>
      <w:r>
        <w:t xml:space="preserve"> becomes monotonic and progressively steeper: the bridge enters the tension-dominated regime, in which the eigenfrequency shift is set by the axial pre-stress accumulated during mid-plane stretching of a compliant beam. The </w:t>
      </w:r>
      <m:oMath>
        <m:r>
          <m:t>5</m:t>
        </m:r>
        <m:r>
          <m:t> </m:t>
        </m:r>
        <m:r>
          <m:rPr>
            <m:sty m:val="p"/>
          </m:rPr>
          <m:t>μ</m:t>
        </m:r>
        <m:r>
          <m:rPr>
            <m:sty m:val="p"/>
          </m:rPr>
          <m:t>m</m:t>
        </m:r>
      </m:oMath>
      <w:r>
        <w:t xml:space="preserve"> trace exhibits the strongest stress-stiffening response and the largest </w:t>
      </w:r>
      <m:oMath>
        <m:r>
          <m:t>δ</m:t>
        </m:r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 at </w:t>
      </w:r>
      <m:oMath>
        <m:r>
          <m:t>200</m:t>
        </m:r>
        <m:r>
          <m:t> </m:t>
        </m:r>
        <m:r>
          <m:rPr>
            <m:sty m:val="p"/>
          </m:rPr>
          <m:t>m</m:t>
        </m:r>
        <m:r>
          <m:rPr>
            <m:sty m:val="p"/>
          </m:rPr>
          <m:t>⋅</m:t>
        </m:r>
        <m:sSup>
          <m:e>
            <m:r>
              <m:rPr>
                <m:sty m:val="p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2</m:t>
            </m:r>
          </m:sup>
        </m:sSup>
      </m:oMath>
      <w:r>
        <w:t xml:space="preserve">. The present device (</w:t>
      </w:r>
      <m:oMath>
        <m:r>
          <m:t>14</m:t>
        </m:r>
        <m:r>
          <m:t> </m:t>
        </m:r>
        <m:r>
          <m:rPr>
            <m:sty m:val="p"/>
          </m:rPr>
          <m:t>μ</m:t>
        </m:r>
        <m:r>
          <m:rPr>
            <m:sty m:val="p"/>
          </m:rPr>
          <m:t>m</m:t>
        </m:r>
      </m:oMath>
      <w:r>
        <w:t xml:space="preserve"> device Si) therefore sits in the bending-dominated regime, which is consistent with the modest mechanical scale factor reported in main text Figs. 5 and 6 and motivates the thinning roadmap discussed in the Discussion.</w:t>
      </w:r>
    </w:p>
    <w:p>
      <w:pPr>
        <w:pStyle w:val="Heading3"/>
      </w:pPr>
      <w:bookmarkStart w:id="30" w:name="implications-for-device-scaling"/>
      <w:r>
        <w:t xml:space="preserve">Implications for device scaling</w:t>
      </w:r>
      <w:bookmarkEnd w:id="30"/>
    </w:p>
    <w:p>
      <w:pPr>
        <w:pStyle w:val="FirstParagraph"/>
      </w:pPr>
      <w:r>
        <w:t xml:space="preserve">The FEA sweep supports three points relevant to future iterations of the device. (i) Within the geometry studied, the mechanical scale factor of the FM-encoded carrier is set by the competition between flexural and geometric stiffness, and thinning the device-Si layer is the most direct lever — the flexural-to-tension stiffness ratio scales as </w:t>
      </w:r>
      <m:oMath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 at fixed footprint (flexural stiffness </w:t>
      </w:r>
      <m:oMath>
        <m:r>
          <m:t>∝</m:t>
        </m:r>
        <m:sSup>
          <m:e>
            <m:r>
              <m:t>t</m:t>
            </m:r>
          </m:e>
          <m:sup>
            <m:r>
              <m:t>3</m:t>
            </m:r>
          </m:sup>
        </m:sSup>
      </m:oMath>
      <w:r>
        <w:t xml:space="preserve">, geometric stiffness </w:t>
      </w:r>
      <m:oMath>
        <m:r>
          <m:t>∝</m:t>
        </m:r>
        <m:r>
          <m:t>t</m:t>
        </m:r>
      </m:oMath>
      <w:r>
        <w:t xml:space="preserve">), motivating thinning of the device-Si layer as the primary device-level lever for increased </w:t>
      </w:r>
      <m:oMath>
        <m:r>
          <m:t>δ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t>/</m:t>
        </m:r>
        <m:r>
          <m:t>a</m:t>
        </m:r>
      </m:oMath>
      <w:r>
        <w:t xml:space="preserve">. (ii) The crossover from the bending regime into the tension regime occurs in the single-digit-micron thickness range for the present </w:t>
      </w:r>
      <m:oMath>
        <m:r>
          <m:t>6.70</m:t>
        </m:r>
        <m:r>
          <m:t> </m:t>
        </m:r>
        <m:r>
          <m:rPr>
            <m:sty m:val="p"/>
          </m:rPr>
          <m:t>m</m:t>
        </m:r>
        <m:r>
          <m:rPr>
            <m:sty m:val="p"/>
          </m:rPr>
          <m:t>m</m:t>
        </m:r>
      </m:oMath>
      <w:r>
        <w:t xml:space="preserve"> footprint, which defines a target window for the next process run. (iii) The crossover is a purely geometric/structural effect: it does not require any change to the three-wave-mixing operating principle, to the pump configuration, or to the per-comb-line FM-demodulation pipeline, so the overtone-comb scaling demonstrated on Device B in main text Figs. 5 and 6 carries over directly to a thinned bridge.</w:t>
      </w:r>
    </w:p>
    <w:p>
      <w:pPr>
        <w:pStyle w:val="BodyText"/>
      </w:pPr>
      <w:r>
        <w:drawing>
          <wp:inline>
            <wp:extent cx="5102941" cy="2249293"/>
            <wp:effectExtent b="0" l="0" r="0" t="0"/>
            <wp:docPr descr="" title="" id="1" name="Picture"/>
            <a:graphic>
              <a:graphicData uri="http://schemas.openxmlformats.org/drawingml/2006/picture">
                <pic:pic>
                  <pic:nvPicPr>
                    <pic:cNvPr descr="media/Fig_S3.emf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941" cy="22492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</w:rPr>
        <w:t xml:space="preserve">Fig. S3</w:t>
      </w:r>
      <w:r>
        <w:t xml:space="preserve"> — (</w:t>
      </w:r>
      <w:r>
        <w:rPr>
          <w:b/>
        </w:rPr>
        <w:t xml:space="preserve">a</w:t>
      </w:r>
      <w:r>
        <w:t xml:space="preserve">) Mode-1 eigenmode shape of the simplified two-layer (device-Si + PZT) clamped–clamped bridge, from the COMSOL static-prestress eigenfrequency sweep (shown for h = 15 μm under a = 20 m·s⁻²; colour scale: modal displacement magnitude, μm). The sub-</w:t>
      </w:r>
      <m:oMath>
        <m:r>
          <m:t>200</m:t>
        </m:r>
        <m:r>
          <m:t> </m:t>
        </m:r>
        <m:r>
          <m:rPr>
            <m:sty m:val="p"/>
          </m:rPr>
          <m:t>n</m:t>
        </m:r>
        <m:r>
          <m:rPr>
            <m:sty m:val="p"/>
          </m:rPr>
          <m:t>m</m:t>
        </m:r>
      </m:oMath>
      <w:r>
        <w:t xml:space="preserve"> passivation, electrode, and BOX layers of the as-fabricated stack (main text Methods) are omitted because they do not contribute significantly to the eigenmode or to the geometric stiffness under axial pre-stress. (</w:t>
      </w:r>
      <w:r>
        <w:rPr>
          <w:b/>
        </w:rPr>
        <w:t xml:space="preserve">b</w:t>
      </w:r>
      <w:r>
        <w:t xml:space="preserve">) Finite-element-simulated mode-1 frequency shift </w:t>
      </w:r>
      <m:oMath>
        <m:r>
          <m:t>δ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t>=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t>(</m:t>
        </m:r>
        <m:r>
          <m:t>a</m:t>
        </m:r>
        <m:r>
          <m:t>)</m:t>
        </m:r>
        <m:r>
          <m:t>−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t>(</m:t>
        </m:r>
        <m:r>
          <m:t>0</m:t>
        </m:r>
        <m:r>
          <m:t>)</m:t>
        </m:r>
      </m:oMath>
      <w:r>
        <w:t xml:space="preserve"> versus out-of-plane acceleration </w:t>
      </w:r>
      <m:oMath>
        <m:r>
          <m:t>a</m:t>
        </m:r>
      </m:oMath>
      <w:r>
        <w:t xml:space="preserve"> for device-Si thicknesses </w:t>
      </w:r>
      <m:oMath>
        <m:r>
          <m:t>h</m:t>
        </m:r>
        <m:r>
          <m:t>=</m:t>
        </m:r>
        <m:r>
          <m:t>5</m:t>
        </m:r>
        <m:r>
          <m:t>,</m:t>
        </m:r>
        <m:r>
          <m:t> </m:t>
        </m:r>
        <m:r>
          <m:t>10</m:t>
        </m:r>
        <m:r>
          <m:t>,</m:t>
        </m:r>
      </m:oMath>
      <w:r>
        <w:t xml:space="preserve"> and </w:t>
      </w:r>
      <m:oMath>
        <m:r>
          <m:t>15</m:t>
        </m:r>
        <m:r>
          <m:t> </m:t>
        </m:r>
        <m:r>
          <m:rPr>
            <m:sty m:val="p"/>
          </m:rPr>
          <m:t>μ</m:t>
        </m:r>
        <m:r>
          <m:rPr>
            <m:sty m:val="p"/>
          </m:rPr>
          <m:t>m</m:t>
        </m:r>
      </m:oMath>
      <w:r>
        <w:t xml:space="preserve">, swept over </w:t>
      </w:r>
      <m:oMath>
        <m:r>
          <m:t>0</m:t>
        </m:r>
      </m:oMath>
      <w:r>
        <w:t xml:space="preserve">–</w:t>
      </w:r>
      <m:oMath>
        <m:r>
          <m:t>200</m:t>
        </m:r>
        <m:r>
          <m:t> </m:t>
        </m:r>
        <m:r>
          <m:rPr>
            <m:sty m:val="p"/>
          </m:rPr>
          <m:t>m</m:t>
        </m:r>
        <m:r>
          <m:rPr>
            <m:sty m:val="p"/>
          </m:rPr>
          <m:t>⋅</m:t>
        </m:r>
        <m:sSup>
          <m:e>
            <m:r>
              <m:rPr>
                <m:sty m:val="p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2</m:t>
            </m:r>
          </m:sup>
        </m:sSup>
      </m:oMath>
      <w:r>
        <w:t xml:space="preserve">. Acceleration is applied through COMSOL’s linearly accelerated reference frame. The </w:t>
      </w:r>
      <m:oMath>
        <m:r>
          <m:t>h</m:t>
        </m:r>
        <m:r>
          <m:t>=</m:t>
        </m:r>
        <m:r>
          <m:t>15</m:t>
        </m:r>
        <m:r>
          <m:t> </m:t>
        </m:r>
        <m:r>
          <m:rPr>
            <m:sty m:val="p"/>
          </m:rPr>
          <m:t>μ</m:t>
        </m:r>
        <m:r>
          <m:rPr>
            <m:sty m:val="p"/>
          </m:rPr>
          <m:t>m</m:t>
        </m:r>
      </m:oMath>
      <w:r>
        <w:t xml:space="preserve"> trace is essentially flat (bending-dominated; flexural stiffness </w:t>
      </w:r>
      <m:oMath>
        <m:r>
          <m:t>∝</m:t>
        </m:r>
        <m:sSup>
          <m:e>
            <m:r>
              <m:t>t</m:t>
            </m:r>
          </m:e>
          <m:sup>
            <m:r>
              <m:t>3</m:t>
            </m:r>
          </m:sup>
        </m:sSup>
      </m:oMath>
      <w:r>
        <w:t xml:space="preserve">); thinning the device layer to </w:t>
      </w:r>
      <m:oMath>
        <m:r>
          <m:t>10</m:t>
        </m:r>
        <m:r>
          <m:t> </m:t>
        </m:r>
        <m:r>
          <m:rPr>
            <m:sty m:val="p"/>
          </m:rPr>
          <m:t>μ</m:t>
        </m:r>
        <m:r>
          <m:rPr>
            <m:sty m:val="p"/>
          </m:rPr>
          <m:t>m</m:t>
        </m:r>
      </m:oMath>
      <w:r>
        <w:t xml:space="preserve"> and </w:t>
      </w:r>
      <m:oMath>
        <m:r>
          <m:t>5</m:t>
        </m:r>
        <m:r>
          <m:t> </m:t>
        </m:r>
        <m:r>
          <m:rPr>
            <m:sty m:val="p"/>
          </m:rPr>
          <m:t>μ</m:t>
        </m:r>
        <m:r>
          <m:rPr>
            <m:sty m:val="p"/>
          </m:rPr>
          <m:t>m</m:t>
        </m:r>
      </m:oMath>
      <w:r>
        <w:t xml:space="preserve"> drives the bridge into the tension-dominated regime, in which mid-plane stretching of the proof-mass-loaded beam produces a monotonic, increasing </w:t>
      </w:r>
      <m:oMath>
        <m:r>
          <m:t>δ</m:t>
        </m:r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 (geometric stiffness </w:t>
      </w:r>
      <m:oMath>
        <m:r>
          <m:t>∝</m:t>
        </m:r>
        <m:r>
          <m:t>t</m:t>
        </m:r>
      </m:oMath>
      <w:r>
        <w:t xml:space="preserve">).</w:t>
      </w:r>
    </w:p>
    <w:p>
      <w:pPr>
        <w:pStyle w:val="Heading1"/>
      </w:pPr>
      <w:bookmarkStart w:id="32" w:name="supplementary-note-s4"/>
      <w:r>
        <w:t xml:space="preserve">Supplementary Note S4</w:t>
      </w:r>
      <w:bookmarkEnd w:id="32"/>
    </w:p>
    <w:p>
      <w:pPr>
        <w:pStyle w:val="Heading2"/>
      </w:pPr>
      <w:bookmarkStart w:id="33" w:name="X472e63faa6166f7ec0c02dbdcea6887a01c1936"/>
      <w:r>
        <w:t xml:space="preserve">Linear temporal coupled-mode theory model</w:t>
      </w:r>
      <w:bookmarkEnd w:id="33"/>
    </w:p>
    <w:p>
      <w:pPr>
        <w:pStyle w:val="FirstParagraph"/>
      </w:pPr>
      <w:r>
        <w:t xml:space="preserve">Treating the LDV measurement as a single-port complex transmission </w:t>
      </w:r>
      <m:oMath>
        <m:r>
          <m:t>T</m:t>
        </m:r>
        <m:r>
          <m:t>(</m:t>
        </m:r>
        <m:r>
          <m:t>ω</m:t>
        </m:r>
        <m:r>
          <m:t>)</m:t>
        </m:r>
      </m:oMath>
      <w:r>
        <w:t xml:space="preserve"> of an </w:t>
      </w:r>
      <m:oMath>
        <m:r>
          <m:t>N</m:t>
        </m:r>
      </m:oMath>
      <w:r>
        <w:t xml:space="preserve">-mode linear resonator with a coherent direct-coupling background </w:t>
      </w:r>
      <m:oMath>
        <m:r>
          <m:t>t</m:t>
        </m:r>
      </m:oMath>
      <w:r>
        <w:t xml:space="preserve">, the TCMT amplitude equations in the slowly-varying envelope and weak-coupling limit reduce to a sum of complex Lorentzians plus a frequency-independent through term [1, 2]: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r>
            <m:t>(</m:t>
          </m:r>
          <m:r>
            <m:t>ω</m:t>
          </m:r>
          <m:r>
            <m:t>)</m:t>
          </m:r>
          <m:r>
            <m:t> </m:t>
          </m:r>
          <m:r>
            <m:t>=</m:t>
          </m:r>
          <m:r>
            <m:t> </m:t>
          </m:r>
          <m:r>
            <m:t>t</m:t>
          </m:r>
          <m:r>
            <m:t> </m:t>
          </m:r>
          <m:r>
            <m:t>+</m:t>
          </m:r>
          <m:r>
            <m:t> </m:t>
          </m:r>
          <m:nary>
            <m:naryPr>
              <m:chr m:val="∑"/>
              <m:limLoc m:val="undOvr"/>
              <m:subHide m:val="0"/>
              <m:supHide m:val="0"/>
            </m:naryPr>
            <m:sub>
              <m:r>
                <m:t>n</m:t>
              </m:r>
              <m: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f>
                <m:fPr>
                  <m:type m:val="bar"/>
                </m:fPr>
                <m:num>
                  <m:sSub>
                    <m:e>
                      <m:r>
                        <m:t>C</m:t>
                      </m:r>
                    </m:e>
                    <m:sub>
                      <m:r>
                        <m:t>n</m:t>
                      </m:r>
                    </m:sub>
                  </m:sSub>
                </m:num>
                <m:den>
                  <m:sSub>
                    <m:e>
                      <m:r>
                        <m:t>r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t>/</m:t>
                  </m:r>
                  <m:r>
                    <m:t>2</m:t>
                  </m:r>
                  <m:r>
                    <m:t>+</m:t>
                  </m:r>
                  <m:r>
                    <m:t>j</m:t>
                  </m:r>
                  <m:r>
                    <m:t> </m:t>
                  </m:r>
                  <m:r>
                    <m:t>(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t>−</m:t>
                  </m:r>
                  <m:r>
                    <m:t>ω</m:t>
                  </m:r>
                  <m:r>
                    <m:t>)</m:t>
                  </m:r>
                </m:den>
              </m:f>
            </m:e>
          </m:nary>
        </m:oMath>
      </m:oMathPara>
    </w:p>
    <w:p>
      <w:pPr>
        <w:pStyle w:val="FirstParagraph"/>
      </w:pPr>
      <w:r>
        <w:t xml:space="preserve">where:</w:t>
      </w:r>
    </w:p>
    <w:p>
      <w:pPr>
        <w:numPr>
          <w:ilvl w:val="0"/>
          <w:numId w:val="1002"/>
        </w:numPr>
        <w:pStyle w:val="Compact"/>
      </w:pPr>
      <m:oMath>
        <m:sSub>
          <m:e>
            <m:r>
              <m:t>ω</m:t>
            </m:r>
          </m:e>
          <m:sub>
            <m:r>
              <m:t>n</m:t>
            </m:r>
          </m:sub>
        </m:sSub>
      </m:oMath>
      <w:r>
        <w:t xml:space="preserve"> is the angular eigenfrequency of mode </w:t>
      </w:r>
      <m:oMath>
        <m:r>
          <m:t>n</m:t>
        </m:r>
      </m:oMath>
      <w:r>
        <w:t xml:space="preserve">;</w:t>
      </w:r>
    </w:p>
    <w:p>
      <w:pPr>
        <w:numPr>
          <w:ilvl w:val="0"/>
          <w:numId w:val="1002"/>
        </w:numPr>
        <w:pStyle w:val="Compact"/>
      </w:pP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is the energy decay rate (full-width at half-maximum in angular frequency); the loaded quality factor is </w:t>
      </w:r>
      <m:oMath>
        <m:sSub>
          <m:e>
            <m:r>
              <m:t>Q</m:t>
            </m:r>
          </m:e>
          <m:sub>
            <m:r>
              <m:t>n</m:t>
            </m:r>
          </m:sub>
        </m:sSub>
        <m:r>
          <m:t>=</m:t>
        </m:r>
        <m:sSub>
          <m:e>
            <m:r>
              <m:t>ω</m:t>
            </m:r>
          </m:e>
          <m:sub>
            <m:r>
              <m:t>n</m:t>
            </m:r>
          </m:sub>
        </m:sSub>
        <m:r>
          <m:t>/</m:t>
        </m:r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;</w:t>
      </w:r>
    </w:p>
    <w:p>
      <w:pPr>
        <w:numPr>
          <w:ilvl w:val="0"/>
          <w:numId w:val="1002"/>
        </w:numPr>
        <w:pStyle w:val="Compact"/>
      </w:pPr>
      <m:oMath>
        <m:sSub>
          <m:e>
            <m:r>
              <m:t>C</m:t>
            </m:r>
          </m:e>
          <m:sub>
            <m:r>
              <m:t>n</m:t>
            </m:r>
          </m:sub>
        </m:sSub>
        <m:r>
          <m:t>∈</m:t>
        </m:r>
        <m:r>
          <m:rPr>
            <m:sty m:val="p"/>
            <m:scr m:val="double-struck"/>
          </m:rPr>
          <m:t>C</m:t>
        </m:r>
      </m:oMath>
      <w:r>
        <w:t xml:space="preserve"> is the complex coupling coefficient. Its modulus sets the on-resonance amplitude (</w:t>
      </w:r>
      <m:oMath>
        <m:r>
          <m:t>|</m:t>
        </m:r>
        <m:r>
          <m:t>T</m:t>
        </m:r>
        <m:r>
          <m:t>(</m:t>
        </m:r>
        <m:sSub>
          <m:e>
            <m:r>
              <m:t>ω</m:t>
            </m:r>
          </m:e>
          <m:sub>
            <m:r>
              <m:t>n</m:t>
            </m:r>
          </m:sub>
        </m:sSub>
        <m:r>
          <m:t>)</m:t>
        </m:r>
        <m:r>
          <m:t>−</m:t>
        </m:r>
        <m:r>
          <m:t>t</m:t>
        </m:r>
        <m:r>
          <m:t>|</m:t>
        </m:r>
        <m:r>
          <m:t>≈</m:t>
        </m:r>
        <m:r>
          <m:t>2</m:t>
        </m:r>
        <m:r>
          <m:t> </m:t>
        </m:r>
        <m:r>
          <m:t>|</m:t>
        </m:r>
        <m:sSub>
          <m:e>
            <m:r>
              <m:t>C</m:t>
            </m:r>
          </m:e>
          <m:sub>
            <m:r>
              <m:t>n</m:t>
            </m:r>
          </m:sub>
        </m:sSub>
        <m:r>
          <m:t>|</m:t>
        </m:r>
        <m:r>
          <m:t>/</m:t>
        </m:r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); its phase </w:t>
      </w:r>
      <m:oMath>
        <m:r>
          <m:rPr>
            <m:nor/>
            <m:sty m:val="p"/>
          </m:rPr>
          <m:t>arg</m:t>
        </m:r>
        <m:r>
          <m:t>(</m:t>
        </m:r>
        <m:sSub>
          <m:e>
            <m:r>
              <m:t>C</m:t>
            </m:r>
          </m:e>
          <m:sub>
            <m:r>
              <m:t>n</m:t>
            </m:r>
          </m:sub>
        </m:sSub>
        <m:r>
          <m:t>)</m:t>
        </m:r>
      </m:oMath>
      <w:r>
        <w:t xml:space="preserve"> selects the line shape — real-positive </w:t>
      </w:r>
      <m:oMath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yields a Lorentzian peak, real-negative </w:t>
      </w:r>
      <m:oMath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yields a dip, and intermediate phases produce asymmetric line-shape profiles;</w:t>
      </w:r>
    </w:p>
    <w:p>
      <w:pPr>
        <w:numPr>
          <w:ilvl w:val="0"/>
          <w:numId w:val="1002"/>
        </w:numPr>
        <w:pStyle w:val="Compact"/>
      </w:pPr>
      <m:oMath>
        <m:r>
          <m:t>t</m:t>
        </m:r>
        <m:r>
          <m:t>∈</m:t>
        </m:r>
        <m:r>
          <m:rPr>
            <m:sty m:val="p"/>
            <m:scr m:val="double-struck"/>
          </m:rPr>
          <m:t>C</m:t>
        </m:r>
      </m:oMath>
      <w:r>
        <w:t xml:space="preserve"> is the coherent direct-coupling background, fitted globally and essential for capturing dip-type features.</w:t>
      </w:r>
    </w:p>
    <w:p>
      <w:pPr>
        <w:pStyle w:val="FirstParagraph"/>
      </w:pPr>
      <w:r>
        <w:t xml:space="preserve">Because all line shapes share this single functional form, no per-mode line-shape branching is required.</w:t>
      </w:r>
    </w:p>
    <w:p>
      <w:pPr>
        <w:pStyle w:val="BodyText"/>
      </w:pPr>
      <w:r>
        <w:t xml:space="preserve">This single-port multi-mode TCMT is the framework underlying the 18-mode fit of Device A in main text Fig. 2(c) and the linear-regime Device-B spectrum in Fig. S1(a). The per-mode parameters </w:t>
      </w:r>
      <m:oMath>
        <m:r>
          <m:t>{</m:t>
        </m:r>
        <m:sSub>
          <m:e>
            <m:r>
              <m:t>ω</m:t>
            </m:r>
          </m:e>
          <m:sub>
            <m:r>
              <m:t>n</m:t>
            </m:r>
          </m:sub>
        </m:sSub>
        <m:r>
          <m:t>,</m:t>
        </m:r>
        <m:r>
          <m:t> </m:t>
        </m:r>
        <m:sSub>
          <m:e>
            <m:r>
              <m:t>r</m:t>
            </m:r>
          </m:e>
          <m:sub>
            <m:r>
              <m:t>n</m:t>
            </m:r>
          </m:sub>
        </m:sSub>
        <m:r>
          <m:t>,</m:t>
        </m:r>
        <m:r>
          <m:t> </m:t>
        </m:r>
        <m:sSub>
          <m:e>
            <m:r>
              <m:t>C</m:t>
            </m:r>
          </m:e>
          <m:sub>
            <m:r>
              <m:t>n</m:t>
            </m:r>
          </m:sub>
        </m:sSub>
        <m:r>
          <m:t>}</m:t>
        </m:r>
      </m:oMath>
      <w:r>
        <w:t xml:space="preserve"> extracted by this fit are the inputs the two-mode nonlinear CMT of main text Methods consumes; the linear-fit quality therefore bounds the nonlinear-model accuracy.</w:t>
      </w:r>
    </w:p>
    <w:p>
      <w:pPr>
        <w:pStyle w:val="Heading1"/>
      </w:pPr>
      <w:bookmarkStart w:id="34" w:name="supplementary-references"/>
      <w:r>
        <w:t xml:space="preserve">Supplementary references</w:t>
      </w:r>
      <w:bookmarkEnd w:id="34"/>
    </w:p>
    <w:p>
      <w:pPr>
        <w:pStyle w:val="FirstParagraph"/>
      </w:pPr>
      <w:r>
        <w:t xml:space="preserve">[1] H. A. Haus, </w:t>
      </w:r>
      <w:r>
        <w:rPr>
          <w:i/>
        </w:rPr>
        <w:t xml:space="preserve">Waves and Fields in Optoelectronics</w:t>
      </w:r>
      <w:r>
        <w:t xml:space="preserve"> (Prentice-Hall, Englewood Cliffs, NJ, 1984).</w:t>
      </w:r>
    </w:p>
    <w:p>
      <w:pPr>
        <w:pStyle w:val="BodyText"/>
      </w:pPr>
      <w:r>
        <w:t xml:space="preserve">[2] W. Suh, Z. Wang, and S. Fan, “Temporal coupled-mode theory and the presence of non-orthogonal modes in lossless multimode cavities,” </w:t>
      </w:r>
      <w:r>
        <w:rPr>
          <w:i/>
        </w:rPr>
        <w:t xml:space="preserve">IEEE J. Quantum Electron.</w:t>
      </w:r>
      <w:r>
        <w:t xml:space="preserve"> </w:t>
      </w:r>
      <w:r>
        <w:rPr>
          <w:b/>
        </w:rPr>
        <w:t xml:space="preserve">40</w:t>
      </w:r>
      <w:r>
        <w:t xml:space="preserve">, 1511–1518 (2004).</w:t>
      </w:r>
    </w:p>
    <w:p>
      <w:pPr>
        <w:pStyle w:val="BodyText"/>
      </w:pPr>
      <w:r>
        <w:t xml:space="preserve">[3] S. Bouwstra and B. Geijselaers, “On the resonance frequencies of microbridges,” in </w:t>
      </w:r>
      <w:r>
        <w:rPr>
          <w:i/>
        </w:rPr>
        <w:t xml:space="preserve">Tech. Dig. TRANSDUCERS ’91</w:t>
      </w:r>
      <w:r>
        <w:t xml:space="preserve"> (IEEE, San Francisco, CA, 1991), pp. 538–542.</w:t>
      </w:r>
    </w:p>
    <w:p>
      <w:pPr>
        <w:pStyle w:val="BodyText"/>
      </w:pPr>
      <w:r>
        <w:t xml:space="preserve">[4] S. Schmid, L. G. Villanueva, and M. L. Roukes, </w:t>
      </w:r>
      <w:r>
        <w:rPr>
          <w:i/>
        </w:rPr>
        <w:t xml:space="preserve">Fundamentals of Nanomechanical Resonators</w:t>
      </w:r>
      <w:r>
        <w:t xml:space="preserve"> (Springer, Cham, 2016).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emf" /><Relationship Type="http://schemas.openxmlformats.org/officeDocument/2006/relationships/image" Id="rId25" Target="media/rId25.png" /><Relationship Type="http://schemas.openxmlformats.org/officeDocument/2006/relationships/image" Id="rId31" Target="media/Fig_S3_hires.png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Information</dc:title>
  <dc:creator/>
  <cp:keywords/>
  <dcterms:created xsi:type="dcterms:W3CDTF">2026-05-15T20:43:14Z</dcterms:created>
  <dcterms:modified xsi:type="dcterms:W3CDTF">2026-05-15T20:43:14Z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Companion to: Mechanical Frequency Combs via Three-Wave-Mixing Parametric Excitation: A Scalable Inertial-Sensing Modality</vt:lpwstr>
  </property>
</Properties>
</file>