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B05594" w14:textId="77777777" w:rsidR="00C32442" w:rsidRPr="001806B2" w:rsidRDefault="00C32442" w:rsidP="00C32442">
      <w:pPr>
        <w:pStyle w:val="StandardWeb"/>
        <w:shd w:val="clear" w:color="auto" w:fill="FFFFFF"/>
        <w:spacing w:before="0" w:beforeAutospacing="0" w:after="0" w:afterAutospacing="0" w:line="400" w:lineRule="exact"/>
        <w:ind w:left="-142"/>
        <w:jc w:val="both"/>
        <w:rPr>
          <w:rFonts w:ascii="Calibri" w:hAnsi="Calibri" w:cs="Calibri"/>
          <w:color w:val="1B1B1B"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color w:val="1B1B1B"/>
          <w:kern w:val="36"/>
          <w:sz w:val="22"/>
          <w:szCs w:val="22"/>
          <w:lang w:val="en-US"/>
        </w:rPr>
        <w:t xml:space="preserve">Table 2. Cycle outcome characteristics </w:t>
      </w:r>
      <w:r w:rsidRPr="001806B2">
        <w:rPr>
          <w:rFonts w:ascii="Calibri" w:hAnsi="Calibri" w:cs="Calibri"/>
          <w:b/>
          <w:bCs/>
          <w:color w:val="1B1B1B"/>
          <w:sz w:val="22"/>
          <w:szCs w:val="22"/>
          <w:lang w:val="en-US"/>
        </w:rPr>
        <w:t>per protocol</w:t>
      </w:r>
    </w:p>
    <w:tbl>
      <w:tblPr>
        <w:tblStyle w:val="Tabellenraster"/>
        <w:tblW w:w="9923" w:type="dxa"/>
        <w:tblInd w:w="-147" w:type="dxa"/>
        <w:tblLook w:val="04A0" w:firstRow="1" w:lastRow="0" w:firstColumn="1" w:lastColumn="0" w:noHBand="0" w:noVBand="1"/>
      </w:tblPr>
      <w:tblGrid>
        <w:gridCol w:w="1736"/>
        <w:gridCol w:w="1241"/>
        <w:gridCol w:w="1418"/>
        <w:gridCol w:w="1276"/>
        <w:gridCol w:w="1533"/>
        <w:gridCol w:w="1302"/>
        <w:gridCol w:w="1417"/>
      </w:tblGrid>
      <w:tr w:rsidR="00C32442" w:rsidRPr="001806B2" w14:paraId="0E0086CB" w14:textId="77777777" w:rsidTr="00101AC6">
        <w:trPr>
          <w:trHeight w:val="61"/>
        </w:trPr>
        <w:tc>
          <w:tcPr>
            <w:tcW w:w="1736" w:type="dxa"/>
          </w:tcPr>
          <w:p w14:paraId="4DCFF7D1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</w:tcPr>
          <w:p w14:paraId="3E62D9BA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1418" w:type="dxa"/>
          </w:tcPr>
          <w:p w14:paraId="71479560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NC-IVF </w:t>
            </w:r>
          </w:p>
        </w:tc>
        <w:tc>
          <w:tcPr>
            <w:tcW w:w="1276" w:type="dxa"/>
          </w:tcPr>
          <w:p w14:paraId="623A77CA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CC/AI-IVF </w:t>
            </w:r>
          </w:p>
        </w:tc>
        <w:tc>
          <w:tcPr>
            <w:tcW w:w="1533" w:type="dxa"/>
          </w:tcPr>
          <w:p w14:paraId="78125A38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-IVF</w:t>
            </w:r>
          </w:p>
        </w:tc>
        <w:tc>
          <w:tcPr>
            <w:tcW w:w="1302" w:type="dxa"/>
          </w:tcPr>
          <w:p w14:paraId="731C0E60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CC/AI+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- IVF</w:t>
            </w:r>
          </w:p>
        </w:tc>
        <w:tc>
          <w:tcPr>
            <w:tcW w:w="1417" w:type="dxa"/>
          </w:tcPr>
          <w:p w14:paraId="166078A1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cIVF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C32442" w:rsidRPr="001806B2" w14:paraId="1B324E56" w14:textId="77777777" w:rsidTr="00101AC6">
        <w:trPr>
          <w:trHeight w:val="19"/>
        </w:trPr>
        <w:tc>
          <w:tcPr>
            <w:tcW w:w="1736" w:type="dxa"/>
          </w:tcPr>
          <w:p w14:paraId="453FC61B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Cycles, n</w:t>
            </w:r>
          </w:p>
        </w:tc>
        <w:tc>
          <w:tcPr>
            <w:tcW w:w="1241" w:type="dxa"/>
          </w:tcPr>
          <w:p w14:paraId="3A9FC1AA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4583</w:t>
            </w:r>
          </w:p>
        </w:tc>
        <w:tc>
          <w:tcPr>
            <w:tcW w:w="1418" w:type="dxa"/>
          </w:tcPr>
          <w:p w14:paraId="1DD57804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1483</w:t>
            </w:r>
          </w:p>
        </w:tc>
        <w:tc>
          <w:tcPr>
            <w:tcW w:w="1276" w:type="dxa"/>
          </w:tcPr>
          <w:p w14:paraId="216A0274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583</w:t>
            </w:r>
          </w:p>
        </w:tc>
        <w:tc>
          <w:tcPr>
            <w:tcW w:w="1533" w:type="dxa"/>
          </w:tcPr>
          <w:p w14:paraId="7AECDD2D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153</w:t>
            </w:r>
          </w:p>
        </w:tc>
        <w:tc>
          <w:tcPr>
            <w:tcW w:w="1302" w:type="dxa"/>
          </w:tcPr>
          <w:p w14:paraId="6BEDFAA9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472</w:t>
            </w:r>
          </w:p>
        </w:tc>
        <w:tc>
          <w:tcPr>
            <w:tcW w:w="1417" w:type="dxa"/>
          </w:tcPr>
          <w:p w14:paraId="23B61437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1892</w:t>
            </w:r>
          </w:p>
        </w:tc>
      </w:tr>
      <w:tr w:rsidR="00C32442" w:rsidRPr="001806B2" w14:paraId="0F9F0661" w14:textId="77777777" w:rsidTr="00101AC6">
        <w:trPr>
          <w:trHeight w:val="40"/>
        </w:trPr>
        <w:tc>
          <w:tcPr>
            <w:tcW w:w="1736" w:type="dxa"/>
          </w:tcPr>
          <w:p w14:paraId="73F3F03D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Premature ovulations</w:t>
            </w:r>
            <w:r w:rsidRPr="001806B2">
              <w:rPr>
                <w:rStyle w:val="Fett"/>
                <w:rFonts w:ascii="Calibri" w:eastAsiaTheme="majorEastAsia" w:hAnsi="Calibri" w:cs="Calibri"/>
                <w:b w:val="0"/>
                <w:bCs w:val="0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 </w:t>
            </w:r>
            <w:r w:rsidRPr="001806B2">
              <w:rPr>
                <w:rStyle w:val="Hervorhebung"/>
                <w:rFonts w:ascii="Calibri" w:eastAsiaTheme="majorEastAsia" w:hAnsi="Calibri" w:cs="Calibri"/>
                <w:i w:val="0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</w:t>
            </w:r>
            <w:r w:rsidRPr="001806B2">
              <w:rPr>
                <w:rStyle w:val="Fett"/>
                <w:rFonts w:ascii="Calibri" w:eastAsiaTheme="majorEastAsia" w:hAnsi="Calibri" w:cs="Calibri"/>
                <w:b w:val="0"/>
                <w:bCs w:val="0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 (%)</w:t>
            </w:r>
          </w:p>
        </w:tc>
        <w:tc>
          <w:tcPr>
            <w:tcW w:w="1241" w:type="dxa"/>
          </w:tcPr>
          <w:p w14:paraId="70543A6F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171 (3.7%)</w:t>
            </w:r>
          </w:p>
        </w:tc>
        <w:tc>
          <w:tcPr>
            <w:tcW w:w="1418" w:type="dxa"/>
          </w:tcPr>
          <w:p w14:paraId="6A52B247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125 (8.4%)</w:t>
            </w:r>
          </w:p>
        </w:tc>
        <w:tc>
          <w:tcPr>
            <w:tcW w:w="1276" w:type="dxa"/>
          </w:tcPr>
          <w:p w14:paraId="018E34AC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18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(2.8%)</w:t>
            </w:r>
          </w:p>
        </w:tc>
        <w:tc>
          <w:tcPr>
            <w:tcW w:w="1533" w:type="dxa"/>
          </w:tcPr>
          <w:p w14:paraId="47876D05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10 (6.5%)</w:t>
            </w:r>
          </w:p>
        </w:tc>
        <w:tc>
          <w:tcPr>
            <w:tcW w:w="1302" w:type="dxa"/>
          </w:tcPr>
          <w:p w14:paraId="316E3E0C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9 (1.9 %)</w:t>
            </w:r>
          </w:p>
        </w:tc>
        <w:tc>
          <w:tcPr>
            <w:tcW w:w="1417" w:type="dxa"/>
          </w:tcPr>
          <w:p w14:paraId="6D4F2082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9 (0.5%)</w:t>
            </w:r>
          </w:p>
        </w:tc>
      </w:tr>
      <w:tr w:rsidR="00C32442" w:rsidRPr="001806B2" w14:paraId="290E97CC" w14:textId="77777777" w:rsidTr="00101AC6">
        <w:trPr>
          <w:trHeight w:val="40"/>
        </w:trPr>
        <w:tc>
          <w:tcPr>
            <w:tcW w:w="1736" w:type="dxa"/>
          </w:tcPr>
          <w:p w14:paraId="62C460F9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Number of oocytes,</w:t>
            </w:r>
          </w:p>
          <w:p w14:paraId="22C910F7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Median [IQR]</w:t>
            </w:r>
          </w:p>
        </w:tc>
        <w:tc>
          <w:tcPr>
            <w:tcW w:w="1241" w:type="dxa"/>
          </w:tcPr>
          <w:p w14:paraId="169CABC6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2.0 [1.0, 6.0]</w:t>
            </w:r>
          </w:p>
        </w:tc>
        <w:tc>
          <w:tcPr>
            <w:tcW w:w="1418" w:type="dxa"/>
          </w:tcPr>
          <w:p w14:paraId="13768ED1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 [1.0, 1.0]</w:t>
            </w:r>
          </w:p>
        </w:tc>
        <w:tc>
          <w:tcPr>
            <w:tcW w:w="1276" w:type="dxa"/>
          </w:tcPr>
          <w:p w14:paraId="4651B121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 [1.0, 2.0]</w:t>
            </w:r>
          </w:p>
        </w:tc>
        <w:tc>
          <w:tcPr>
            <w:tcW w:w="1533" w:type="dxa"/>
          </w:tcPr>
          <w:p w14:paraId="47052A96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2.0 [1.0, 3.0]</w:t>
            </w:r>
          </w:p>
        </w:tc>
        <w:tc>
          <w:tcPr>
            <w:tcW w:w="1302" w:type="dxa"/>
          </w:tcPr>
          <w:p w14:paraId="2C3F900A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3.0 [2.0, 5.0]</w:t>
            </w:r>
          </w:p>
        </w:tc>
        <w:tc>
          <w:tcPr>
            <w:tcW w:w="1417" w:type="dxa"/>
          </w:tcPr>
          <w:p w14:paraId="1D85976B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7.0 [4.0, 12.0]</w:t>
            </w:r>
          </w:p>
        </w:tc>
      </w:tr>
      <w:tr w:rsidR="00C32442" w:rsidRPr="001806B2" w14:paraId="7970261D" w14:textId="77777777" w:rsidTr="00101AC6">
        <w:trPr>
          <w:trHeight w:val="40"/>
        </w:trPr>
        <w:tc>
          <w:tcPr>
            <w:tcW w:w="1736" w:type="dxa"/>
          </w:tcPr>
          <w:p w14:paraId="2FE2423B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</w:t>
            </w:r>
            <w:r w:rsidRPr="001806B2"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lang w:val="en-US"/>
              </w:rPr>
              <w:t>umber of zygotes,</w:t>
            </w:r>
          </w:p>
          <w:p w14:paraId="16139219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Median [IQR]</w:t>
            </w:r>
          </w:p>
        </w:tc>
        <w:tc>
          <w:tcPr>
            <w:tcW w:w="1241" w:type="dxa"/>
          </w:tcPr>
          <w:p w14:paraId="07D8998F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 [1.0, 3.0]</w:t>
            </w:r>
          </w:p>
        </w:tc>
        <w:tc>
          <w:tcPr>
            <w:tcW w:w="1418" w:type="dxa"/>
          </w:tcPr>
          <w:p w14:paraId="1B87B993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 [0.0, 1.0]</w:t>
            </w:r>
          </w:p>
          <w:p w14:paraId="40E6FFD7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8F1A0DC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 [0.0, 1.0]</w:t>
            </w:r>
          </w:p>
        </w:tc>
        <w:tc>
          <w:tcPr>
            <w:tcW w:w="1533" w:type="dxa"/>
          </w:tcPr>
          <w:p w14:paraId="68B51C3E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 [0.0, 2.0]</w:t>
            </w:r>
          </w:p>
        </w:tc>
        <w:tc>
          <w:tcPr>
            <w:tcW w:w="1302" w:type="dxa"/>
          </w:tcPr>
          <w:p w14:paraId="07096E30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2.0 [1.0, 3.0]</w:t>
            </w:r>
          </w:p>
        </w:tc>
        <w:tc>
          <w:tcPr>
            <w:tcW w:w="1417" w:type="dxa"/>
          </w:tcPr>
          <w:p w14:paraId="0FD4DDFD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4.0 [2.0, 6.0]</w:t>
            </w:r>
          </w:p>
          <w:p w14:paraId="7454EF60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32442" w:rsidRPr="001806B2" w14:paraId="60372EAE" w14:textId="77777777" w:rsidTr="00101AC6">
        <w:trPr>
          <w:trHeight w:val="81"/>
        </w:trPr>
        <w:tc>
          <w:tcPr>
            <w:tcW w:w="1736" w:type="dxa"/>
          </w:tcPr>
          <w:p w14:paraId="5E732A7B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Style w:val="Fett"/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</w:t>
            </w:r>
            <w:r w:rsidRPr="001806B2">
              <w:rPr>
                <w:rStyle w:val="Fett"/>
                <w:rFonts w:ascii="Calibri" w:eastAsiaTheme="majorEastAsia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umber of transferred embryos,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Median [IQR]</w:t>
            </w:r>
          </w:p>
        </w:tc>
        <w:tc>
          <w:tcPr>
            <w:tcW w:w="1241" w:type="dxa"/>
          </w:tcPr>
          <w:p w14:paraId="0331ABF2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[1.0,1.0]</w:t>
            </w:r>
          </w:p>
        </w:tc>
        <w:tc>
          <w:tcPr>
            <w:tcW w:w="1418" w:type="dxa"/>
          </w:tcPr>
          <w:p w14:paraId="239E0EAD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[1.0, 1.0]</w:t>
            </w:r>
          </w:p>
        </w:tc>
        <w:tc>
          <w:tcPr>
            <w:tcW w:w="1276" w:type="dxa"/>
          </w:tcPr>
          <w:p w14:paraId="01A5B954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[1.0,1.0]</w:t>
            </w:r>
          </w:p>
        </w:tc>
        <w:tc>
          <w:tcPr>
            <w:tcW w:w="1533" w:type="dxa"/>
          </w:tcPr>
          <w:p w14:paraId="4DC371A7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[1.0,1.0]</w:t>
            </w:r>
          </w:p>
        </w:tc>
        <w:tc>
          <w:tcPr>
            <w:tcW w:w="1302" w:type="dxa"/>
          </w:tcPr>
          <w:p w14:paraId="5DEBFEF7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[1.0,2.0]</w:t>
            </w:r>
          </w:p>
        </w:tc>
        <w:tc>
          <w:tcPr>
            <w:tcW w:w="1417" w:type="dxa"/>
          </w:tcPr>
          <w:p w14:paraId="41A1333B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[</w:t>
            </w:r>
            <w:r w:rsidRPr="001806B2" w:rsidDel="00382451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1.0,2.0]</w:t>
            </w:r>
          </w:p>
        </w:tc>
      </w:tr>
      <w:tr w:rsidR="00C32442" w:rsidRPr="001806B2" w14:paraId="64235253" w14:textId="77777777" w:rsidTr="00101AC6">
        <w:trPr>
          <w:trHeight w:val="81"/>
        </w:trPr>
        <w:tc>
          <w:tcPr>
            <w:tcW w:w="1736" w:type="dxa"/>
          </w:tcPr>
          <w:p w14:paraId="4006B7A8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Style w:val="Fett"/>
                <w:rFonts w:ascii="Calibri" w:eastAsiaTheme="majorEastAsia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Cycles with at least 1 fresh embryo transfer, </w:t>
            </w:r>
            <w:r w:rsidRPr="001806B2">
              <w:rPr>
                <w:rStyle w:val="Hervorhebung"/>
                <w:rFonts w:ascii="Calibri" w:eastAsiaTheme="majorEastAsia" w:hAnsi="Calibri" w:cs="Calibri"/>
                <w:i w:val="0"/>
                <w:iCs w:val="0"/>
                <w:color w:val="1B1B1B"/>
                <w:sz w:val="20"/>
                <w:szCs w:val="20"/>
                <w:shd w:val="clear" w:color="auto" w:fill="FFFFFF"/>
                <w:lang w:val="en-US"/>
              </w:rPr>
              <w:t>n</w:t>
            </w:r>
            <w:r w:rsidRPr="001806B2">
              <w:rPr>
                <w:rStyle w:val="Fett"/>
                <w:rFonts w:ascii="Calibri" w:eastAsiaTheme="majorEastAsia" w:hAnsi="Calibri" w:cs="Calibri"/>
                <w:b w:val="0"/>
                <w:bCs w:val="0"/>
                <w:i/>
                <w:color w:val="1B1B1B"/>
                <w:sz w:val="20"/>
                <w:szCs w:val="20"/>
                <w:shd w:val="clear" w:color="auto" w:fill="FFFFFF"/>
                <w:lang w:val="en-US"/>
              </w:rPr>
              <w:t> (%)</w:t>
            </w:r>
          </w:p>
        </w:tc>
        <w:tc>
          <w:tcPr>
            <w:tcW w:w="1241" w:type="dxa"/>
          </w:tcPr>
          <w:p w14:paraId="5CC077D4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3057 (67%)</w:t>
            </w:r>
          </w:p>
        </w:tc>
        <w:tc>
          <w:tcPr>
            <w:tcW w:w="1418" w:type="dxa"/>
          </w:tcPr>
          <w:p w14:paraId="5EC1EB03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791 </w:t>
            </w:r>
            <w:r w:rsidRPr="001806B2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(53%)</w:t>
            </w:r>
          </w:p>
        </w:tc>
        <w:tc>
          <w:tcPr>
            <w:tcW w:w="1276" w:type="dxa"/>
          </w:tcPr>
          <w:p w14:paraId="5061BA9D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350 </w:t>
            </w:r>
            <w:r w:rsidRPr="001806B2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(57%)</w:t>
            </w:r>
          </w:p>
        </w:tc>
        <w:tc>
          <w:tcPr>
            <w:tcW w:w="1533" w:type="dxa"/>
          </w:tcPr>
          <w:p w14:paraId="504101C9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102 </w:t>
            </w:r>
            <w:r w:rsidRPr="001806B2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(67%)</w:t>
            </w:r>
          </w:p>
        </w:tc>
        <w:tc>
          <w:tcPr>
            <w:tcW w:w="1302" w:type="dxa"/>
          </w:tcPr>
          <w:p w14:paraId="68EE534F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366 </w:t>
            </w:r>
            <w:r w:rsidRPr="001806B2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(78%)</w:t>
            </w:r>
          </w:p>
        </w:tc>
        <w:tc>
          <w:tcPr>
            <w:tcW w:w="1417" w:type="dxa"/>
          </w:tcPr>
          <w:p w14:paraId="19FEEEFE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1448 </w:t>
            </w:r>
            <w:r w:rsidRPr="001806B2">
              <w:rPr>
                <w:rFonts w:ascii="Calibri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(77%)</w:t>
            </w:r>
          </w:p>
        </w:tc>
      </w:tr>
      <w:tr w:rsidR="00C32442" w:rsidRPr="001806B2" w14:paraId="2BB283DD" w14:textId="77777777" w:rsidTr="00101AC6">
        <w:trPr>
          <w:trHeight w:val="19"/>
        </w:trPr>
        <w:tc>
          <w:tcPr>
            <w:tcW w:w="1736" w:type="dxa"/>
          </w:tcPr>
          <w:p w14:paraId="3A1A2201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Style w:val="Fett"/>
                <w:rFonts w:ascii="Calibri" w:eastAsiaTheme="majorEastAsia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 xml:space="preserve">Unknown, </w:t>
            </w:r>
            <w:r w:rsidRPr="001806B2">
              <w:rPr>
                <w:rStyle w:val="Fett"/>
                <w:rFonts w:ascii="Calibri" w:eastAsiaTheme="majorEastAsia" w:hAnsi="Calibri" w:cs="Calibri"/>
                <w:b w:val="0"/>
                <w:bCs w:val="0"/>
                <w:color w:val="1B1B1B"/>
                <w:sz w:val="20"/>
                <w:szCs w:val="20"/>
                <w:shd w:val="clear" w:color="auto" w:fill="FFFFFF"/>
                <w:lang w:val="en-US"/>
              </w:rPr>
              <w:t>n</w:t>
            </w:r>
          </w:p>
        </w:tc>
        <w:tc>
          <w:tcPr>
            <w:tcW w:w="1241" w:type="dxa"/>
          </w:tcPr>
          <w:p w14:paraId="179750C4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4 </w:t>
            </w:r>
          </w:p>
        </w:tc>
        <w:tc>
          <w:tcPr>
            <w:tcW w:w="1418" w:type="dxa"/>
          </w:tcPr>
          <w:p w14:paraId="23021EDC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2366A57B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533" w:type="dxa"/>
          </w:tcPr>
          <w:p w14:paraId="33E72511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302" w:type="dxa"/>
          </w:tcPr>
          <w:p w14:paraId="4585DEA8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BBBB8EF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C32442" w:rsidRPr="001806B2" w14:paraId="58DD0102" w14:textId="77777777" w:rsidTr="00101AC6">
        <w:trPr>
          <w:trHeight w:val="61"/>
        </w:trPr>
        <w:tc>
          <w:tcPr>
            <w:tcW w:w="1736" w:type="dxa"/>
          </w:tcPr>
          <w:p w14:paraId="7A79835B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Clinical pregnancy rate per initiated cycle </w:t>
            </w: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(%)</w:t>
            </w:r>
          </w:p>
        </w:tc>
        <w:tc>
          <w:tcPr>
            <w:tcW w:w="1241" w:type="dxa"/>
          </w:tcPr>
          <w:p w14:paraId="22B1449A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20%</w:t>
            </w:r>
          </w:p>
        </w:tc>
        <w:tc>
          <w:tcPr>
            <w:tcW w:w="1418" w:type="dxa"/>
          </w:tcPr>
          <w:p w14:paraId="05A19C3E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14%</w:t>
            </w:r>
          </w:p>
        </w:tc>
        <w:tc>
          <w:tcPr>
            <w:tcW w:w="1276" w:type="dxa"/>
          </w:tcPr>
          <w:p w14:paraId="23F3B743" w14:textId="77777777" w:rsidR="00C32442" w:rsidRPr="001806B2" w:rsidRDefault="00C32442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13%</w:t>
            </w:r>
          </w:p>
        </w:tc>
        <w:tc>
          <w:tcPr>
            <w:tcW w:w="1533" w:type="dxa"/>
          </w:tcPr>
          <w:p w14:paraId="57CA5CC8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16%</w:t>
            </w:r>
          </w:p>
        </w:tc>
        <w:tc>
          <w:tcPr>
            <w:tcW w:w="1302" w:type="dxa"/>
          </w:tcPr>
          <w:p w14:paraId="09563D86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24%</w:t>
            </w:r>
          </w:p>
        </w:tc>
        <w:tc>
          <w:tcPr>
            <w:tcW w:w="1417" w:type="dxa"/>
          </w:tcPr>
          <w:p w14:paraId="4C83017D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27%</w:t>
            </w:r>
          </w:p>
        </w:tc>
      </w:tr>
      <w:tr w:rsidR="00C32442" w:rsidRPr="001806B2" w14:paraId="75220BD9" w14:textId="77777777" w:rsidTr="00101AC6">
        <w:trPr>
          <w:trHeight w:val="19"/>
        </w:trPr>
        <w:tc>
          <w:tcPr>
            <w:tcW w:w="1736" w:type="dxa"/>
          </w:tcPr>
          <w:p w14:paraId="317C9972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Style w:val="Fett"/>
                <w:rFonts w:ascii="Calibri" w:eastAsiaTheme="majorEastAsia" w:hAnsi="Calibri" w:cs="Calibri"/>
                <w:color w:val="1B1B1B"/>
                <w:sz w:val="20"/>
                <w:szCs w:val="20"/>
                <w:shd w:val="clear" w:color="auto" w:fill="FFFFFF"/>
                <w:lang w:val="en-US"/>
              </w:rPr>
              <w:t>Unknown, </w:t>
            </w:r>
            <w:r w:rsidRPr="001806B2">
              <w:rPr>
                <w:rStyle w:val="Hervorhebung"/>
                <w:rFonts w:ascii="Calibri" w:eastAsiaTheme="majorEastAsia" w:hAnsi="Calibri" w:cs="Calibri"/>
                <w:i w:val="0"/>
                <w:iCs w:val="0"/>
                <w:color w:val="1B1B1B"/>
                <w:sz w:val="20"/>
                <w:szCs w:val="20"/>
                <w:shd w:val="clear" w:color="auto" w:fill="FFFFFF"/>
                <w:lang w:val="en-US"/>
              </w:rPr>
              <w:t>n</w:t>
            </w:r>
          </w:p>
        </w:tc>
        <w:tc>
          <w:tcPr>
            <w:tcW w:w="1241" w:type="dxa"/>
          </w:tcPr>
          <w:p w14:paraId="14177D96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6439AECB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13F390A5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533" w:type="dxa"/>
          </w:tcPr>
          <w:p w14:paraId="0200B6D4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302" w:type="dxa"/>
          </w:tcPr>
          <w:p w14:paraId="70728EEC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75E1DE82" w14:textId="77777777" w:rsidR="00C32442" w:rsidRPr="001806B2" w:rsidRDefault="00C32442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</w:tr>
    </w:tbl>
    <w:p w14:paraId="082CC1AE" w14:textId="7BA8109E" w:rsidR="00C32442" w:rsidRDefault="00C32442" w:rsidP="00C32442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>NC-IVF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atural cycle IVF;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 vitro</w:t>
      </w:r>
      <w:r w:rsidRPr="001806B2">
        <w:rPr>
          <w:rStyle w:val="Hervorhebung"/>
          <w:rFonts w:ascii="Calibri" w:eastAsiaTheme="majorEastAsia" w:hAnsi="Calibri" w:cs="Calibri"/>
          <w:i w:val="0"/>
          <w:iCs w:val="0"/>
          <w:color w:val="1B1B1B"/>
          <w:sz w:val="20"/>
          <w:szCs w:val="20"/>
          <w:lang w:val="en-US"/>
        </w:rPr>
        <w:t> fertilization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; 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AI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aromatase inhibitor;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CC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clomiphene citrate; 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cIVF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conventional IVF; </w:t>
      </w:r>
      <w:proofErr w:type="spell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r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FSH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recombinant follicle-stimulating hormone; 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hMG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human menopausal gonadotropin; 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IQR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interquartile range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.</w:t>
      </w:r>
    </w:p>
    <w:p w14:paraId="380EE21D" w14:textId="77777777" w:rsidR="00C32442" w:rsidRDefault="00C32442" w:rsidP="00C32442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</w:p>
    <w:p w14:paraId="2E054B54" w14:textId="77777777" w:rsidR="00C32442" w:rsidRDefault="00C32442" w:rsidP="00C32442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</w:p>
    <w:p w14:paraId="5BDD3B31" w14:textId="77777777" w:rsidR="007F5EFD" w:rsidRPr="00C32442" w:rsidRDefault="007F5EFD">
      <w:pPr>
        <w:rPr>
          <w:lang w:val="en-US"/>
        </w:rPr>
      </w:pPr>
    </w:p>
    <w:sectPr w:rsidR="007F5EFD" w:rsidRPr="00C324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42"/>
    <w:rsid w:val="00034A64"/>
    <w:rsid w:val="005B2D5F"/>
    <w:rsid w:val="007F5EFD"/>
    <w:rsid w:val="00953930"/>
    <w:rsid w:val="00C32442"/>
    <w:rsid w:val="00CD4836"/>
    <w:rsid w:val="00E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213E40E"/>
  <w15:chartTrackingRefBased/>
  <w15:docId w15:val="{CEA35DC5-5D99-E34A-8175-09609E62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2442"/>
    <w:rPr>
      <w:rFonts w:eastAsiaTheme="minorEastAsia"/>
      <w:lang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32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32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2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2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2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2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2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2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2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2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32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2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244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244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244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244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244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24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2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C32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2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2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2442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C324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2442"/>
    <w:pPr>
      <w:ind w:left="720"/>
      <w:contextualSpacing/>
    </w:pPr>
    <w:rPr>
      <w:rFonts w:eastAsiaTheme="minorHAns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C3244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2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244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244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3244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C32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ett">
    <w:name w:val="Strong"/>
    <w:basedOn w:val="Absatz-Standardschriftart"/>
    <w:uiPriority w:val="22"/>
    <w:qFormat/>
    <w:rsid w:val="00C32442"/>
    <w:rPr>
      <w:b/>
      <w:bCs/>
    </w:rPr>
  </w:style>
  <w:style w:type="character" w:styleId="Hervorhebung">
    <w:name w:val="Emphasis"/>
    <w:basedOn w:val="Absatz-Standardschriftart"/>
    <w:uiPriority w:val="20"/>
    <w:qFormat/>
    <w:rsid w:val="00C324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920</Characters>
  <Application>Microsoft Office Word</Application>
  <DocSecurity>0</DocSecurity>
  <Lines>102</Lines>
  <Paragraphs>85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Nordin</dc:creator>
  <cp:keywords/>
  <dc:description/>
  <cp:lastModifiedBy>Martina Nordin</cp:lastModifiedBy>
  <cp:revision>1</cp:revision>
  <dcterms:created xsi:type="dcterms:W3CDTF">2026-07-01T14:46:00Z</dcterms:created>
  <dcterms:modified xsi:type="dcterms:W3CDTF">2026-07-01T14:46:00Z</dcterms:modified>
</cp:coreProperties>
</file>