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09A3BF" w14:textId="77777777" w:rsidR="00E53193" w:rsidRPr="001806B2" w:rsidRDefault="00E53193" w:rsidP="00E53193">
      <w:pPr>
        <w:pStyle w:val="Kopfzeile"/>
        <w:spacing w:line="400" w:lineRule="exact"/>
        <w:rPr>
          <w:rFonts w:ascii="Calibri" w:hAnsi="Calibri" w:cs="Calibri"/>
          <w:b/>
          <w:bCs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bCs/>
          <w:sz w:val="22"/>
          <w:szCs w:val="22"/>
          <w:lang w:val="en-US"/>
        </w:rPr>
        <w:t xml:space="preserve">Table 3. Estimated costs (Euro) per initiated cycles per protocol to achieve a </w:t>
      </w:r>
      <w:proofErr w:type="spellStart"/>
      <w:r w:rsidRPr="001806B2">
        <w:rPr>
          <w:rFonts w:ascii="Calibri" w:hAnsi="Calibri" w:cs="Calibri"/>
          <w:b/>
          <w:bCs/>
          <w:sz w:val="22"/>
          <w:szCs w:val="22"/>
          <w:lang w:val="en-US"/>
        </w:rPr>
        <w:t>cumPR</w:t>
      </w:r>
      <w:proofErr w:type="spellEnd"/>
      <w:r w:rsidRPr="001806B2">
        <w:rPr>
          <w:rFonts w:ascii="Calibri" w:hAnsi="Calibri" w:cs="Calibri"/>
          <w:b/>
          <w:bCs/>
          <w:sz w:val="22"/>
          <w:szCs w:val="22"/>
          <w:lang w:val="en-US"/>
        </w:rPr>
        <w:t xml:space="preserve"> ≥ 50% per protocol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2007"/>
        <w:gridCol w:w="1415"/>
        <w:gridCol w:w="1497"/>
        <w:gridCol w:w="1499"/>
        <w:gridCol w:w="1636"/>
        <w:gridCol w:w="1439"/>
      </w:tblGrid>
      <w:tr w:rsidR="00E53193" w:rsidRPr="001806B2" w14:paraId="50C7465E" w14:textId="77777777" w:rsidTr="00101AC6">
        <w:trPr>
          <w:trHeight w:val="846"/>
        </w:trPr>
        <w:tc>
          <w:tcPr>
            <w:tcW w:w="2007" w:type="dxa"/>
          </w:tcPr>
          <w:p w14:paraId="6ADBD790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Treatment items</w:t>
            </w:r>
          </w:p>
        </w:tc>
        <w:tc>
          <w:tcPr>
            <w:tcW w:w="1415" w:type="dxa"/>
          </w:tcPr>
          <w:p w14:paraId="0EE98ED9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NC-IVF</w:t>
            </w:r>
          </w:p>
        </w:tc>
        <w:tc>
          <w:tcPr>
            <w:tcW w:w="1497" w:type="dxa"/>
          </w:tcPr>
          <w:p w14:paraId="3119E516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CC/AI-IVF </w:t>
            </w:r>
          </w:p>
        </w:tc>
        <w:tc>
          <w:tcPr>
            <w:tcW w:w="1499" w:type="dxa"/>
          </w:tcPr>
          <w:p w14:paraId="4976570E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-IVF</w:t>
            </w:r>
          </w:p>
        </w:tc>
        <w:tc>
          <w:tcPr>
            <w:tcW w:w="1636" w:type="dxa"/>
          </w:tcPr>
          <w:p w14:paraId="5BF69AA9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CC/AI+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-IVF</w:t>
            </w:r>
          </w:p>
        </w:tc>
        <w:tc>
          <w:tcPr>
            <w:tcW w:w="1439" w:type="dxa"/>
          </w:tcPr>
          <w:p w14:paraId="1E9838C9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cIVF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E53193" w:rsidRPr="001806B2" w14:paraId="19AB2239" w14:textId="77777777" w:rsidTr="00101AC6">
        <w:trPr>
          <w:trHeight w:val="790"/>
        </w:trPr>
        <w:tc>
          <w:tcPr>
            <w:tcW w:w="2007" w:type="dxa"/>
          </w:tcPr>
          <w:p w14:paraId="07E36BB4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Costs per initiated cycle (Euro)</w:t>
            </w:r>
          </w:p>
        </w:tc>
        <w:tc>
          <w:tcPr>
            <w:tcW w:w="1415" w:type="dxa"/>
          </w:tcPr>
          <w:p w14:paraId="3AA78CEA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539.00</w:t>
            </w:r>
            <w:r w:rsidRPr="001806B2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 xml:space="preserve"> 1</w:t>
            </w:r>
          </w:p>
        </w:tc>
        <w:tc>
          <w:tcPr>
            <w:tcW w:w="1497" w:type="dxa"/>
          </w:tcPr>
          <w:p w14:paraId="48D5D382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595.00</w:t>
            </w:r>
            <w:r w:rsidRPr="001806B2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499" w:type="dxa"/>
          </w:tcPr>
          <w:p w14:paraId="4E200EA6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1262.00</w:t>
            </w:r>
            <w:r w:rsidRPr="001806B2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636" w:type="dxa"/>
          </w:tcPr>
          <w:p w14:paraId="3EDEC9C6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1134.00</w:t>
            </w:r>
            <w:r w:rsidRPr="001806B2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439" w:type="dxa"/>
          </w:tcPr>
          <w:p w14:paraId="03EF981C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2827.00</w:t>
            </w:r>
            <w:r w:rsidRPr="001806B2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E53193" w:rsidRPr="001806B2" w14:paraId="12285A8A" w14:textId="77777777" w:rsidTr="00101AC6">
        <w:trPr>
          <w:trHeight w:val="797"/>
        </w:trPr>
        <w:tc>
          <w:tcPr>
            <w:tcW w:w="2007" w:type="dxa"/>
          </w:tcPr>
          <w:p w14:paraId="554C9316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Costs for zygote cryopreservation and storage</w:t>
            </w:r>
          </w:p>
        </w:tc>
        <w:tc>
          <w:tcPr>
            <w:tcW w:w="1415" w:type="dxa"/>
          </w:tcPr>
          <w:p w14:paraId="75B39D8A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</w:p>
        </w:tc>
        <w:tc>
          <w:tcPr>
            <w:tcW w:w="1497" w:type="dxa"/>
          </w:tcPr>
          <w:p w14:paraId="06AF9C37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32.00</w:t>
            </w:r>
          </w:p>
        </w:tc>
        <w:tc>
          <w:tcPr>
            <w:tcW w:w="1499" w:type="dxa"/>
          </w:tcPr>
          <w:p w14:paraId="1A089ECF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56.00</w:t>
            </w:r>
          </w:p>
        </w:tc>
        <w:tc>
          <w:tcPr>
            <w:tcW w:w="1636" w:type="dxa"/>
          </w:tcPr>
          <w:p w14:paraId="57C120D9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60.00</w:t>
            </w:r>
          </w:p>
        </w:tc>
        <w:tc>
          <w:tcPr>
            <w:tcW w:w="1439" w:type="dxa"/>
          </w:tcPr>
          <w:p w14:paraId="271600C5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111.00</w:t>
            </w:r>
          </w:p>
        </w:tc>
      </w:tr>
      <w:tr w:rsidR="00E53193" w:rsidRPr="001806B2" w14:paraId="19B630F0" w14:textId="77777777" w:rsidTr="00101AC6">
        <w:trPr>
          <w:trHeight w:val="526"/>
        </w:trPr>
        <w:tc>
          <w:tcPr>
            <w:tcW w:w="2007" w:type="dxa"/>
          </w:tcPr>
          <w:p w14:paraId="312612DC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Costs for a FET cycle</w:t>
            </w:r>
          </w:p>
        </w:tc>
        <w:tc>
          <w:tcPr>
            <w:tcW w:w="1415" w:type="dxa"/>
          </w:tcPr>
          <w:p w14:paraId="1CAE5AA4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497" w:type="dxa"/>
          </w:tcPr>
          <w:p w14:paraId="67D7FB73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499" w:type="dxa"/>
          </w:tcPr>
          <w:p w14:paraId="63D65B9E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636" w:type="dxa"/>
          </w:tcPr>
          <w:p w14:paraId="3185AB5E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439" w:type="dxa"/>
          </w:tcPr>
          <w:p w14:paraId="700C0F5C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475.00</w:t>
            </w:r>
          </w:p>
        </w:tc>
      </w:tr>
      <w:tr w:rsidR="00E53193" w:rsidRPr="001806B2" w14:paraId="42E18983" w14:textId="77777777" w:rsidTr="00101AC6">
        <w:trPr>
          <w:trHeight w:val="846"/>
        </w:trPr>
        <w:tc>
          <w:tcPr>
            <w:tcW w:w="2007" w:type="dxa"/>
          </w:tcPr>
          <w:p w14:paraId="7D802C0B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Number of cycles need for 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cum</w:t>
            </w: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PR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≥ 50%</w:t>
            </w:r>
          </w:p>
        </w:tc>
        <w:tc>
          <w:tcPr>
            <w:tcW w:w="1415" w:type="dxa"/>
          </w:tcPr>
          <w:p w14:paraId="39269F6D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</w:t>
            </w:r>
          </w:p>
        </w:tc>
        <w:tc>
          <w:tcPr>
            <w:tcW w:w="1497" w:type="dxa"/>
          </w:tcPr>
          <w:p w14:paraId="19BEF4FD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</w:t>
            </w:r>
          </w:p>
        </w:tc>
        <w:tc>
          <w:tcPr>
            <w:tcW w:w="1499" w:type="dxa"/>
          </w:tcPr>
          <w:p w14:paraId="4DC93FF6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4</w:t>
            </w:r>
          </w:p>
        </w:tc>
        <w:tc>
          <w:tcPr>
            <w:tcW w:w="1636" w:type="dxa"/>
          </w:tcPr>
          <w:p w14:paraId="3CA7A718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439" w:type="dxa"/>
          </w:tcPr>
          <w:p w14:paraId="06C21EAF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2 (1x fresh + </w:t>
            </w:r>
          </w:p>
          <w:p w14:paraId="601FE6AE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1x FET)</w:t>
            </w:r>
          </w:p>
        </w:tc>
      </w:tr>
      <w:tr w:rsidR="00E53193" w:rsidRPr="001806B2" w14:paraId="1DB9A6A2" w14:textId="77777777" w:rsidTr="00101AC6">
        <w:trPr>
          <w:trHeight w:val="846"/>
        </w:trPr>
        <w:tc>
          <w:tcPr>
            <w:tcW w:w="2007" w:type="dxa"/>
          </w:tcPr>
          <w:p w14:paraId="61653A6F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Overall costs for ≥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cum</w:t>
            </w: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PR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50% per protocol</w:t>
            </w:r>
          </w:p>
        </w:tc>
        <w:tc>
          <w:tcPr>
            <w:tcW w:w="1415" w:type="dxa"/>
          </w:tcPr>
          <w:p w14:paraId="037F97FC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2695.00</w:t>
            </w:r>
          </w:p>
        </w:tc>
        <w:tc>
          <w:tcPr>
            <w:tcW w:w="1497" w:type="dxa"/>
          </w:tcPr>
          <w:p w14:paraId="50F641FD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3135.00</w:t>
            </w:r>
          </w:p>
        </w:tc>
        <w:tc>
          <w:tcPr>
            <w:tcW w:w="1499" w:type="dxa"/>
          </w:tcPr>
          <w:p w14:paraId="124E5D88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5272.00</w:t>
            </w:r>
          </w:p>
        </w:tc>
        <w:tc>
          <w:tcPr>
            <w:tcW w:w="1636" w:type="dxa"/>
          </w:tcPr>
          <w:p w14:paraId="6366DCFB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3582.00</w:t>
            </w:r>
          </w:p>
        </w:tc>
        <w:tc>
          <w:tcPr>
            <w:tcW w:w="1439" w:type="dxa"/>
          </w:tcPr>
          <w:p w14:paraId="7C387A52" w14:textId="77777777" w:rsidR="00E53193" w:rsidRPr="001806B2" w:rsidRDefault="00E53193" w:rsidP="00101AC6">
            <w:pPr>
              <w:pStyle w:val="Kopfzeile"/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3413.00</w:t>
            </w:r>
          </w:p>
        </w:tc>
      </w:tr>
    </w:tbl>
    <w:p w14:paraId="763A5EA7" w14:textId="77777777" w:rsidR="00E53193" w:rsidRPr="001806B2" w:rsidRDefault="00E53193" w:rsidP="00E53193">
      <w:pPr>
        <w:pStyle w:val="Kopfzeile"/>
        <w:spacing w:line="400" w:lineRule="exact"/>
        <w:jc w:val="both"/>
        <w:rPr>
          <w:rFonts w:ascii="Calibri" w:hAnsi="Calibri" w:cs="Calibri"/>
          <w:sz w:val="20"/>
          <w:szCs w:val="20"/>
          <w:lang w:val="en-US"/>
        </w:rPr>
      </w:pPr>
      <w:r w:rsidRPr="001806B2">
        <w:rPr>
          <w:rFonts w:ascii="Calibri" w:hAnsi="Calibri" w:cs="Calibri"/>
          <w:sz w:val="20"/>
          <w:szCs w:val="20"/>
          <w:vertAlign w:val="superscript"/>
          <w:lang w:val="en-US"/>
        </w:rPr>
        <w:t>1</w:t>
      </w:r>
      <w:r w:rsidRPr="001806B2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Pr="001806B2">
        <w:rPr>
          <w:rFonts w:ascii="Calibri" w:hAnsi="Calibri" w:cs="Calibri"/>
          <w:sz w:val="20"/>
          <w:szCs w:val="20"/>
          <w:lang w:val="en-US"/>
        </w:rPr>
        <w:t>Without storage costs</w:t>
      </w:r>
    </w:p>
    <w:p w14:paraId="11E3A1AB" w14:textId="55D95330" w:rsidR="00E53193" w:rsidRDefault="00E53193" w:rsidP="00E53193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 xml:space="preserve">NC-IVF: natural cycle IVF; </w:t>
      </w:r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>IVF</w:t>
      </w:r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>: in vitro</w:t>
      </w:r>
      <w:r w:rsidRPr="00CC17E1">
        <w:rPr>
          <w:rFonts w:ascii="Calibri" w:hAnsi="Calibri" w:cs="Calibri"/>
          <w:sz w:val="20"/>
          <w:szCs w:val="20"/>
          <w:lang w:val="en-US"/>
        </w:rPr>
        <w:t> fertilization</w:t>
      </w:r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 xml:space="preserve">; </w:t>
      </w:r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>AI</w:t>
      </w:r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 xml:space="preserve">: aromatase inhibitor; </w:t>
      </w:r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>CC</w:t>
      </w:r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>: clomiphene citrate; </w:t>
      </w:r>
      <w:proofErr w:type="spellStart"/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>cIVF</w:t>
      </w:r>
      <w:proofErr w:type="spellEnd"/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>: conventional IVF; </w:t>
      </w:r>
      <w:proofErr w:type="spellStart"/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>r</w:t>
      </w:r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>FSH</w:t>
      </w:r>
      <w:proofErr w:type="spellEnd"/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 xml:space="preserve">: recombinant follicle-stimulating hormone;  </w:t>
      </w:r>
      <w:proofErr w:type="spellStart"/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>hMG</w:t>
      </w:r>
      <w:proofErr w:type="spellEnd"/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 xml:space="preserve">: human menopausal gonadotropin; </w:t>
      </w:r>
      <w:proofErr w:type="spellStart"/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>cumPR</w:t>
      </w:r>
      <w:proofErr w:type="spellEnd"/>
      <w:r w:rsidRPr="00CC17E1">
        <w:rPr>
          <w:rFonts w:ascii="Calibri" w:hAnsi="Calibri" w:cs="Calibri"/>
          <w:i/>
          <w:iCs/>
          <w:sz w:val="20"/>
          <w:szCs w:val="20"/>
          <w:lang w:val="en-US"/>
        </w:rPr>
        <w:t xml:space="preserve"> 50%</w:t>
      </w:r>
      <w:r w:rsidRPr="00CC17E1">
        <w:rPr>
          <w:rFonts w:ascii="Calibri" w:hAnsi="Calibri" w:cs="Calibri"/>
          <w:color w:val="1B1B1B"/>
          <w:sz w:val="20"/>
          <w:szCs w:val="20"/>
          <w:lang w:val="en-US"/>
        </w:rPr>
        <w:t>: cumulative pregnancy rate of 50 percent.</w:t>
      </w:r>
    </w:p>
    <w:p w14:paraId="6C81EC88" w14:textId="77777777" w:rsidR="007F5EFD" w:rsidRPr="00E53193" w:rsidRDefault="007F5EFD">
      <w:pPr>
        <w:rPr>
          <w:lang w:val="en-US"/>
        </w:rPr>
      </w:pPr>
    </w:p>
    <w:sectPr w:rsidR="007F5EFD" w:rsidRPr="00E531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93"/>
    <w:rsid w:val="00034A64"/>
    <w:rsid w:val="005B2D5F"/>
    <w:rsid w:val="007F5EFD"/>
    <w:rsid w:val="00953930"/>
    <w:rsid w:val="00CD4836"/>
    <w:rsid w:val="00E53193"/>
    <w:rsid w:val="00E7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EFF1E8E"/>
  <w15:chartTrackingRefBased/>
  <w15:docId w15:val="{52B460D0-5077-B444-B271-2619F2BC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3193"/>
    <w:rPr>
      <w:rFonts w:eastAsiaTheme="minorEastAsia"/>
      <w:lang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53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3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3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53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53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53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53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53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53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3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3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3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531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531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531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31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31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31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53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E53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53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3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53193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E531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53193"/>
    <w:pPr>
      <w:ind w:left="720"/>
      <w:contextualSpacing/>
    </w:pPr>
    <w:rPr>
      <w:rFonts w:eastAsiaTheme="minorHAns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E531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53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31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5319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53193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E53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E531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E53193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686</Characters>
  <Application>Microsoft Office Word</Application>
  <DocSecurity>0</DocSecurity>
  <Lines>57</Lines>
  <Paragraphs>45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Nordin</dc:creator>
  <cp:keywords/>
  <dc:description/>
  <cp:lastModifiedBy>Martina Nordin</cp:lastModifiedBy>
  <cp:revision>1</cp:revision>
  <dcterms:created xsi:type="dcterms:W3CDTF">2026-07-01T14:47:00Z</dcterms:created>
  <dcterms:modified xsi:type="dcterms:W3CDTF">2026-07-01T14:47:00Z</dcterms:modified>
</cp:coreProperties>
</file>