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81F1" w14:textId="77777777" w:rsidR="00662DDE" w:rsidRDefault="00662DDE" w:rsidP="00662DDE">
      <w:pPr>
        <w:pStyle w:val="Heading1"/>
        <w:spacing w:before="280" w:after="160" w:line="480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Supplementary Material</w:t>
      </w:r>
    </w:p>
    <w:p w14:paraId="02A4C9FB" w14:textId="77777777" w:rsidR="00662DDE" w:rsidRDefault="00662DDE" w:rsidP="00662DDE">
      <w:pPr>
        <w:spacing w:after="160" w:line="480" w:lineRule="auto"/>
      </w:pPr>
      <w:r>
        <w:rPr>
          <w:b/>
          <w:bCs/>
        </w:rPr>
        <w:t>Supplementary Table S1. Dental provider taxonomy codes used to identify dental providers in the National Plan and Provider Enumeration System, with the number of providers identified in each category.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73"/>
        <w:gridCol w:w="2236"/>
        <w:gridCol w:w="2244"/>
      </w:tblGrid>
      <w:tr w:rsidR="00662DDE" w14:paraId="7D083CC4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43F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Taxonomy code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A49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Classification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0C5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Provider category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1C5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Providers identified, n</w:t>
            </w:r>
          </w:p>
        </w:tc>
      </w:tr>
      <w:tr w:rsidR="00662DDE" w14:paraId="51CB29F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220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122300000X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46B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Dentist (unspecified)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F02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Dentistry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382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97,308</w:t>
            </w:r>
          </w:p>
        </w:tc>
      </w:tr>
      <w:tr w:rsidR="00662DDE" w14:paraId="11DBA87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031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1223G0001X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1D5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Practice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3F7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Dentistry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B6E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124,486</w:t>
            </w:r>
          </w:p>
        </w:tc>
      </w:tr>
      <w:tr w:rsidR="00662DDE" w14:paraId="6759684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A4D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1223D0004X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C4D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Dental Anesthesiology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0B1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CF25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</w:tr>
      <w:tr w:rsidR="00662DDE" w14:paraId="36DC75B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CEA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1223D0001X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F9CF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Dental Public Health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5D2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0A7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1,137</w:t>
            </w:r>
          </w:p>
        </w:tc>
      </w:tr>
      <w:tr w:rsidR="00662DDE" w14:paraId="0A74133B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B81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1223E0200X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26F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98F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CBB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5,973</w:t>
            </w:r>
          </w:p>
        </w:tc>
      </w:tr>
      <w:tr w:rsidR="00662DDE" w14:paraId="28AFAB36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6E5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125Q00000X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CF8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Medicine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271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736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662DDE" w14:paraId="2E955E85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FA3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1223P0106X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709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Pathology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004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C98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</w:t>
            </w:r>
          </w:p>
        </w:tc>
      </w:tr>
      <w:tr w:rsidR="00662DDE" w14:paraId="03EA499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CE5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1223X0008X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9D2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Radiology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46B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FC3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662DDE" w14:paraId="77AD2B1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9CA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1223S0112X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326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Surgery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4A9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A2E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8,287</w:t>
            </w:r>
          </w:p>
        </w:tc>
      </w:tr>
      <w:tr w:rsidR="00662DDE" w14:paraId="39DE86C7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DC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1223X2210X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244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Orofacial Pain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16C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BFB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 w:rsidR="00662DDE" w14:paraId="7C6C890D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5C1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1223X0400X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58A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Orthodontics and Dentofacial Orthopedics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2CB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B38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12,544</w:t>
            </w:r>
          </w:p>
        </w:tc>
      </w:tr>
      <w:tr w:rsidR="00662DDE" w14:paraId="471D420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A25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1223P0221X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F61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Pediatric Dentistry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AE6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0A9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9,446</w:t>
            </w:r>
          </w:p>
        </w:tc>
      </w:tr>
      <w:tr w:rsidR="00662DDE" w14:paraId="24ED3C9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2A0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1223P0300X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5C0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49F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9FF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6,105</w:t>
            </w:r>
          </w:p>
        </w:tc>
      </w:tr>
      <w:tr w:rsidR="00662DDE" w14:paraId="5DE0CEBF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858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1223P0700X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79B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Prosthodontics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1E8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025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3,531</w:t>
            </w:r>
          </w:p>
        </w:tc>
      </w:tr>
    </w:tbl>
    <w:p w14:paraId="14685B11" w14:textId="77777777" w:rsidR="00662DDE" w:rsidRDefault="00662DDE" w:rsidP="00662DDE">
      <w:pPr>
        <w:spacing w:after="160" w:line="480" w:lineRule="auto"/>
      </w:pPr>
      <w:r>
        <w:rPr>
          <w:bCs/>
          <w:i/>
          <w:sz w:val="18"/>
        </w:rPr>
        <w:t>Taxonomy codes from the National Uniform Claim Committee Health Care Provider Taxonomy Code Set (version 26.1). Providers were classified by their first eligible dental taxonomy code; 221,794 providers (82.1%) were classified as general dentists and 48,342 as specialists, before exclusion of providers whose practice ZIP Codes could not be matched to Census ZIP Code Tabulation Areas.</w:t>
      </w:r>
    </w:p>
    <w:p w14:paraId="027A6150" w14:textId="77777777" w:rsidR="00662DDE" w:rsidRDefault="00662DDE" w:rsidP="00662DDE">
      <w:pPr>
        <w:spacing w:after="160" w:line="480" w:lineRule="auto"/>
        <w:rPr>
          <w:sz w:val="24"/>
          <w:szCs w:val="24"/>
        </w:rPr>
      </w:pPr>
      <w:r>
        <w:rPr>
          <w:b/>
          <w:bCs/>
          <w:szCs w:val="24"/>
        </w:rPr>
        <w:lastRenderedPageBreak/>
        <w:t>Supplementary Table S2. State-level comparison of dental provider counts: National Plan and Provider Enumeration System (July 2026) and American Dental Association Health Policy Institute dentists working in dentistry (2024).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2261"/>
        <w:gridCol w:w="2259"/>
        <w:gridCol w:w="2249"/>
      </w:tblGrid>
      <w:tr w:rsidR="00662DDE" w14:paraId="00C379C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EE2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97C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NPPES, 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565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HPI, 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A93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Ratio</w:t>
            </w:r>
          </w:p>
        </w:tc>
      </w:tr>
      <w:tr w:rsidR="00662DDE" w14:paraId="1A714D87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7B4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A23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EED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023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</w:tr>
      <w:tr w:rsidR="00662DDE" w14:paraId="0C21EAF5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017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3E3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A37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0F5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662DDE" w14:paraId="4EF074D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64C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69A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EDB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2D4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</w:tr>
      <w:tr w:rsidR="00662DDE" w14:paraId="2C91129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9F7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A07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F81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369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</w:t>
            </w:r>
          </w:p>
        </w:tc>
      </w:tr>
      <w:tr w:rsidR="00662DDE" w14:paraId="206D5324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3AB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751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E1C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454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</w:tr>
      <w:tr w:rsidR="00662DDE" w14:paraId="5E787557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553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B6E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D3C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F3F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</w:p>
        </w:tc>
      </w:tr>
      <w:tr w:rsidR="00662DDE" w14:paraId="5FEB9CA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7B5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D38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26E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1FE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662DDE" w14:paraId="5FABE3DB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A3E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26A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4B4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AE2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</w:tr>
      <w:tr w:rsidR="00662DDE" w14:paraId="3340CBB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276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index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0C1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93A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952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</w:tr>
      <w:tr w:rsidR="00662DDE" w14:paraId="4191347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382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8E8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BB9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9B0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</w:tr>
      <w:tr w:rsidR="00662DDE" w14:paraId="68159FB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43D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DA2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6,571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142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192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</w:p>
        </w:tc>
      </w:tr>
      <w:tr w:rsidR="00662DDE" w14:paraId="4BB5B6E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2D2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88B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846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BFF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</w:tr>
      <w:tr w:rsidR="00662DDE" w14:paraId="138EA171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C68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2AD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3E9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278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</w:t>
            </w:r>
          </w:p>
        </w:tc>
      </w:tr>
      <w:tr w:rsidR="00662DDE" w14:paraId="74AB596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2A6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1CF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F30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BEA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</w:tr>
      <w:tr w:rsidR="00662DDE" w14:paraId="35886C9F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2E6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A2E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3E4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8,464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F2C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</w:tr>
      <w:tr w:rsidR="00662DDE" w14:paraId="417FF7AF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EFB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400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93D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CC3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</w:t>
            </w:r>
          </w:p>
        </w:tc>
      </w:tr>
      <w:tr w:rsidR="00662DDE" w14:paraId="3FBC0B1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BEF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64D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AAA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89F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</w:tr>
      <w:tr w:rsidR="00662DDE" w14:paraId="3FF2249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784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00F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834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5DB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</w:tr>
      <w:tr w:rsidR="00662DDE" w14:paraId="60E2955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E9B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973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91C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BB7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662DDE" w14:paraId="0F1D273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8531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934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8,571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859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5,583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56B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</w:tr>
      <w:tr w:rsidR="00662DDE" w14:paraId="505D456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364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399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FA1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27B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</w:tr>
      <w:tr w:rsidR="00662DDE" w14:paraId="00BCEEC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B43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AC5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EB6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D26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</w:tr>
      <w:tr w:rsidR="00662DDE" w14:paraId="0709910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DEB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F23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3F0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F73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</w:t>
            </w:r>
          </w:p>
        </w:tc>
      </w:tr>
      <w:tr w:rsidR="00662DDE" w14:paraId="6CE9B8E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C59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D1A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C19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945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</w:tr>
      <w:tr w:rsidR="00662DDE" w14:paraId="0F38A20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7A0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F44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14E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3,066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919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</w:tr>
      <w:tr w:rsidR="00662DDE" w14:paraId="32CC3703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B62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991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AD3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269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</w:tr>
      <w:tr w:rsidR="00662DDE" w14:paraId="4D35233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44E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4C4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311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0B2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</w:tr>
      <w:tr w:rsidR="00662DDE" w14:paraId="03A3D0E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E01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685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810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6,384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E93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</w:tr>
      <w:tr w:rsidR="00662DDE" w14:paraId="4E5FFB0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CD3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4E0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6D3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BF2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</w:tr>
      <w:tr w:rsidR="00662DDE" w14:paraId="6353C7E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895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7E1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1E6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3EA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662DDE" w14:paraId="668115B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32C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BCC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13B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F88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662DDE" w14:paraId="21D34419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73B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D41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DD5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F7C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</w:tr>
      <w:tr w:rsidR="00662DDE" w14:paraId="6DFF2293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37A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702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B53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229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</w:tr>
      <w:tr w:rsidR="00662DDE" w14:paraId="0564373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420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1F9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3A6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09E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</w:t>
            </w:r>
          </w:p>
        </w:tc>
      </w:tr>
      <w:tr w:rsidR="00662DDE" w14:paraId="3229A39F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1CD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DC8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66C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FFE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</w:t>
            </w:r>
          </w:p>
        </w:tc>
      </w:tr>
      <w:tr w:rsidR="00662DDE" w14:paraId="04281DAB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6E3C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1B0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2EF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A76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</w:t>
            </w:r>
          </w:p>
        </w:tc>
      </w:tr>
      <w:tr w:rsidR="00662DDE" w14:paraId="19760A23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CC0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67D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4C2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D5C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</w:tr>
      <w:tr w:rsidR="00662DDE" w14:paraId="606CA14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A83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6AF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852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0EB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</w:tr>
      <w:tr w:rsidR="00662DDE" w14:paraId="1F164E85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CA4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242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1F1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D2A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</w:tr>
      <w:tr w:rsidR="00662DDE" w14:paraId="3A92720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0A9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77F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CCD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4D7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662DDE" w14:paraId="30C8562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097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91D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B1C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325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</w:tr>
      <w:tr w:rsidR="00662DDE" w14:paraId="596B628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E2A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7F5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738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32D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</w:t>
            </w:r>
          </w:p>
        </w:tc>
      </w:tr>
      <w:tr w:rsidR="00662DDE" w14:paraId="76F4271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ED7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89C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BDE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2C6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</w:t>
            </w:r>
          </w:p>
        </w:tc>
      </w:tr>
      <w:tr w:rsidR="00662DDE" w14:paraId="67E9BF9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148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TX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FB5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8F6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F34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</w:tr>
      <w:tr w:rsidR="00662DDE" w14:paraId="12867441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B53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D36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A52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A73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</w:p>
        </w:tc>
      </w:tr>
      <w:tr w:rsidR="00662DDE" w14:paraId="2CEA6BDF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91B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0AD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F9D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03E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</w:tr>
      <w:tr w:rsidR="00662DDE" w14:paraId="5314EE97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1C8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808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1BC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48AF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</w:t>
            </w:r>
          </w:p>
        </w:tc>
      </w:tr>
      <w:tr w:rsidR="00662DDE" w14:paraId="68163E74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F92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7FB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B04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662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662DDE" w14:paraId="6CA37BDE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DE0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B27D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555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45C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</w:tr>
      <w:tr w:rsidR="00662DDE" w14:paraId="0E51B22D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E3A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DFE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7C8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0CF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662DDE" w14:paraId="07B90904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316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1A1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4D3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98D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</w:tr>
      <w:tr w:rsidR="00662DDE" w14:paraId="3860957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90C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0B1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270,136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A26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202,485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523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</w:tr>
    </w:tbl>
    <w:p w14:paraId="6C52EABE" w14:textId="77777777" w:rsidR="00662DDE" w:rsidRDefault="00662DDE" w:rsidP="00662DDE">
      <w:pPr>
        <w:spacing w:after="160" w:line="480" w:lineRule="auto"/>
        <w:rPr>
          <w:sz w:val="24"/>
          <w:szCs w:val="24"/>
        </w:rPr>
      </w:pPr>
      <w:r>
        <w:rPr>
          <w:bCs/>
          <w:i/>
          <w:sz w:val="18"/>
          <w:szCs w:val="24"/>
        </w:rPr>
        <w:t xml:space="preserve">HPI = Health Policy Institute. Ratio is the NPPES count divided by the Health Policy Institute count. NPPES counts exceeded Health Policy Institute counts in every state, by a median of 35% (interquartile range 30–41%; range 16–60%), consistent with the retention of inactive records in provider registries following retirement, relocation, or practice closure. </w:t>
      </w:r>
      <w:r>
        <w:rPr>
          <w:bCs/>
          <w:i/>
          <w:sz w:val="18"/>
          <w:szCs w:val="24"/>
        </w:rPr>
        <w:lastRenderedPageBreak/>
        <w:t>Counts from the two sources were nearly perfectly rank-correlated across states (Spearman ρ = 0.997), indicating that this excess was proportionally similar across states and therefore unlikely to distort the geographic comparisons on which this study relies.</w:t>
      </w:r>
    </w:p>
    <w:p w14:paraId="440471A3" w14:textId="77777777" w:rsidR="00662DDE" w:rsidRDefault="00662DDE" w:rsidP="00662DDE">
      <w:pPr>
        <w:spacing w:after="160" w:line="480" w:lineRule="auto"/>
        <w:rPr>
          <w:sz w:val="24"/>
          <w:szCs w:val="24"/>
        </w:rPr>
      </w:pPr>
      <w:r>
        <w:rPr>
          <w:b/>
          <w:bCs/>
          <w:szCs w:val="24"/>
        </w:rPr>
        <w:t>Supplementary Table S3. Distribution of dental providers across practice areas: National Plan and Provider Enumeration System compared with American Dental Association Health Policy Institute national counts, 2024.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2250"/>
        <w:gridCol w:w="2248"/>
        <w:gridCol w:w="2236"/>
      </w:tblGrid>
      <w:tr w:rsidR="00662DDE" w14:paraId="4B7BB8B2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425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Practice area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0D4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NPPES, 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43D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HPI, 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9FD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Ratio</w:t>
            </w:r>
          </w:p>
        </w:tc>
      </w:tr>
      <w:tr w:rsidR="00662DDE" w14:paraId="3F454951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6A5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practice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781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124,486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57E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159,562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5C2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</w:tr>
      <w:tr w:rsidR="00662DDE" w14:paraId="10A70486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79A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Dentist, unspecified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AB3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76D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DFC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62DDE" w14:paraId="0C8F780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43A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Orthodontics and dentofacial orthopedics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0F4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12,544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AD8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BC6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</w:tr>
      <w:tr w:rsidR="00662DDE" w14:paraId="473E177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C91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Pediatric dentistry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265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86E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7D8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</w:tr>
      <w:tr w:rsidR="00662DDE" w14:paraId="2E3B3D7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CFA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surgery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312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80B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A4A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</w:tr>
      <w:tr w:rsidR="00662DDE" w14:paraId="28B8312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AFF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FB4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CD1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629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</w:tr>
      <w:tr w:rsidR="00662DDE" w14:paraId="5160EEB8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576A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5F9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F4C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56B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</w:tr>
      <w:tr w:rsidR="00662DDE" w14:paraId="747D8360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D7E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Prosthodontics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37D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2B0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43E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  <w:tr w:rsidR="00662DDE" w14:paraId="61ABEACD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FC4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Dental public health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FF2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A967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D3D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</w:t>
            </w:r>
          </w:p>
        </w:tc>
      </w:tr>
      <w:tr w:rsidR="00662DDE" w14:paraId="3D4DBD36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9DA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pathology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E29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C40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CA8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</w:t>
            </w:r>
          </w:p>
        </w:tc>
      </w:tr>
      <w:tr w:rsidR="00662DDE" w14:paraId="200E5A26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8E3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Dental anesthesiology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C14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C78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96D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</w:t>
            </w:r>
          </w:p>
        </w:tc>
      </w:tr>
      <w:tr w:rsidR="00662DDE" w14:paraId="76394937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257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and maxillofacial radiology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3E63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29BE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2654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662DDE" w14:paraId="5C37B8E3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C7FB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Orofacial pain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AB8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D8A6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3A62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</w:t>
            </w:r>
          </w:p>
        </w:tc>
      </w:tr>
      <w:tr w:rsidR="00662DDE" w14:paraId="0FC88EDA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BCE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 medicine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94A1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AC7F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4CF8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</w:t>
            </w:r>
          </w:p>
        </w:tc>
      </w:tr>
      <w:tr w:rsidR="00662DDE" w14:paraId="37E9F2AC" w14:textId="7777777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02FC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specialties combined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4375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A509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39B0" w14:textId="77777777" w:rsidR="00662DDE" w:rsidRDefault="00662DDE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</w:tr>
    </w:tbl>
    <w:p w14:paraId="250F933E" w14:textId="77777777" w:rsidR="00662DDE" w:rsidRDefault="00662DDE" w:rsidP="00662DDE">
      <w:pPr>
        <w:spacing w:after="160" w:line="480" w:lineRule="auto"/>
        <w:rPr>
          <w:sz w:val="24"/>
          <w:szCs w:val="24"/>
        </w:rPr>
      </w:pPr>
      <w:r>
        <w:rPr>
          <w:bCs/>
          <w:i/>
          <w:sz w:val="18"/>
          <w:szCs w:val="24"/>
        </w:rPr>
        <w:t xml:space="preserve">HPI = Health Policy Institute. The Health Policy Institute counts a dentist in each practice area for which a certificate or degree is held, so its categories are not mutually exclusive and its column does not sum to the number of dentists; providers in this study were each assigned to a single taxonomy code, and the unspecified “Dentist” code has no Health Policy Institute counterpart. Agreement was closer for specialists (48,342 in NPPES versus 43,903; ratio 1.10) than for general </w:t>
      </w:r>
      <w:r>
        <w:rPr>
          <w:bCs/>
          <w:i/>
          <w:sz w:val="18"/>
          <w:szCs w:val="24"/>
        </w:rPr>
        <w:lastRenderedPageBreak/>
        <w:t>dentists, indicating that the excess in NPPES was concentrated among general practitioners. Ratios are shown for comparison of magnitude only.</w:t>
      </w:r>
    </w:p>
    <w:p w14:paraId="6190746F" w14:textId="77777777" w:rsidR="00662DDE" w:rsidRDefault="00662DDE" w:rsidP="00662DDE">
      <w:pPr>
        <w:spacing w:before="200" w:after="80" w:line="480" w:lineRule="auto"/>
        <w:rPr>
          <w:sz w:val="24"/>
          <w:szCs w:val="24"/>
        </w:rPr>
      </w:pPr>
      <w:r>
        <w:rPr>
          <w:b/>
          <w:bCs/>
        </w:rPr>
        <w:t xml:space="preserve">Supplementary Table S4. </w:t>
      </w:r>
      <w:r>
        <w:t>Spearman correlations among Social Vulnerability Index themes at the ZCTA level.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4"/>
        <w:gridCol w:w="1195"/>
        <w:gridCol w:w="1195"/>
        <w:gridCol w:w="1195"/>
        <w:gridCol w:w="1195"/>
        <w:gridCol w:w="1412"/>
      </w:tblGrid>
      <w:tr w:rsidR="00662DDE" w14:paraId="33BE47B7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807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Theme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0F5A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Theme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BE71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Theme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F195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Theme 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B6C6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Theme 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9503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SVI overall</w:t>
            </w:r>
          </w:p>
        </w:tc>
      </w:tr>
      <w:tr w:rsidR="00662DDE" w14:paraId="68412525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1717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Theme 1: Socioeconomic status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9E82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89D6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C1D0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380F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55B8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662DDE" w14:paraId="4CA6FE3C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EA37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Theme 2: Household characteristics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F76E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FA53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00F0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FFA3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BADA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</w:tr>
      <w:tr w:rsidR="00662DDE" w14:paraId="1BFC4299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10C0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Theme 3: Racial and ethnic minority status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5E22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03AA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44E9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624E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24FF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</w:tr>
      <w:tr w:rsidR="00662DDE" w14:paraId="1A7E5C81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BA01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Theme 4: Housing type and transportation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8AB6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337E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5EA4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6256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641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</w:tr>
      <w:tr w:rsidR="00662DDE" w14:paraId="3A76FCBB" w14:textId="77777777"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7FE0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 overall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AB5C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D359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B89A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B96B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3708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</w:tbl>
    <w:p w14:paraId="01CA6F13" w14:textId="77777777" w:rsidR="00662DDE" w:rsidRDefault="00662DDE" w:rsidP="00662DDE">
      <w:pPr>
        <w:spacing w:before="60" w:after="280" w:line="48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Themes as defined by CDC/ATSDR SVI 2022.</w:t>
      </w:r>
    </w:p>
    <w:p w14:paraId="4E13D6E9" w14:textId="77777777" w:rsidR="00662DDE" w:rsidRDefault="00662DDE" w:rsidP="00662DDE">
      <w:pPr>
        <w:spacing w:before="200" w:after="80" w:line="480" w:lineRule="auto"/>
        <w:rPr>
          <w:sz w:val="24"/>
          <w:szCs w:val="24"/>
        </w:rPr>
      </w:pPr>
      <w:r>
        <w:rPr>
          <w:b/>
          <w:bCs/>
        </w:rPr>
        <w:t xml:space="preserve">Supplementary Table S5. </w:t>
      </w:r>
      <w:r>
        <w:t>Spearman correlations among neighborhood disadvantage indices at the ZCTA level.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8"/>
        <w:gridCol w:w="1706"/>
        <w:gridCol w:w="1706"/>
        <w:gridCol w:w="1828"/>
        <w:gridCol w:w="1828"/>
      </w:tblGrid>
      <w:tr w:rsidR="00662DDE" w14:paraId="69611D8B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8C86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Index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E665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71E2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SDI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9FA0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SVI overall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A3A1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SVI SES theme</w:t>
            </w:r>
          </w:p>
        </w:tc>
      </w:tr>
      <w:tr w:rsidR="00662DDE" w14:paraId="11A2F0AD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5754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18B2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1CB7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46DD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5077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662DDE" w14:paraId="4C5F7A29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D1AC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8F7F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D714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C8DF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EC19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</w:tr>
      <w:tr w:rsidR="00662DDE" w14:paraId="3807200F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5323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 overall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09D5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F8FC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B5C2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C7FD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662DDE" w14:paraId="19F8DCAE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AF8D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 SES theme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6E5E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E431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EFAF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FC25" w14:textId="77777777" w:rsidR="00662DDE" w:rsidRDefault="00662DDE">
            <w:pPr>
              <w:spacing w:after="40"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</w:tbl>
    <w:p w14:paraId="7B36AC64" w14:textId="77777777" w:rsidR="00662DDE" w:rsidRDefault="00662DDE" w:rsidP="00662DDE">
      <w:pPr>
        <w:spacing w:before="60" w:after="280" w:line="480" w:lineRule="auto"/>
      </w:pPr>
      <w:r>
        <w:rPr>
          <w:i/>
          <w:iCs/>
          <w:sz w:val="18"/>
          <w:szCs w:val="18"/>
        </w:rPr>
        <w:t>ADI = Area Deprivation Index; SDI = Social Deprivation Index; SVI = Social Vulnerability Index.</w:t>
      </w:r>
    </w:p>
    <w:p w14:paraId="7B806678" w14:textId="77777777" w:rsidR="00662DDE" w:rsidRDefault="00662DDE" w:rsidP="00662DDE">
      <w:pPr>
        <w:spacing w:after="160" w:line="480" w:lineRule="auto"/>
      </w:pPr>
      <w:r>
        <w:rPr>
          <w:b/>
          <w:bCs/>
        </w:rPr>
        <w:t>Supplementary Table S6</w:t>
      </w:r>
      <w:r>
        <w:rPr>
          <w:b/>
        </w:rPr>
        <w:t>. State-level associations between Medicaid policy measures and dental workforce supply and dental deserts (Spearman correlations, n = 51 states).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804"/>
        <w:gridCol w:w="1791"/>
        <w:gridCol w:w="1804"/>
        <w:gridCol w:w="1789"/>
      </w:tblGrid>
      <w:tr w:rsidR="00662DDE" w14:paraId="3166996B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0A66" w14:textId="77777777" w:rsidR="00662DDE" w:rsidRDefault="00662DDE">
            <w:pPr>
              <w:spacing w:line="480" w:lineRule="auto"/>
            </w:pPr>
            <w:r>
              <w:rPr>
                <w:b/>
                <w:sz w:val="18"/>
              </w:rPr>
              <w:lastRenderedPageBreak/>
              <w:t>State characteristic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A7D2" w14:textId="77777777" w:rsidR="00662DDE" w:rsidRDefault="00662DDE">
            <w:pPr>
              <w:spacing w:line="480" w:lineRule="auto"/>
            </w:pPr>
            <w:r>
              <w:rPr>
                <w:b/>
                <w:sz w:val="18"/>
              </w:rPr>
              <w:t>Dentists per 10,000: unadjusted ρ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090B" w14:textId="77777777" w:rsidR="00662DDE" w:rsidRDefault="00662DDE">
            <w:pPr>
              <w:spacing w:line="480" w:lineRule="auto"/>
            </w:pPr>
            <w:r>
              <w:rPr>
                <w:b/>
                <w:sz w:val="18"/>
              </w:rPr>
              <w:t>Dentists per 10,000: rurality-adjusted ρ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B83F" w14:textId="77777777" w:rsidR="00662DDE" w:rsidRDefault="00662DDE">
            <w:pPr>
              <w:spacing w:line="480" w:lineRule="auto"/>
            </w:pPr>
            <w:r>
              <w:rPr>
                <w:b/>
                <w:sz w:val="18"/>
              </w:rPr>
              <w:t>Dental deserts (% of ZCTAs): unadjusted ρ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2D23" w14:textId="77777777" w:rsidR="00662DDE" w:rsidRDefault="00662DDE">
            <w:pPr>
              <w:spacing w:line="480" w:lineRule="auto"/>
            </w:pPr>
            <w:r>
              <w:rPr>
                <w:b/>
                <w:sz w:val="18"/>
              </w:rPr>
              <w:t>Dental deserts (% of ZCTAs): rurality-adjusted ρ</w:t>
            </w:r>
          </w:p>
        </w:tc>
      </w:tr>
      <w:tr w:rsidR="00662DDE" w14:paraId="28FFB128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6175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Adult Medicaid dental benefit level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932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0.52 (p&lt;0.001)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0F3E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0.56 (p&lt;0.001)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B5EF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−0.14 (p=0.34)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67C5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−0.19 (p=0.20)</w:t>
            </w:r>
          </w:p>
        </w:tc>
      </w:tr>
      <w:tr w:rsidR="00662DDE" w14:paraId="02F9585B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1508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Dentist Medicaid/CHIP participation, 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DB60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−0.16 (p=0.25)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DB4C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−0.02 (p=0.88)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E242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0.20 (p=0.17)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A3D0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−0.04 (p=0.80)</w:t>
            </w:r>
          </w:p>
        </w:tc>
      </w:tr>
      <w:tr w:rsidR="00662DDE" w14:paraId="3680C62B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3CDA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Medicaid FFS reimbursement, % of private, 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4DF6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−0.27 (p=0.08)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D440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−0.27 (p=0.09)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54B8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−0.03 (p=0.84)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FCE6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−0.06 (p=0.69)</w:t>
            </w:r>
          </w:p>
        </w:tc>
      </w:tr>
      <w:tr w:rsidR="00662DDE" w14:paraId="28A3073B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2575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Rural population share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B811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−0.24 (p=0.09)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57B7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E4C4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0.37 (p=0.007)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1282" w14:textId="77777777" w:rsidR="00662DDE" w:rsidRDefault="00662DDE">
            <w:pPr>
              <w:spacing w:line="480" w:lineRule="auto"/>
            </w:pPr>
            <w:r>
              <w:rPr>
                <w:sz w:val="18"/>
              </w:rPr>
              <w:t>—</w:t>
            </w:r>
          </w:p>
        </w:tc>
      </w:tr>
    </w:tbl>
    <w:p w14:paraId="11591B88" w14:textId="77777777" w:rsidR="00662DDE" w:rsidRDefault="00662DDE" w:rsidP="00662DDE">
      <w:pPr>
        <w:spacing w:before="60" w:after="160" w:line="480" w:lineRule="auto"/>
      </w:pPr>
      <w:r>
        <w:rPr>
          <w:i/>
          <w:iCs/>
          <w:sz w:val="18"/>
          <w:szCs w:val="18"/>
        </w:rPr>
        <w:t>Spearman correlations across 51 jurisdictions. Rurality-adjusted values are partial correlations controlling for the share of each state's population in rural or small-town areas. Benefit level coded ordinally (enhanced &gt; limited &gt; emergency-only or none); median dentists per 10,000 were 8.0, 6.5, and 7.1 across these categories (Kruskal-Wallis p = 0.001), while dental desert prevalence did not differ (p = 0.50). Reimbursement was available for 42 states with adult fee-for-service benefits. Eight correlations were computed; only the association between benefit level and dentist supply would remain significant after correction for multiple comparisons. Benefit categories comprised 39, 6, and 6 states, so category comparisons rest on small groups.</w:t>
      </w:r>
    </w:p>
    <w:p w14:paraId="2281F39E" w14:textId="77777777" w:rsidR="00662DDE" w:rsidRDefault="00662DDE" w:rsidP="00662DDE">
      <w:pPr>
        <w:spacing w:after="160" w:line="480" w:lineRule="auto"/>
      </w:pPr>
      <w:r>
        <w:rPr>
          <w:b/>
          <w:bCs/>
        </w:rPr>
        <w:t>Figure S1. STROBE sample-selection flow diagram</w:t>
      </w:r>
    </w:p>
    <w:p w14:paraId="6E6BCB9D" w14:textId="0A65D9F5" w:rsidR="00662DDE" w:rsidRDefault="00662DDE" w:rsidP="00662DDE">
      <w:pPr>
        <w:pStyle w:val="Heading1"/>
        <w:spacing w:before="280" w:after="160" w:line="36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E516E0" wp14:editId="4ABB3179">
            <wp:extent cx="5731510" cy="7159625"/>
            <wp:effectExtent l="0" t="0" r="2540" b="3175"/>
            <wp:docPr id="605123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5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BB06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DE"/>
    <w:rsid w:val="00662DDE"/>
    <w:rsid w:val="00767E38"/>
    <w:rsid w:val="00866F7D"/>
    <w:rsid w:val="0099306A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CDE20"/>
  <w15:chartTrackingRefBased/>
  <w15:docId w15:val="{79CE1ED2-C4AD-4173-A66A-11956058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DD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D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D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D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D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D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D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D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D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D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D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2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D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2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D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2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D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2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D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1071</Words>
  <Characters>6109</Characters>
  <Application>Microsoft Office Word</Application>
  <DocSecurity>0</DocSecurity>
  <Lines>50</Lines>
  <Paragraphs>14</Paragraphs>
  <ScaleCrop>false</ScaleCrop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2026-09-02T10:04:00Z</dcterms:created>
  <dcterms:modified xsi:type="dcterms:W3CDTF">2026-09-02T10:04:00Z</dcterms:modified>
</cp:coreProperties>
</file>