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9142C" w14:textId="267A16EA" w:rsidR="00FD4A98" w:rsidRPr="009A2999" w:rsidRDefault="00FD4A98" w:rsidP="005370AC">
      <w:pPr>
        <w:spacing w:after="240" w:line="360" w:lineRule="auto"/>
        <w:jc w:val="center"/>
        <w:rPr>
          <w:rFonts w:ascii="Arial" w:hAnsi="Arial" w:cs="Arial"/>
          <w:b/>
          <w:bCs/>
          <w:sz w:val="22"/>
          <w:szCs w:val="22"/>
        </w:rPr>
      </w:pPr>
      <w:r w:rsidRPr="009A2999">
        <w:rPr>
          <w:rFonts w:ascii="Arial" w:hAnsi="Arial" w:cs="Arial"/>
          <w:b/>
          <w:bCs/>
          <w:sz w:val="22"/>
          <w:szCs w:val="22"/>
        </w:rPr>
        <w:t>Supplementary Information for</w:t>
      </w:r>
    </w:p>
    <w:p w14:paraId="0F22ED32" w14:textId="77777777" w:rsidR="00274B2C" w:rsidRPr="005370AC" w:rsidRDefault="00274B2C" w:rsidP="005370AC">
      <w:pPr>
        <w:pStyle w:val="Title"/>
        <w:spacing w:after="240" w:line="360" w:lineRule="auto"/>
        <w:jc w:val="center"/>
        <w:rPr>
          <w:rFonts w:ascii="Arial" w:hAnsi="Arial" w:cs="Arial"/>
          <w:b/>
          <w:bCs/>
          <w:sz w:val="34"/>
          <w:szCs w:val="34"/>
        </w:rPr>
      </w:pPr>
      <w:r w:rsidRPr="005370AC">
        <w:rPr>
          <w:rFonts w:ascii="Arial" w:hAnsi="Arial" w:cs="Arial"/>
          <w:b/>
          <w:bCs/>
          <w:sz w:val="34"/>
          <w:szCs w:val="34"/>
        </w:rPr>
        <w:t>Achieving restoration, conservation and poverty alleviation goals through Indonesia’s community forests</w:t>
      </w:r>
    </w:p>
    <w:p w14:paraId="535DC368" w14:textId="468C7DD0" w:rsidR="00FD4A98" w:rsidRPr="005370AC" w:rsidRDefault="00A021AE" w:rsidP="005370AC">
      <w:pPr>
        <w:spacing w:after="240" w:line="360" w:lineRule="auto"/>
        <w:jc w:val="center"/>
        <w:rPr>
          <w:rFonts w:ascii="Arial" w:hAnsi="Arial" w:cs="Arial"/>
          <w:sz w:val="21"/>
          <w:szCs w:val="21"/>
        </w:rPr>
      </w:pPr>
      <w:r w:rsidRPr="005370AC">
        <w:rPr>
          <w:rFonts w:ascii="Arial" w:hAnsi="Arial" w:cs="Arial"/>
          <w:sz w:val="21"/>
          <w:szCs w:val="21"/>
        </w:rPr>
        <w:t>Matthew J. Struebig, Dominic Muenzel, Lindsay F. Banin, Sugeng Budiharta, Joseph Hutabarat, Courtney Morgans, Sonny Mumbunan, Emmy Primadona, Elizabeth H. Raine, Truly Santika, Kristin Olsen, Maria Voigt, Nurul Winarni, Jatna Supriatna, Zoe Davies, Robert J Smith</w:t>
      </w:r>
      <w:r w:rsidR="002C33AB">
        <w:rPr>
          <w:rFonts w:ascii="Arial" w:hAnsi="Arial" w:cs="Arial"/>
          <w:sz w:val="21"/>
          <w:szCs w:val="21"/>
        </w:rPr>
        <w:t>.</w:t>
      </w:r>
    </w:p>
    <w:p w14:paraId="10113D5F" w14:textId="1428097A" w:rsidR="00A021AE" w:rsidRPr="002C33AB" w:rsidRDefault="00A021AE" w:rsidP="005370AC">
      <w:pPr>
        <w:spacing w:after="240" w:line="360" w:lineRule="auto"/>
        <w:jc w:val="center"/>
        <w:rPr>
          <w:rFonts w:ascii="Arial" w:hAnsi="Arial" w:cs="Arial"/>
          <w:sz w:val="21"/>
          <w:szCs w:val="21"/>
        </w:rPr>
      </w:pPr>
      <w:r w:rsidRPr="002C33AB">
        <w:rPr>
          <w:rFonts w:ascii="Arial" w:hAnsi="Arial" w:cs="Arial"/>
          <w:sz w:val="21"/>
          <w:szCs w:val="21"/>
        </w:rPr>
        <w:t xml:space="preserve">Correspondence to </w:t>
      </w:r>
      <w:hyperlink r:id="rId8" w:history="1">
        <w:r w:rsidRPr="002C33AB">
          <w:rPr>
            <w:rStyle w:val="Hyperlink"/>
            <w:rFonts w:ascii="Arial" w:hAnsi="Arial" w:cs="Arial"/>
            <w:sz w:val="21"/>
            <w:szCs w:val="21"/>
          </w:rPr>
          <w:t>m.j.struebig@kent.ac.uk</w:t>
        </w:r>
      </w:hyperlink>
    </w:p>
    <w:p w14:paraId="4431112E" w14:textId="77777777" w:rsidR="00A021AE" w:rsidRPr="009A2999" w:rsidRDefault="00A021AE" w:rsidP="005370AC">
      <w:pPr>
        <w:spacing w:after="240" w:line="360" w:lineRule="auto"/>
        <w:rPr>
          <w:rFonts w:ascii="Arial" w:hAnsi="Arial" w:cs="Arial"/>
          <w:sz w:val="22"/>
          <w:szCs w:val="22"/>
        </w:rPr>
      </w:pPr>
    </w:p>
    <w:p w14:paraId="41120B0B" w14:textId="2DAC8CB7" w:rsidR="00FA48F4" w:rsidRPr="009A2999" w:rsidRDefault="006E1582" w:rsidP="006E1582">
      <w:pPr>
        <w:pStyle w:val="Heading1"/>
        <w:spacing w:before="0" w:after="240" w:line="360" w:lineRule="auto"/>
        <w:rPr>
          <w:rFonts w:ascii="Arial" w:hAnsi="Arial" w:cs="Arial"/>
          <w:b/>
          <w:bCs/>
          <w:i/>
          <w:iCs/>
          <w:sz w:val="22"/>
          <w:szCs w:val="22"/>
        </w:rPr>
      </w:pPr>
      <w:r>
        <w:rPr>
          <w:rFonts w:ascii="Arial" w:hAnsi="Arial" w:cs="Arial"/>
          <w:b/>
          <w:bCs/>
          <w:sz w:val="22"/>
          <w:szCs w:val="22"/>
        </w:rPr>
        <w:t xml:space="preserve">Section 1 </w:t>
      </w:r>
      <w:r w:rsidR="00FD4A98" w:rsidRPr="009A2999">
        <w:rPr>
          <w:rFonts w:ascii="Arial" w:hAnsi="Arial" w:cs="Arial"/>
          <w:b/>
          <w:bCs/>
          <w:sz w:val="22"/>
          <w:szCs w:val="22"/>
        </w:rPr>
        <w:t>Restoration potential</w:t>
      </w:r>
      <w:r w:rsidR="008C21B1" w:rsidRPr="009A2999">
        <w:rPr>
          <w:rFonts w:ascii="Arial" w:hAnsi="Arial" w:cs="Arial"/>
          <w:b/>
          <w:bCs/>
          <w:sz w:val="22"/>
          <w:szCs w:val="22"/>
        </w:rPr>
        <w:t xml:space="preserve">, </w:t>
      </w:r>
      <w:r w:rsidR="008C21B1" w:rsidRPr="009A2999">
        <w:rPr>
          <w:rFonts w:ascii="Arial" w:hAnsi="Arial" w:cs="Arial"/>
          <w:b/>
          <w:bCs/>
          <w:i/>
          <w:iCs/>
          <w:sz w:val="22"/>
          <w:szCs w:val="22"/>
        </w:rPr>
        <w:t>Ri</w:t>
      </w:r>
    </w:p>
    <w:p w14:paraId="368AB3D4" w14:textId="74FDA0E3" w:rsidR="00FA511E" w:rsidRPr="009A2999" w:rsidRDefault="00FA511E" w:rsidP="005370AC">
      <w:pPr>
        <w:pStyle w:val="Heading2"/>
        <w:spacing w:before="0" w:after="240" w:line="360" w:lineRule="auto"/>
        <w:ind w:left="788" w:hanging="431"/>
        <w:rPr>
          <w:rFonts w:ascii="Arial" w:hAnsi="Arial" w:cs="Arial"/>
          <w:b/>
          <w:bCs/>
          <w:i/>
          <w:iCs/>
          <w:sz w:val="22"/>
          <w:szCs w:val="22"/>
        </w:rPr>
      </w:pPr>
      <w:r w:rsidRPr="009A2999">
        <w:rPr>
          <w:rFonts w:ascii="Arial" w:hAnsi="Arial" w:cs="Arial"/>
          <w:b/>
          <w:bCs/>
          <w:sz w:val="22"/>
          <w:szCs w:val="22"/>
        </w:rPr>
        <w:t xml:space="preserve">Calculating </w:t>
      </w:r>
      <w:r w:rsidR="00236FDD" w:rsidRPr="009A2999">
        <w:rPr>
          <w:rFonts w:ascii="Arial" w:hAnsi="Arial" w:cs="Arial"/>
          <w:b/>
          <w:bCs/>
          <w:sz w:val="22"/>
          <w:szCs w:val="22"/>
        </w:rPr>
        <w:t xml:space="preserve">forest </w:t>
      </w:r>
      <w:r w:rsidRPr="009A2999">
        <w:rPr>
          <w:rFonts w:ascii="Arial" w:hAnsi="Arial" w:cs="Arial"/>
          <w:b/>
          <w:bCs/>
          <w:sz w:val="22"/>
          <w:szCs w:val="22"/>
        </w:rPr>
        <w:t>restoration potential</w:t>
      </w:r>
    </w:p>
    <w:p w14:paraId="33AF129A" w14:textId="041C479E" w:rsidR="00880360" w:rsidRPr="009A2999" w:rsidRDefault="00926BD8" w:rsidP="005370AC">
      <w:pPr>
        <w:spacing w:after="240" w:line="360" w:lineRule="auto"/>
        <w:rPr>
          <w:rFonts w:ascii="Arial" w:hAnsi="Arial" w:cs="Arial"/>
          <w:sz w:val="22"/>
          <w:szCs w:val="22"/>
        </w:rPr>
      </w:pPr>
      <w:r w:rsidRPr="009A2999">
        <w:rPr>
          <w:rFonts w:ascii="Arial" w:hAnsi="Arial" w:cs="Arial"/>
          <w:sz w:val="22"/>
          <w:szCs w:val="22"/>
        </w:rPr>
        <w:t xml:space="preserve">We </w:t>
      </w:r>
      <w:r w:rsidR="000E338E" w:rsidRPr="009A2999">
        <w:rPr>
          <w:rFonts w:ascii="Arial" w:hAnsi="Arial" w:cs="Arial"/>
          <w:sz w:val="22"/>
          <w:szCs w:val="22"/>
        </w:rPr>
        <w:t>quantified</w:t>
      </w:r>
      <w:r w:rsidRPr="009A2999">
        <w:rPr>
          <w:rFonts w:ascii="Arial" w:hAnsi="Arial" w:cs="Arial"/>
          <w:sz w:val="22"/>
          <w:szCs w:val="22"/>
        </w:rPr>
        <w:t xml:space="preserve"> restoration potential as the inverse of the aboveground forest biomass</w:t>
      </w:r>
      <w:r w:rsidR="000E338E" w:rsidRPr="009A2999">
        <w:rPr>
          <w:rFonts w:ascii="Arial" w:hAnsi="Arial" w:cs="Arial"/>
          <w:sz w:val="22"/>
          <w:szCs w:val="22"/>
        </w:rPr>
        <w:t xml:space="preserve"> as determined from remote sensing satellite imagery</w:t>
      </w:r>
      <w:r w:rsidR="009B3FA9" w:rsidRPr="009A2999">
        <w:rPr>
          <w:rFonts w:ascii="Arial" w:hAnsi="Arial" w:cs="Arial"/>
          <w:sz w:val="22"/>
          <w:szCs w:val="22"/>
        </w:rPr>
        <w:t xml:space="preserve"> </w:t>
      </w:r>
      <w:r w:rsidR="009B3FA9"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{"citationID":"0Hb5Ki1S","properties":{"formattedCitation":"(Santoro &amp; Cartus, 2021)","plainCitation":"(Santoro &amp; Cartus, 2021)","noteIndex":0},"citationItems":[{"id":"aLHtriQA/o9yTaRDr","uris":["http://www.mendeley.com/documents/?uuid=14ce616e-557c-4333-a7a2-5c47bdad67e6"],"itemData":{"DOI":"10.5285/5f331c418e9f4935b8eb1b836f8a91b8","abstract":"This dataset comprises estimates of forest above-ground biomass for the year 2017. The data has been produced as part of the European Space Agency's (ESA's) Climate Change Initiative (CCI) programme by the Biomass CCI team. The data products consist of two (2) global layers that include estimates of: 1) above ground biomass (AGB, unit: tons/ha i.e., Mg/ha) for the year 2017 (raster dataset). This is defined as the mass, expressed as oven-dry weight of the woody parts (stem, bark, branches and twigs) of all living trees excluding stump and roots 2) per-pixel estimates of above-ground biomass uncertainty expressed as standard error in Mg/ha (raster dataset) This release of the data is version 1, with data provided in both netcdf and geotiff format.","author":[{"dropping-particle":"","family":"Santoro","given":"M.","non-dropping-particle":"","parse-names":false,"suffix":""},{"dropping-particle":"","family":"Cartus","given":"O","non-dropping-particle":"","parse-names":false,"suffix":""}],"container-title":"NERC EDS Centre for Environmental Data Analysis","id":"ITEM-1","issued":{"date-parts":[["2021"]]},"title":"ESA Biomass Climate Change Initiative (Biomass_cci): Global datasets of forest above-ground biomass for the years 2010, 2017 and 2018, v3.","type":"article-journal"}}],"schema":"https://github.com/citation-style-language/schema/raw/master/csl-citation.json"} </w:instrText>
      </w:r>
      <w:r w:rsidR="009B3FA9" w:rsidRPr="009A2999">
        <w:rPr>
          <w:rFonts w:ascii="Arial" w:hAnsi="Arial" w:cs="Arial"/>
          <w:sz w:val="22"/>
          <w:szCs w:val="22"/>
        </w:rPr>
        <w:fldChar w:fldCharType="separate"/>
      </w:r>
      <w:r w:rsidR="00A967F4" w:rsidRPr="009A2999">
        <w:rPr>
          <w:rFonts w:ascii="Arial" w:hAnsi="Arial" w:cs="Arial"/>
          <w:sz w:val="22"/>
          <w:szCs w:val="22"/>
        </w:rPr>
        <w:t>(Santoro &amp; Cartus, 2021)</w:t>
      </w:r>
      <w:r w:rsidR="009B3FA9" w:rsidRPr="009A2999">
        <w:rPr>
          <w:rFonts w:ascii="Arial" w:hAnsi="Arial" w:cs="Arial"/>
          <w:sz w:val="22"/>
          <w:szCs w:val="22"/>
        </w:rPr>
        <w:fldChar w:fldCharType="end"/>
      </w:r>
      <w:r w:rsidR="00F657F1" w:rsidRPr="009A2999">
        <w:rPr>
          <w:rFonts w:ascii="Arial" w:hAnsi="Arial" w:cs="Arial"/>
          <w:sz w:val="22"/>
          <w:szCs w:val="22"/>
        </w:rPr>
        <w:t xml:space="preserve">, </w:t>
      </w:r>
      <w:r w:rsidR="00D61970" w:rsidRPr="009A2999">
        <w:rPr>
          <w:rFonts w:ascii="Arial" w:hAnsi="Arial" w:cs="Arial"/>
          <w:sz w:val="22"/>
          <w:szCs w:val="22"/>
        </w:rPr>
        <w:t xml:space="preserve">avoiding </w:t>
      </w:r>
      <w:r w:rsidR="00F657F1" w:rsidRPr="009A2999">
        <w:rPr>
          <w:rFonts w:ascii="Arial" w:hAnsi="Arial" w:cs="Arial"/>
          <w:sz w:val="22"/>
          <w:szCs w:val="22"/>
        </w:rPr>
        <w:t>highly degraded areas below a certain threshold</w:t>
      </w:r>
      <w:r w:rsidR="00D61970" w:rsidRPr="009A2999">
        <w:rPr>
          <w:rFonts w:ascii="Arial" w:hAnsi="Arial" w:cs="Arial"/>
          <w:sz w:val="22"/>
          <w:szCs w:val="22"/>
        </w:rPr>
        <w:t xml:space="preserve"> (Eqn. S1)</w:t>
      </w:r>
      <w:r w:rsidR="00F657F1" w:rsidRPr="009A2999">
        <w:rPr>
          <w:rFonts w:ascii="Arial" w:hAnsi="Arial" w:cs="Arial"/>
          <w:sz w:val="22"/>
          <w:szCs w:val="22"/>
        </w:rPr>
        <w:t>.</w:t>
      </w:r>
      <w:r w:rsidR="00D61970" w:rsidRPr="009A2999">
        <w:rPr>
          <w:rFonts w:ascii="Arial" w:hAnsi="Arial" w:cs="Arial"/>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030"/>
        <w:gridCol w:w="1565"/>
      </w:tblGrid>
      <w:tr w:rsidR="00880360" w:rsidRPr="009A2999" w14:paraId="50CDDFB9" w14:textId="77777777" w:rsidTr="008308F4">
        <w:tc>
          <w:tcPr>
            <w:tcW w:w="421" w:type="dxa"/>
            <w:vAlign w:val="center"/>
          </w:tcPr>
          <w:p w14:paraId="613CF4D8" w14:textId="77777777" w:rsidR="00880360" w:rsidRPr="009A2999" w:rsidRDefault="00880360" w:rsidP="005370AC">
            <w:pPr>
              <w:spacing w:after="240" w:line="360" w:lineRule="auto"/>
              <w:jc w:val="right"/>
              <w:rPr>
                <w:rFonts w:ascii="Arial" w:hAnsi="Arial" w:cs="Arial"/>
                <w:sz w:val="22"/>
                <w:szCs w:val="22"/>
              </w:rPr>
            </w:pPr>
          </w:p>
        </w:tc>
        <w:tc>
          <w:tcPr>
            <w:tcW w:w="7030" w:type="dxa"/>
            <w:vAlign w:val="center"/>
          </w:tcPr>
          <w:p w14:paraId="7A89F269" w14:textId="64075B74" w:rsidR="00880360" w:rsidRPr="009A2999" w:rsidRDefault="005E06A8" w:rsidP="005370AC">
            <w:pPr>
              <w:spacing w:after="240" w:line="360" w:lineRule="auto"/>
              <w:jc w:val="right"/>
              <w:rPr>
                <w:rFonts w:ascii="Arial" w:hAnsi="Arial" w:cs="Arial"/>
                <w:i/>
                <w:sz w:val="22"/>
                <w:szCs w:val="22"/>
              </w:rPr>
            </w:pPr>
            <m:oMathPara>
              <m:oMath>
                <m:sSub>
                  <m:sSubPr>
                    <m:ctrlPr>
                      <w:rPr>
                        <w:rFonts w:ascii="Cambria Math" w:hAnsi="Cambria Math" w:cs="Arial"/>
                        <w:i/>
                        <w:iCs/>
                        <w:sz w:val="22"/>
                        <w:szCs w:val="22"/>
                      </w:rPr>
                    </m:ctrlPr>
                  </m:sSubPr>
                  <m:e>
                    <m:r>
                      <w:rPr>
                        <w:rFonts w:ascii="Cambria Math" w:hAnsi="Cambria Math" w:cs="Arial"/>
                        <w:sz w:val="22"/>
                        <w:szCs w:val="22"/>
                      </w:rPr>
                      <m:t>R</m:t>
                    </m:r>
                  </m:e>
                  <m:sub>
                    <m:r>
                      <w:rPr>
                        <w:rFonts w:ascii="Cambria Math" w:hAnsi="Cambria Math" w:cs="Arial"/>
                        <w:sz w:val="22"/>
                        <w:szCs w:val="22"/>
                      </w:rPr>
                      <m:t>i</m:t>
                    </m:r>
                  </m:sub>
                </m:sSub>
                <m:r>
                  <w:rPr>
                    <w:rFonts w:ascii="Cambria Math" w:hAnsi="Cambria Math" w:cs="Arial"/>
                    <w:sz w:val="22"/>
                    <w:szCs w:val="22"/>
                  </w:rPr>
                  <m:t>= </m:t>
                </m:r>
                <m:d>
                  <m:dPr>
                    <m:begChr m:val="{"/>
                    <m:endChr m:val=""/>
                    <m:ctrlPr>
                      <w:rPr>
                        <w:rFonts w:ascii="Cambria Math" w:hAnsi="Cambria Math" w:cs="Arial"/>
                        <w:i/>
                        <w:iCs/>
                        <w:sz w:val="22"/>
                        <w:szCs w:val="22"/>
                      </w:rPr>
                    </m:ctrlPr>
                  </m:dPr>
                  <m:e>
                    <m:eqArr>
                      <m:eqArrPr>
                        <m:ctrlPr>
                          <w:rPr>
                            <w:rFonts w:ascii="Cambria Math" w:hAnsi="Cambria Math" w:cs="Arial"/>
                            <w:i/>
                            <w:iCs/>
                            <w:sz w:val="22"/>
                            <w:szCs w:val="22"/>
                          </w:rPr>
                        </m:ctrlPr>
                      </m:eqArrPr>
                      <m:e>
                        <m:f>
                          <m:fPr>
                            <m:ctrlPr>
                              <w:rPr>
                                <w:rFonts w:ascii="Cambria Math" w:hAnsi="Cambria Math" w:cs="Arial"/>
                                <w:i/>
                                <w:iCs/>
                                <w:sz w:val="22"/>
                                <w:szCs w:val="22"/>
                              </w:rPr>
                            </m:ctrlPr>
                          </m:fPr>
                          <m:num>
                            <m:sSub>
                              <m:sSubPr>
                                <m:ctrlPr>
                                  <w:rPr>
                                    <w:rFonts w:ascii="Cambria Math" w:hAnsi="Cambria Math" w:cs="Arial"/>
                                    <w:i/>
                                    <w:iCs/>
                                    <w:sz w:val="22"/>
                                    <w:szCs w:val="22"/>
                                  </w:rPr>
                                </m:ctrlPr>
                              </m:sSubPr>
                              <m:e>
                                <m:r>
                                  <w:rPr>
                                    <w:rFonts w:ascii="Cambria Math" w:hAnsi="Cambria Math" w:cs="Arial"/>
                                    <w:sz w:val="22"/>
                                    <w:szCs w:val="22"/>
                                  </w:rPr>
                                  <m:t>B</m:t>
                                </m:r>
                              </m:e>
                              <m:sub>
                                <m:r>
                                  <w:rPr>
                                    <w:rFonts w:ascii="Cambria Math" w:hAnsi="Cambria Math" w:cs="Arial"/>
                                    <w:sz w:val="22"/>
                                    <w:szCs w:val="22"/>
                                  </w:rPr>
                                  <m:t>max</m:t>
                                </m:r>
                              </m:sub>
                            </m:sSub>
                            <m:r>
                              <w:rPr>
                                <w:rFonts w:ascii="Cambria Math" w:hAnsi="Cambria Math" w:cs="Arial"/>
                                <w:sz w:val="22"/>
                                <w:szCs w:val="22"/>
                              </w:rPr>
                              <m:t>-</m:t>
                            </m:r>
                            <m:sSub>
                              <m:sSubPr>
                                <m:ctrlPr>
                                  <w:rPr>
                                    <w:rFonts w:ascii="Cambria Math" w:hAnsi="Cambria Math" w:cs="Arial"/>
                                    <w:i/>
                                    <w:iCs/>
                                    <w:sz w:val="22"/>
                                    <w:szCs w:val="22"/>
                                  </w:rPr>
                                </m:ctrlPr>
                              </m:sSubPr>
                              <m:e>
                                <m:r>
                                  <w:rPr>
                                    <w:rFonts w:ascii="Cambria Math" w:hAnsi="Cambria Math" w:cs="Arial"/>
                                    <w:sz w:val="22"/>
                                    <w:szCs w:val="22"/>
                                  </w:rPr>
                                  <m:t>B</m:t>
                                </m:r>
                              </m:e>
                              <m:sub>
                                <m:r>
                                  <w:rPr>
                                    <w:rFonts w:ascii="Cambria Math" w:hAnsi="Cambria Math" w:cs="Arial"/>
                                    <w:sz w:val="22"/>
                                    <w:szCs w:val="22"/>
                                  </w:rPr>
                                  <m:t>i</m:t>
                                </m:r>
                              </m:sub>
                            </m:sSub>
                          </m:num>
                          <m:den>
                            <m:sSub>
                              <m:sSubPr>
                                <m:ctrlPr>
                                  <w:rPr>
                                    <w:rFonts w:ascii="Cambria Math" w:hAnsi="Cambria Math" w:cs="Arial"/>
                                    <w:i/>
                                    <w:iCs/>
                                    <w:sz w:val="22"/>
                                    <w:szCs w:val="22"/>
                                  </w:rPr>
                                </m:ctrlPr>
                              </m:sSubPr>
                              <m:e>
                                <m:r>
                                  <w:rPr>
                                    <w:rFonts w:ascii="Cambria Math" w:hAnsi="Cambria Math" w:cs="Arial"/>
                                    <w:sz w:val="22"/>
                                    <w:szCs w:val="22"/>
                                  </w:rPr>
                                  <m:t>Biomass</m:t>
                                </m:r>
                              </m:e>
                              <m:sub>
                                <m:r>
                                  <w:rPr>
                                    <w:rFonts w:ascii="Cambria Math" w:hAnsi="Cambria Math" w:cs="Arial"/>
                                    <w:sz w:val="22"/>
                                    <w:szCs w:val="22"/>
                                  </w:rPr>
                                  <m:t>max</m:t>
                                </m:r>
                              </m:sub>
                            </m:sSub>
                          </m:den>
                        </m:f>
                        <m:r>
                          <w:rPr>
                            <w:rFonts w:ascii="Cambria Math" w:hAnsi="Cambria Math" w:cs="Arial"/>
                            <w:sz w:val="22"/>
                            <w:szCs w:val="22"/>
                          </w:rPr>
                          <m:t>     if </m:t>
                        </m:r>
                        <m:sSub>
                          <m:sSubPr>
                            <m:ctrlPr>
                              <w:rPr>
                                <w:rFonts w:ascii="Cambria Math" w:hAnsi="Cambria Math" w:cs="Arial"/>
                                <w:i/>
                                <w:iCs/>
                                <w:sz w:val="22"/>
                                <w:szCs w:val="22"/>
                              </w:rPr>
                            </m:ctrlPr>
                          </m:sSubPr>
                          <m:e>
                            <m:r>
                              <w:rPr>
                                <w:rFonts w:ascii="Cambria Math" w:hAnsi="Cambria Math" w:cs="Arial"/>
                                <w:sz w:val="22"/>
                                <w:szCs w:val="22"/>
                              </w:rPr>
                              <m:t>Biomass</m:t>
                            </m:r>
                          </m:e>
                          <m:sub>
                            <m:r>
                              <w:rPr>
                                <w:rFonts w:ascii="Cambria Math" w:hAnsi="Cambria Math" w:cs="Arial"/>
                                <w:sz w:val="22"/>
                                <w:szCs w:val="22"/>
                              </w:rPr>
                              <m:t>i</m:t>
                            </m:r>
                          </m:sub>
                        </m:sSub>
                        <m:r>
                          <w:rPr>
                            <w:rFonts w:ascii="Cambria Math" w:hAnsi="Cambria Math" w:cs="Arial"/>
                            <w:sz w:val="22"/>
                            <w:szCs w:val="22"/>
                          </w:rPr>
                          <m:t xml:space="preserve">≥74 t </m:t>
                        </m:r>
                        <m:sSup>
                          <m:sSupPr>
                            <m:ctrlPr>
                              <w:rPr>
                                <w:rFonts w:ascii="Cambria Math" w:hAnsi="Cambria Math" w:cs="Arial"/>
                                <w:i/>
                                <w:sz w:val="22"/>
                                <w:szCs w:val="22"/>
                              </w:rPr>
                            </m:ctrlPr>
                          </m:sSupPr>
                          <m:e>
                            <m:r>
                              <w:rPr>
                                <w:rFonts w:ascii="Cambria Math" w:hAnsi="Cambria Math" w:cs="Arial"/>
                                <w:sz w:val="22"/>
                                <w:szCs w:val="22"/>
                              </w:rPr>
                              <m:t>ha</m:t>
                            </m:r>
                          </m:e>
                          <m:sup>
                            <m:r>
                              <w:rPr>
                                <w:rFonts w:ascii="Cambria Math" w:hAnsi="Cambria Math" w:cs="Arial"/>
                                <w:sz w:val="22"/>
                                <w:szCs w:val="22"/>
                              </w:rPr>
                              <m:t>-1</m:t>
                            </m:r>
                          </m:sup>
                        </m:sSup>
                      </m:e>
                      <m:e>
                        <m:r>
                          <w:rPr>
                            <w:rFonts w:ascii="Cambria Math" w:hAnsi="Cambria Math" w:cs="Arial"/>
                            <w:sz w:val="22"/>
                            <w:szCs w:val="22"/>
                          </w:rPr>
                          <m:t>0                           otherwise</m:t>
                        </m:r>
                      </m:e>
                    </m:eqArr>
                  </m:e>
                </m:d>
              </m:oMath>
            </m:oMathPara>
          </w:p>
        </w:tc>
        <w:tc>
          <w:tcPr>
            <w:tcW w:w="1565" w:type="dxa"/>
            <w:vAlign w:val="center"/>
          </w:tcPr>
          <w:p w14:paraId="19258E39" w14:textId="1E505FBB" w:rsidR="00880360" w:rsidRPr="009A2999" w:rsidRDefault="009B3FA9" w:rsidP="005370AC">
            <w:pPr>
              <w:spacing w:after="240" w:line="360" w:lineRule="auto"/>
              <w:jc w:val="right"/>
              <w:rPr>
                <w:rFonts w:ascii="Arial" w:hAnsi="Arial" w:cs="Arial"/>
                <w:sz w:val="22"/>
                <w:szCs w:val="22"/>
              </w:rPr>
            </w:pPr>
            <w:r w:rsidRPr="009A2999">
              <w:rPr>
                <w:rFonts w:ascii="Arial" w:hAnsi="Arial" w:cs="Arial"/>
                <w:sz w:val="22"/>
                <w:szCs w:val="22"/>
              </w:rPr>
              <w:t>(Eqn. S1)</w:t>
            </w:r>
          </w:p>
        </w:tc>
      </w:tr>
    </w:tbl>
    <w:p w14:paraId="522E1950" w14:textId="30415AD8" w:rsidR="00DA724B" w:rsidRPr="009A2999" w:rsidRDefault="002B1A62" w:rsidP="005370AC">
      <w:pPr>
        <w:spacing w:after="240" w:line="360" w:lineRule="auto"/>
        <w:ind w:firstLine="720"/>
        <w:rPr>
          <w:rFonts w:ascii="Arial" w:hAnsi="Arial" w:cs="Arial"/>
          <w:sz w:val="22"/>
          <w:szCs w:val="22"/>
        </w:rPr>
      </w:pPr>
      <w:r w:rsidRPr="009A2999">
        <w:rPr>
          <w:rFonts w:ascii="Arial" w:hAnsi="Arial" w:cs="Arial"/>
          <w:sz w:val="22"/>
          <w:szCs w:val="22"/>
        </w:rPr>
        <w:t>R</w:t>
      </w:r>
      <w:r w:rsidR="00D61970" w:rsidRPr="009A2999">
        <w:rPr>
          <w:rFonts w:ascii="Arial" w:hAnsi="Arial" w:cs="Arial"/>
          <w:sz w:val="22"/>
          <w:szCs w:val="22"/>
        </w:rPr>
        <w:t>estoration potential (</w:t>
      </w:r>
      <w:r w:rsidR="00D61970" w:rsidRPr="009A2999">
        <w:rPr>
          <w:rFonts w:ascii="Arial" w:hAnsi="Arial" w:cs="Arial"/>
          <w:i/>
          <w:iCs/>
          <w:sz w:val="22"/>
          <w:szCs w:val="22"/>
        </w:rPr>
        <w:t>R</w:t>
      </w:r>
      <w:r w:rsidR="00D61970" w:rsidRPr="009A2999">
        <w:rPr>
          <w:rFonts w:ascii="Arial" w:hAnsi="Arial" w:cs="Arial"/>
          <w:i/>
          <w:iCs/>
          <w:sz w:val="22"/>
          <w:szCs w:val="22"/>
          <w:vertAlign w:val="subscript"/>
        </w:rPr>
        <w:t>i</w:t>
      </w:r>
      <w:r w:rsidR="00D61970" w:rsidRPr="009A2999">
        <w:rPr>
          <w:rFonts w:ascii="Arial" w:hAnsi="Arial" w:cs="Arial"/>
          <w:sz w:val="22"/>
          <w:szCs w:val="22"/>
        </w:rPr>
        <w:t xml:space="preserve">) </w:t>
      </w:r>
      <w:r w:rsidR="00166969" w:rsidRPr="009A2999">
        <w:rPr>
          <w:rFonts w:ascii="Arial" w:hAnsi="Arial" w:cs="Arial"/>
          <w:sz w:val="22"/>
          <w:szCs w:val="22"/>
        </w:rPr>
        <w:t>wa</w:t>
      </w:r>
      <w:r w:rsidR="00D61970" w:rsidRPr="009A2999">
        <w:rPr>
          <w:rFonts w:ascii="Arial" w:hAnsi="Arial" w:cs="Arial"/>
          <w:sz w:val="22"/>
          <w:szCs w:val="22"/>
        </w:rPr>
        <w:t xml:space="preserve">s calculated for each </w:t>
      </w:r>
      <w:proofErr w:type="spellStart"/>
      <w:r w:rsidR="00D61970" w:rsidRPr="009A2999">
        <w:rPr>
          <w:rFonts w:ascii="Arial" w:hAnsi="Arial" w:cs="Arial"/>
          <w:i/>
          <w:iCs/>
          <w:sz w:val="22"/>
          <w:szCs w:val="22"/>
        </w:rPr>
        <w:t>i</w:t>
      </w:r>
      <w:r w:rsidR="00D61970" w:rsidRPr="009A2999">
        <w:rPr>
          <w:rFonts w:ascii="Arial" w:hAnsi="Arial" w:cs="Arial"/>
          <w:sz w:val="22"/>
          <w:szCs w:val="22"/>
        </w:rPr>
        <w:t>th</w:t>
      </w:r>
      <w:proofErr w:type="spellEnd"/>
      <w:r w:rsidR="00D61970" w:rsidRPr="009A2999">
        <w:rPr>
          <w:rFonts w:ascii="Arial" w:hAnsi="Arial" w:cs="Arial"/>
          <w:sz w:val="22"/>
          <w:szCs w:val="22"/>
        </w:rPr>
        <w:t xml:space="preserve"> 1 km</w:t>
      </w:r>
      <w:r w:rsidR="00D61970" w:rsidRPr="009A2999">
        <w:rPr>
          <w:rFonts w:ascii="Arial" w:hAnsi="Arial" w:cs="Arial"/>
          <w:sz w:val="22"/>
          <w:szCs w:val="22"/>
          <w:vertAlign w:val="superscript"/>
        </w:rPr>
        <w:t>2</w:t>
      </w:r>
      <w:r w:rsidR="00D61970" w:rsidRPr="009A2999">
        <w:rPr>
          <w:rFonts w:ascii="Arial" w:hAnsi="Arial" w:cs="Arial"/>
          <w:sz w:val="22"/>
          <w:szCs w:val="22"/>
        </w:rPr>
        <w:t xml:space="preserve"> cell of the biomass raster dataset. </w:t>
      </w:r>
      <w:r w:rsidR="003D6D9B" w:rsidRPr="009A2999">
        <w:rPr>
          <w:rFonts w:ascii="Arial" w:hAnsi="Arial" w:cs="Arial"/>
          <w:sz w:val="22"/>
          <w:szCs w:val="22"/>
        </w:rPr>
        <w:t xml:space="preserve">It is calculated as </w:t>
      </w:r>
      <w:r w:rsidR="00D61970" w:rsidRPr="009A2999">
        <w:rPr>
          <w:rFonts w:ascii="Arial" w:hAnsi="Arial" w:cs="Arial"/>
          <w:sz w:val="22"/>
          <w:szCs w:val="22"/>
        </w:rPr>
        <w:t xml:space="preserve">the difference between the maximum biomass </w:t>
      </w:r>
      <w:r w:rsidR="00C56D10" w:rsidRPr="009A2999">
        <w:rPr>
          <w:rFonts w:ascii="Arial" w:hAnsi="Arial" w:cs="Arial"/>
          <w:sz w:val="22"/>
          <w:szCs w:val="22"/>
        </w:rPr>
        <w:t>(</w:t>
      </w:r>
      <w:proofErr w:type="spellStart"/>
      <w:r w:rsidR="00C56D10" w:rsidRPr="009A2999">
        <w:rPr>
          <w:rFonts w:ascii="Arial" w:hAnsi="Arial" w:cs="Arial"/>
          <w:i/>
          <w:iCs/>
          <w:sz w:val="22"/>
          <w:szCs w:val="22"/>
        </w:rPr>
        <w:t>B</w:t>
      </w:r>
      <w:r w:rsidR="00C56D10" w:rsidRPr="009A2999">
        <w:rPr>
          <w:rFonts w:ascii="Arial" w:hAnsi="Arial" w:cs="Arial"/>
          <w:i/>
          <w:iCs/>
          <w:sz w:val="22"/>
          <w:szCs w:val="22"/>
          <w:vertAlign w:val="subscript"/>
        </w:rPr>
        <w:t>max</w:t>
      </w:r>
      <w:proofErr w:type="spellEnd"/>
      <w:r w:rsidR="00C56D10" w:rsidRPr="009A2999">
        <w:rPr>
          <w:rFonts w:ascii="Arial" w:hAnsi="Arial" w:cs="Arial"/>
          <w:sz w:val="22"/>
          <w:szCs w:val="22"/>
        </w:rPr>
        <w:t xml:space="preserve">) </w:t>
      </w:r>
      <w:r w:rsidR="00CD12A2" w:rsidRPr="009A2999">
        <w:rPr>
          <w:rFonts w:ascii="Arial" w:hAnsi="Arial" w:cs="Arial"/>
          <w:sz w:val="22"/>
          <w:szCs w:val="22"/>
        </w:rPr>
        <w:t xml:space="preserve">occurring </w:t>
      </w:r>
      <w:r w:rsidR="00D61970" w:rsidRPr="009A2999">
        <w:rPr>
          <w:rFonts w:ascii="Arial" w:hAnsi="Arial" w:cs="Arial"/>
          <w:sz w:val="22"/>
          <w:szCs w:val="22"/>
        </w:rPr>
        <w:t xml:space="preserve">in a given province and landform type (lowland, wetland, upland, or montane, Fig. S1) </w:t>
      </w:r>
      <w:r w:rsidR="002B0498" w:rsidRPr="009A2999">
        <w:rPr>
          <w:rFonts w:ascii="Arial" w:hAnsi="Arial" w:cs="Arial"/>
          <w:sz w:val="22"/>
          <w:szCs w:val="22"/>
        </w:rPr>
        <w:t>and the biomass in that cell</w:t>
      </w:r>
      <w:r w:rsidR="00166969" w:rsidRPr="009A2999">
        <w:rPr>
          <w:rFonts w:ascii="Arial" w:hAnsi="Arial" w:cs="Arial"/>
          <w:sz w:val="22"/>
          <w:szCs w:val="22"/>
        </w:rPr>
        <w:t xml:space="preserve"> (</w:t>
      </w:r>
      <w:r w:rsidR="00166969" w:rsidRPr="009A2999">
        <w:rPr>
          <w:rFonts w:ascii="Arial" w:hAnsi="Arial" w:cs="Arial"/>
          <w:i/>
          <w:iCs/>
          <w:sz w:val="22"/>
          <w:szCs w:val="22"/>
        </w:rPr>
        <w:t>B</w:t>
      </w:r>
      <w:r w:rsidR="00166969" w:rsidRPr="009A2999">
        <w:rPr>
          <w:rFonts w:ascii="Arial" w:hAnsi="Arial" w:cs="Arial"/>
          <w:i/>
          <w:iCs/>
          <w:sz w:val="22"/>
          <w:szCs w:val="22"/>
          <w:vertAlign w:val="subscript"/>
        </w:rPr>
        <w:t>i</w:t>
      </w:r>
      <w:r w:rsidR="00166969" w:rsidRPr="009A2999">
        <w:rPr>
          <w:rFonts w:ascii="Arial" w:hAnsi="Arial" w:cs="Arial"/>
          <w:sz w:val="22"/>
          <w:szCs w:val="22"/>
        </w:rPr>
        <w:t>)</w:t>
      </w:r>
      <w:r w:rsidR="002B0498" w:rsidRPr="009A2999">
        <w:rPr>
          <w:rFonts w:ascii="Arial" w:hAnsi="Arial" w:cs="Arial"/>
          <w:sz w:val="22"/>
          <w:szCs w:val="22"/>
        </w:rPr>
        <w:t xml:space="preserve">, divided by the maximum biomass. </w:t>
      </w:r>
      <w:r w:rsidR="009367AD" w:rsidRPr="009A2999">
        <w:rPr>
          <w:rFonts w:ascii="Arial" w:hAnsi="Arial" w:cs="Arial"/>
          <w:sz w:val="22"/>
          <w:szCs w:val="22"/>
        </w:rPr>
        <w:t xml:space="preserve">This </w:t>
      </w:r>
      <w:r w:rsidR="001558DA" w:rsidRPr="009A2999">
        <w:rPr>
          <w:rFonts w:ascii="Arial" w:hAnsi="Arial" w:cs="Arial"/>
          <w:sz w:val="22"/>
          <w:szCs w:val="22"/>
        </w:rPr>
        <w:t>reflects the inherent geographic variation in standing biomass in forests within and among provinces</w:t>
      </w:r>
      <w:r w:rsidR="00A309F5" w:rsidRPr="009A2999">
        <w:rPr>
          <w:rFonts w:ascii="Arial" w:hAnsi="Arial" w:cs="Arial"/>
          <w:sz w:val="22"/>
          <w:szCs w:val="22"/>
        </w:rPr>
        <w:t xml:space="preserve">. </w:t>
      </w:r>
      <w:r w:rsidR="00DA724B" w:rsidRPr="009A2999">
        <w:rPr>
          <w:rFonts w:ascii="Arial" w:hAnsi="Arial" w:cs="Arial"/>
          <w:sz w:val="22"/>
          <w:szCs w:val="22"/>
        </w:rPr>
        <w:t>C</w:t>
      </w:r>
      <w:r w:rsidR="007055D4" w:rsidRPr="009A2999">
        <w:rPr>
          <w:rFonts w:ascii="Arial" w:hAnsi="Arial" w:cs="Arial"/>
          <w:sz w:val="22"/>
          <w:szCs w:val="22"/>
        </w:rPr>
        <w:t xml:space="preserve">ells having </w:t>
      </w:r>
      <w:r w:rsidR="00DA724B" w:rsidRPr="009A2999">
        <w:rPr>
          <w:rFonts w:ascii="Arial" w:hAnsi="Arial" w:cs="Arial"/>
          <w:sz w:val="22"/>
          <w:szCs w:val="22"/>
        </w:rPr>
        <w:t>a biomass &lt;74 t/ha were assigned a restoration potential of 0.</w:t>
      </w:r>
    </w:p>
    <w:p w14:paraId="515A3AAC" w14:textId="77777777" w:rsidR="002B1A62" w:rsidRPr="009A2999" w:rsidRDefault="002B1A62" w:rsidP="005370AC">
      <w:pPr>
        <w:spacing w:after="240" w:line="360" w:lineRule="auto"/>
        <w:rPr>
          <w:rFonts w:ascii="Arial" w:hAnsi="Arial" w:cs="Arial"/>
          <w:sz w:val="22"/>
          <w:szCs w:val="22"/>
        </w:rPr>
      </w:pPr>
      <w:r w:rsidRPr="009A2999">
        <w:rPr>
          <w:rFonts w:ascii="Arial" w:hAnsi="Arial" w:cs="Arial"/>
          <w:noProof/>
          <w:sz w:val="22"/>
          <w:szCs w:val="22"/>
        </w:rPr>
        <w:lastRenderedPageBreak/>
        <w:drawing>
          <wp:inline distT="0" distB="0" distL="0" distR="0" wp14:anchorId="78BB729A" wp14:editId="4A287FB9">
            <wp:extent cx="5486400" cy="27432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486400" cy="2743200"/>
                    </a:xfrm>
                    <a:prstGeom prst="rect">
                      <a:avLst/>
                    </a:prstGeom>
                  </pic:spPr>
                </pic:pic>
              </a:graphicData>
            </a:graphic>
          </wp:inline>
        </w:drawing>
      </w:r>
    </w:p>
    <w:p w14:paraId="0D89C0F0" w14:textId="7BF6844A" w:rsidR="002B1A62" w:rsidRPr="009A2999" w:rsidRDefault="002B1A62" w:rsidP="005370AC">
      <w:pPr>
        <w:spacing w:after="240" w:line="360" w:lineRule="auto"/>
        <w:rPr>
          <w:rFonts w:ascii="Arial" w:hAnsi="Arial" w:cs="Arial"/>
          <w:sz w:val="22"/>
          <w:szCs w:val="22"/>
        </w:rPr>
      </w:pPr>
      <w:r w:rsidRPr="009A2999">
        <w:rPr>
          <w:rFonts w:ascii="Arial" w:hAnsi="Arial" w:cs="Arial"/>
          <w:b/>
          <w:bCs/>
          <w:sz w:val="22"/>
          <w:szCs w:val="22"/>
        </w:rPr>
        <w:t>Figure S1.</w:t>
      </w:r>
      <w:r w:rsidRPr="009A2999">
        <w:rPr>
          <w:rFonts w:ascii="Arial" w:hAnsi="Arial" w:cs="Arial"/>
          <w:sz w:val="22"/>
          <w:szCs w:val="22"/>
        </w:rPr>
        <w:t xml:space="preserve"> </w:t>
      </w:r>
      <w:r w:rsidRPr="009A2999">
        <w:rPr>
          <w:rFonts w:ascii="Arial" w:hAnsi="Arial" w:cs="Arial"/>
          <w:b/>
          <w:bCs/>
          <w:sz w:val="22"/>
          <w:szCs w:val="22"/>
        </w:rPr>
        <w:t>Calculating restoration potential for different landforms</w:t>
      </w:r>
      <w:r w:rsidR="00B4180A" w:rsidRPr="009A2999">
        <w:rPr>
          <w:rFonts w:ascii="Arial" w:hAnsi="Arial" w:cs="Arial"/>
          <w:b/>
          <w:bCs/>
          <w:sz w:val="22"/>
          <w:szCs w:val="22"/>
        </w:rPr>
        <w:t xml:space="preserve"> in Sumatra</w:t>
      </w:r>
      <w:r w:rsidRPr="009A2999">
        <w:rPr>
          <w:rFonts w:ascii="Arial" w:hAnsi="Arial" w:cs="Arial"/>
          <w:b/>
          <w:bCs/>
          <w:sz w:val="22"/>
          <w:szCs w:val="22"/>
        </w:rPr>
        <w:t>.</w:t>
      </w:r>
      <w:r w:rsidRPr="009A2999">
        <w:rPr>
          <w:rFonts w:ascii="Arial" w:hAnsi="Arial" w:cs="Arial"/>
          <w:sz w:val="22"/>
          <w:szCs w:val="22"/>
        </w:rPr>
        <w:t xml:space="preserve"> Coloured lines show the maximum aboveground forest biomass </w:t>
      </w:r>
      <w:r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{"citationID":"RGUiwAmq","properties":{"formattedCitation":"(Santoro &amp; Cartus, 2021)","plainCitation":"(Santoro &amp; Cartus, 2021)","noteIndex":0},"citationItems":[{"id":"aLHtriQA/o9yTaRDr","uris":["http://www.mendeley.com/documents/?uuid=14ce616e-557c-4333-a7a2-5c47bdad67e6"],"itemData":{"DOI":"10.5285/5f331c418e9f4935b8eb1b836f8a91b8","abstract":"This dataset comprises estimates of forest above-ground biomass for the year 2017. The data has been produced as part of the European Space Agency's (ESA's) Climate Change Initiative (CCI) programme by the Biomass CCI team. The data products consist of two (2) global layers that include estimates of: 1) above ground biomass (AGB, unit: tons/ha i.e., Mg/ha) for the year 2017 (raster dataset). This is defined as the mass, expressed as oven-dry weight of the woody parts (stem, bark, branches and twigs) of all living trees excluding stump and roots 2) per-pixel estimates of above-ground biomass uncertainty expressed as standard error in Mg/ha (raster dataset) This release of the data is version 1, with data provided in both netcdf and geotiff format.","author":[{"dropping-particle":"","family":"Santoro","given":"M.","non-dropping-particle":"","parse-names":false,"suffix":""},{"dropping-particle":"","family":"Cartus","given":"O","non-dropping-particle":"","parse-names":false,"suffix":""}],"container-title":"NERC EDS Centre for Environmental Data Analysis","id":"ITEM-1","issued":{"date-parts":[["2021"]]},"title":"ESA Biomass Climate Change Initiative (Biomass_cci): Global datasets of forest above-ground biomass for the years 2010, 2017 and 2018, v3.","type":"article-journal"}}],"schema":"https://github.com/citation-style-language/schema/raw/master/csl-citation.json"} </w:instrText>
      </w:r>
      <w:r w:rsidRPr="009A2999">
        <w:rPr>
          <w:rFonts w:ascii="Arial" w:hAnsi="Arial" w:cs="Arial"/>
          <w:sz w:val="22"/>
          <w:szCs w:val="22"/>
        </w:rPr>
        <w:fldChar w:fldCharType="separate"/>
      </w:r>
      <w:r w:rsidR="00A967F4" w:rsidRPr="009A2999">
        <w:rPr>
          <w:rFonts w:ascii="Arial" w:hAnsi="Arial" w:cs="Arial"/>
          <w:sz w:val="22"/>
          <w:szCs w:val="22"/>
        </w:rPr>
        <w:t>(Santoro &amp; Cartus, 2021)</w:t>
      </w:r>
      <w:r w:rsidRPr="009A2999">
        <w:rPr>
          <w:rFonts w:ascii="Arial" w:hAnsi="Arial" w:cs="Arial"/>
          <w:sz w:val="22"/>
          <w:szCs w:val="22"/>
        </w:rPr>
        <w:fldChar w:fldCharType="end"/>
      </w:r>
      <w:r w:rsidRPr="009A2999">
        <w:rPr>
          <w:rFonts w:ascii="Arial" w:hAnsi="Arial" w:cs="Arial"/>
          <w:sz w:val="22"/>
          <w:szCs w:val="22"/>
        </w:rPr>
        <w:t xml:space="preserve"> in Sumatran provinces within areas of undisturbed or degraded tropical moist forest </w:t>
      </w:r>
      <w:r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{"citationID":"HYNiv6VT","properties":{"formattedCitation":"(Vancutsem et al., 2021)","plainCitation":"(Vancutsem et al., 2021)","noteIndex":0},"citationItems":[{"id":"aLHtriQA/d1U4xltR","uris":["http://www.mendeley.com/documents/?uuid=116df01c-97f8-431d-9227-c15c46b54e21"],"itemData":{"DOI":"10.1126/sciadv.abe1603","ISSN":"23752548","PMID":"33674308","abstract":"Accurate characterization of tropical moist forest changes is needed to support conservation policies and to quantify their contribution to global carbon fluxes more effectively. We document, at pantropical scale, the extent and changes (degradation, deforestation, and recovery) of these forests over the past three decades. We estimate that 17% of tropical moist forests have disappeared since 1990 with a remaining area of 1071 million hectares in 2019, from which 10% are degraded. Our study underlines the importance of the degradation process in these ecosystems, in particular, as a precursor of deforestation, and in the recent increase in tropical moist forest disturbances (natural and anthropogenic degradation or deforestation). Without a reduction of the present disturbance rates, undisturbed forests will disappear entirely in large tropical humid regions by 2050. Our study suggests that reinforcing actions are needed to prevent the initial degradation that leads to forest clearance in 45% of the cases.","author":[{"dropping-particle":"","family":"Vancutsem","given":"C.","non-dropping-particle":"","parse-names":false,"suffix":""},{"dropping-particle":"","family":"Achard","given":"F.","non-dropping-particle":"","parse-names":false,"suffix":""},{"dropping-particle":"","family":"Pekel","given":"J. F.","non-dropping-particle":"","parse-names":false,"suffix":""},{"dropping-particle":"","family":"Vieilledent","given":"G.","non-dropping-particle":"","parse-names":false,"suffix":""},{"dropping-particle":"","family":"Carboni","given":"S.","non-dropping-particle":"","parse-names":false,"suffix":""},{"dropping-particle":"","family":"Simonetti","given":"D.","non-dropping-particle":"","parse-names":false,"suffix":""},{"dropping-particle":"","family":"Gallego","given":"J.","non-dropping-particle":"","parse-names":false,"suffix":""},{"dropping-particle":"","family":"Aragão","given":"L. E.O.C.","non-dropping-particle":"","parse-names":false,"suffix":""},{"dropping-particle":"","family":"Nasi","given":"R.","non-dropping-particle":"","parse-names":false,"suffix":""}],"container-title":"Science Advances","id":"ITEM-1","issue":"10","issued":{"date-parts":[["2021"]]},"page":"1-22","title":"Long-term (1990–2019) monitoring of forest cover changes in the humid tropics","type":"article-journal","volume":"7"}}],"schema":"https://github.com/citation-style-language/schema/raw/master/csl-citation.json"} </w:instrText>
      </w:r>
      <w:r w:rsidRPr="009A2999">
        <w:rPr>
          <w:rFonts w:ascii="Arial" w:hAnsi="Arial" w:cs="Arial"/>
          <w:sz w:val="22"/>
          <w:szCs w:val="22"/>
        </w:rPr>
        <w:fldChar w:fldCharType="separate"/>
      </w:r>
      <w:r w:rsidR="00A967F4" w:rsidRPr="009A2999">
        <w:rPr>
          <w:rFonts w:ascii="Arial" w:hAnsi="Arial" w:cs="Arial"/>
          <w:sz w:val="22"/>
          <w:szCs w:val="22"/>
        </w:rPr>
        <w:t>(Vancutsem et al., 2021)</w:t>
      </w:r>
      <w:r w:rsidRPr="009A2999">
        <w:rPr>
          <w:rFonts w:ascii="Arial" w:hAnsi="Arial" w:cs="Arial"/>
          <w:sz w:val="22"/>
          <w:szCs w:val="22"/>
        </w:rPr>
        <w:fldChar w:fldCharType="end"/>
      </w:r>
      <w:r w:rsidRPr="009A2999">
        <w:rPr>
          <w:rFonts w:ascii="Arial" w:hAnsi="Arial" w:cs="Arial"/>
          <w:sz w:val="22"/>
          <w:szCs w:val="22"/>
        </w:rPr>
        <w:t xml:space="preserve">. The maxima are disaggregated by landform </w:t>
      </w:r>
      <w:r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{"citationID":"qttO7Lvm","properties":{"formattedCitation":"(Margono et al., 2014)","plainCitation":"(Margono et al., 2014)","noteIndex":0},"citationItems":[{"id":"aLHtriQA/EGfGg2ry","uris":["http://www.mendeley.com/documents/?uuid=c460764b-5baf-4e1a-9c96-ade86ced83f0"],"itemData":{"DOI":"10.1038/nclimate2277","ISSN":"17586798","abstract":"Extensive clearing of Indonesian primary forests results in increased greenhouse gas emissions and biodiversity loss. However, there is no consensus on the areal extent and temporal trends of primary forest clearing in Indonesia. Here we report a spatially and temporally explicit quantification of Indonesian primary forest loss, which totalled over 6.02 Mha from 2000 to 2012 and increased on average by 47,600 ha per year. By 2012, annual primary forest loss in Indonesia was estimated to be higher than in Brazil (0.84 Mha and 0.46 Mha, respectively). Proportional loss of primary forests in wetland landforms increased and almost all clearing of primary forests occurred within degraded types, meaning logging preceded conversion processes. Loss within official forest land uses that restrict or prohibit clearing totalled 40% of all loss within national forest land. The increasing loss of Indonesian primary forests has significant implications for climate change mitigation and biodiversity conservation efforts. © 2014 Macmillan Publishers Limited. All rights reserved.","author":[{"dropping-particle":"","family":"Margono","given":"Belinda Arunarwati","non-dropping-particle":"","parse-names":false,"suffix":""},{"dropping-particle":"V.","family":"Potapov","given":"Peter","non-dropping-particle":"","parse-names":false,"suffix":""},{"dropping-particle":"","family":"Turubanova","given":"Svetlana","non-dropping-particle":"","parse-names":false,"suffix":""},{"dropping-particle":"","family":"Stolle","given":"Fred","non-dropping-particle":"","parse-names":false,"suffix":""},{"dropping-particle":"","family":"Hansen","given":"Matthew C.","non-dropping-particle":"","parse-names":false,"suffix":""}],"container-title":"Nature Climate Change","id":"ITEM-1","issue":"8","issued":{"date-parts":[["2014"]]},"page":"730-735","title":"Primary forest cover loss in indonesia over 2000-2012","type":"article-journal","volume":"4"}}],"schema":"https://github.com/citation-style-language/schema/raw/master/csl-citation.json"} </w:instrText>
      </w:r>
      <w:r w:rsidRPr="009A2999">
        <w:rPr>
          <w:rFonts w:ascii="Arial" w:hAnsi="Arial" w:cs="Arial"/>
          <w:sz w:val="22"/>
          <w:szCs w:val="22"/>
        </w:rPr>
        <w:fldChar w:fldCharType="separate"/>
      </w:r>
      <w:r w:rsidR="00A967F4" w:rsidRPr="009A2999">
        <w:rPr>
          <w:rFonts w:ascii="Arial" w:hAnsi="Arial" w:cs="Arial"/>
          <w:sz w:val="22"/>
          <w:szCs w:val="22"/>
        </w:rPr>
        <w:t>(Margono et al., 2014)</w:t>
      </w:r>
      <w:r w:rsidRPr="009A2999">
        <w:rPr>
          <w:rFonts w:ascii="Arial" w:hAnsi="Arial" w:cs="Arial"/>
          <w:sz w:val="22"/>
          <w:szCs w:val="22"/>
        </w:rPr>
        <w:fldChar w:fldCharType="end"/>
      </w:r>
      <w:r w:rsidRPr="009A2999">
        <w:rPr>
          <w:rFonts w:ascii="Arial" w:hAnsi="Arial" w:cs="Arial"/>
          <w:sz w:val="22"/>
          <w:szCs w:val="22"/>
        </w:rPr>
        <w:t>. Maximum biomass was used to calculate the conservation feature of forest restoration potential.</w:t>
      </w:r>
    </w:p>
    <w:p w14:paraId="30A8A8A3" w14:textId="77777777" w:rsidR="002B1A62" w:rsidRPr="009A2999" w:rsidRDefault="002B1A62" w:rsidP="005370AC">
      <w:pPr>
        <w:spacing w:after="240" w:line="360" w:lineRule="auto"/>
        <w:ind w:firstLine="720"/>
        <w:rPr>
          <w:rFonts w:ascii="Arial" w:hAnsi="Arial" w:cs="Arial"/>
          <w:sz w:val="22"/>
          <w:szCs w:val="22"/>
        </w:rPr>
      </w:pPr>
    </w:p>
    <w:p w14:paraId="7EC2EF60" w14:textId="4E50A49B" w:rsidR="008C21B1" w:rsidRPr="009A2999" w:rsidRDefault="008C21B1" w:rsidP="005370AC">
      <w:pPr>
        <w:pStyle w:val="Heading2"/>
        <w:numPr>
          <w:ilvl w:val="1"/>
          <w:numId w:val="6"/>
        </w:numPr>
        <w:spacing w:before="0" w:after="240" w:line="360" w:lineRule="auto"/>
        <w:rPr>
          <w:rFonts w:ascii="Arial" w:hAnsi="Arial" w:cs="Arial"/>
          <w:b/>
          <w:bCs/>
          <w:sz w:val="22"/>
          <w:szCs w:val="22"/>
        </w:rPr>
      </w:pPr>
      <w:r w:rsidRPr="009A2999">
        <w:rPr>
          <w:rFonts w:ascii="Arial" w:hAnsi="Arial" w:cs="Arial"/>
          <w:b/>
          <w:bCs/>
          <w:sz w:val="22"/>
          <w:szCs w:val="22"/>
        </w:rPr>
        <w:t>Applying a minimum biomass threshold</w:t>
      </w:r>
    </w:p>
    <w:p w14:paraId="293E19CC" w14:textId="72FD19A6" w:rsidR="004A6760" w:rsidRPr="009A2999" w:rsidRDefault="002B1A62" w:rsidP="005370AC">
      <w:pPr>
        <w:spacing w:after="240" w:line="360" w:lineRule="auto"/>
        <w:rPr>
          <w:rFonts w:ascii="Arial" w:hAnsi="Arial" w:cs="Arial"/>
          <w:sz w:val="22"/>
          <w:szCs w:val="22"/>
        </w:rPr>
      </w:pPr>
      <w:r w:rsidRPr="009A2999">
        <w:rPr>
          <w:rFonts w:ascii="Arial" w:hAnsi="Arial" w:cs="Arial"/>
          <w:sz w:val="22"/>
          <w:szCs w:val="22"/>
        </w:rPr>
        <w:t xml:space="preserve">As a minimum biomass threshold to define forest we applied criteria from the </w:t>
      </w:r>
      <w:r w:rsidR="00F42A93" w:rsidRPr="009A2999">
        <w:rPr>
          <w:rFonts w:ascii="Arial" w:hAnsi="Arial" w:cs="Arial"/>
          <w:sz w:val="22"/>
          <w:szCs w:val="22"/>
        </w:rPr>
        <w:t>High Carbon Stock Approach</w:t>
      </w:r>
      <w:r w:rsidR="000E338E" w:rsidRPr="009A2999">
        <w:rPr>
          <w:rFonts w:ascii="Arial" w:hAnsi="Arial" w:cs="Arial"/>
          <w:sz w:val="22"/>
          <w:szCs w:val="22"/>
        </w:rPr>
        <w:t xml:space="preserve">, </w:t>
      </w:r>
      <w:r w:rsidRPr="009A2999">
        <w:rPr>
          <w:rFonts w:ascii="Arial" w:hAnsi="Arial" w:cs="Arial"/>
          <w:sz w:val="22"/>
          <w:szCs w:val="22"/>
        </w:rPr>
        <w:t xml:space="preserve">which is commonly used for land-use planning in tropical forestry and agricultural sectors </w:t>
      </w:r>
      <w:r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{"citationID":"BRKHmBZB","properties":{"formattedCitation":"(Rosoman et al., 2017)","plainCitation":"(Rosoman et al., 2017)","noteIndex":0},"citationItems":[{"id":"aLHtriQA/laBM61Sm","uris":["http://www.mendeley.com/documents/?uuid=586ed138-2b86-486b-a5fa-2b0b76f4c296"],"itemData":{"abstract":"The production of this toolkit has been funded by the members of the HCS Approach Steering Group and the UK government through the Partnerships for Forests programme.","author":[{"dropping-particle":"","family":"Rosoman","given":"G","non-dropping-particle":"","parse-names":false,"suffix":""},{"dropping-particle":"","family":"Sheun","given":"S S","non-dropping-particle":"","parse-names":false,"suffix":""},{"dropping-particle":"","family":"Opal","given":"C","non-dropping-particle":"","parse-names":false,"suffix":""},{"dropping-particle":"","family":"Anderson","given":"P","non-dropping-particle":"","parse-names":false,"suffix":""},{"dropping-particle":"","family":"Trapshah","given":"R","non-dropping-particle":"","parse-names":false,"suffix":""}],"container-title":"The HCS Approach Toolkit Version 2.0","id":"ITEM-1","issue":"August","issued":{"date-parts":[["2017"]]},"title":"The HCS Approach Toolkit: Module 4 - Forest and vegetation stratification","type":"article-journal"}}],"schema":"https://github.com/citation-style-language/schema/raw/master/csl-citation.json"} </w:instrText>
      </w:r>
      <w:r w:rsidRPr="009A2999">
        <w:rPr>
          <w:rFonts w:ascii="Arial" w:hAnsi="Arial" w:cs="Arial"/>
          <w:sz w:val="22"/>
          <w:szCs w:val="22"/>
        </w:rPr>
        <w:fldChar w:fldCharType="separate"/>
      </w:r>
      <w:r w:rsidR="00A967F4" w:rsidRPr="009A2999">
        <w:rPr>
          <w:rFonts w:ascii="Arial" w:hAnsi="Arial" w:cs="Arial"/>
          <w:sz w:val="22"/>
          <w:szCs w:val="22"/>
        </w:rPr>
        <w:t>(Rosoman et al., 2017)</w:t>
      </w:r>
      <w:r w:rsidRPr="009A2999">
        <w:rPr>
          <w:rFonts w:ascii="Arial" w:hAnsi="Arial" w:cs="Arial"/>
          <w:sz w:val="22"/>
          <w:szCs w:val="22"/>
        </w:rPr>
        <w:fldChar w:fldCharType="end"/>
      </w:r>
      <w:r w:rsidRPr="009A2999">
        <w:rPr>
          <w:rFonts w:ascii="Arial" w:hAnsi="Arial" w:cs="Arial"/>
          <w:sz w:val="22"/>
          <w:szCs w:val="22"/>
        </w:rPr>
        <w:t>. Based on a carbon stock threshold of 35 t ha</w:t>
      </w:r>
      <w:r w:rsidRPr="009A2999">
        <w:rPr>
          <w:rFonts w:ascii="Arial" w:hAnsi="Arial" w:cs="Arial"/>
          <w:sz w:val="22"/>
          <w:szCs w:val="22"/>
          <w:vertAlign w:val="superscript"/>
        </w:rPr>
        <w:t>-1</w:t>
      </w:r>
      <w:r w:rsidRPr="009A2999">
        <w:rPr>
          <w:rFonts w:ascii="Arial" w:hAnsi="Arial" w:cs="Arial"/>
          <w:sz w:val="22"/>
          <w:szCs w:val="22"/>
        </w:rPr>
        <w:t xml:space="preserve"> (i.e. </w:t>
      </w:r>
      <w:r w:rsidR="00C11D26" w:rsidRPr="009A2999">
        <w:rPr>
          <w:rFonts w:ascii="Arial" w:hAnsi="Arial" w:cs="Arial"/>
          <w:sz w:val="22"/>
          <w:szCs w:val="22"/>
        </w:rPr>
        <w:t>74 t ha</w:t>
      </w:r>
      <w:r w:rsidR="00C11D26" w:rsidRPr="009A2999">
        <w:rPr>
          <w:rFonts w:ascii="Arial" w:hAnsi="Arial" w:cs="Arial"/>
          <w:sz w:val="22"/>
          <w:szCs w:val="22"/>
          <w:vertAlign w:val="superscript"/>
        </w:rPr>
        <w:t>-1</w:t>
      </w:r>
      <w:r w:rsidR="00C11D26" w:rsidRPr="009A2999">
        <w:rPr>
          <w:rFonts w:ascii="Arial" w:hAnsi="Arial" w:cs="Arial"/>
          <w:sz w:val="22"/>
          <w:szCs w:val="22"/>
        </w:rPr>
        <w:t xml:space="preserve"> of woody biomass using a standard conversion of 0.47</w:t>
      </w:r>
      <w:r w:rsidR="00C11D26" w:rsidRPr="009A2999">
        <w:rPr>
          <w:rFonts w:ascii="Arial" w:hAnsi="Arial" w:cs="Arial"/>
          <w:sz w:val="22"/>
          <w:szCs w:val="22"/>
        </w:rPr>
        <w:fldChar w:fldCharType="begin" w:fldLock="1"/>
      </w:r>
      <w:r w:rsidR="00826F2A">
        <w:rPr>
          <w:rFonts w:ascii="Arial" w:hAnsi="Arial" w:cs="Arial"/>
          <w:sz w:val="22"/>
          <w:szCs w:val="22"/>
        </w:rPr>
        <w:instrText xml:space="preserve"> ADDIN ZOTERO_ITEM CSL_CITATION {"citationID":"R0FQIxcA","properties":{"formattedCitation":"(McGroddy et al., 2004)","plainCitation":"(McGroddy et al., 2004)","noteIndex":0},"citationItems":[{"id":"aLHtriQA/3MHpG7U1","uris":["http://www.mendeley.com/documents/?uuid=e0d5d6c1-7042-4053-a93c-533f43586f38"],"itemData":{"author":[{"dropping-particle":"","family":"McGroddy","given":"M E","non-dropping-particle":"","parse-names":false,"suffix":""},{"dropping-particle":"","family":"Daufresne","given":"T","non-dropping-particle":"","parse-names":false,"suffix":""},{"dropping-particle":"","family":"Hedin","given":"L O","non-dropping-particle":"","parse-names":false,"suffix":""}],"container-title":"Ecology","id":"ITEM-1","issue":"9","issued":{"date-parts":[["2004"]]},"page":"2390-2401","title":"Scaling of C:N:P stoichiometry in forests worldwide: Implications of terrestrial redfield-type ratios","type":"article-journal","volume":"85"}}],"schema":"https://github.com/citation-style-language/schema/raw/master/csl-citation.json"} </w:instrText>
      </w:r>
      <w:r w:rsidR="00C11D26" w:rsidRPr="009A2999">
        <w:rPr>
          <w:rFonts w:ascii="Arial" w:hAnsi="Arial" w:cs="Arial"/>
          <w:sz w:val="22"/>
          <w:szCs w:val="22"/>
        </w:rPr>
        <w:fldChar w:fldCharType="separate"/>
      </w:r>
      <w:r w:rsidR="00A967F4" w:rsidRPr="009A2999">
        <w:rPr>
          <w:rFonts w:ascii="Arial" w:hAnsi="Arial" w:cs="Arial"/>
          <w:sz w:val="22"/>
          <w:szCs w:val="22"/>
        </w:rPr>
        <w:t>(McGroddy et al., 2004)</w:t>
      </w:r>
      <w:r w:rsidR="00C11D26" w:rsidRPr="009A2999">
        <w:rPr>
          <w:rFonts w:ascii="Arial" w:hAnsi="Arial" w:cs="Arial"/>
          <w:sz w:val="22"/>
          <w:szCs w:val="22"/>
        </w:rPr>
        <w:fldChar w:fldCharType="end"/>
      </w:r>
      <w:r w:rsidR="00C11D26" w:rsidRPr="009A2999">
        <w:rPr>
          <w:rFonts w:ascii="Arial" w:hAnsi="Arial" w:cs="Arial"/>
          <w:sz w:val="22"/>
          <w:szCs w:val="22"/>
        </w:rPr>
        <w:t xml:space="preserve">, the </w:t>
      </w:r>
      <w:r w:rsidRPr="009A2999">
        <w:rPr>
          <w:rFonts w:ascii="Arial" w:hAnsi="Arial" w:cs="Arial"/>
          <w:sz w:val="22"/>
          <w:szCs w:val="22"/>
        </w:rPr>
        <w:t xml:space="preserve">methodology helps </w:t>
      </w:r>
      <w:r w:rsidR="000E338E" w:rsidRPr="009A2999">
        <w:rPr>
          <w:rFonts w:ascii="Arial" w:hAnsi="Arial" w:cs="Arial"/>
          <w:sz w:val="22"/>
          <w:szCs w:val="22"/>
        </w:rPr>
        <w:t>differentiat</w:t>
      </w:r>
      <w:r w:rsidRPr="009A2999">
        <w:rPr>
          <w:rFonts w:ascii="Arial" w:hAnsi="Arial" w:cs="Arial"/>
          <w:sz w:val="22"/>
          <w:szCs w:val="22"/>
        </w:rPr>
        <w:t>e</w:t>
      </w:r>
      <w:r w:rsidR="000E338E" w:rsidRPr="009A2999">
        <w:rPr>
          <w:rFonts w:ascii="Arial" w:hAnsi="Arial" w:cs="Arial"/>
          <w:sz w:val="22"/>
          <w:szCs w:val="22"/>
        </w:rPr>
        <w:t xml:space="preserve"> </w:t>
      </w:r>
      <w:r w:rsidRPr="009A2999">
        <w:rPr>
          <w:rFonts w:ascii="Arial" w:hAnsi="Arial" w:cs="Arial"/>
          <w:sz w:val="22"/>
          <w:szCs w:val="22"/>
        </w:rPr>
        <w:t xml:space="preserve">between </w:t>
      </w:r>
      <w:r w:rsidR="00E4568E" w:rsidRPr="009A2999">
        <w:rPr>
          <w:rFonts w:ascii="Arial" w:hAnsi="Arial" w:cs="Arial"/>
          <w:sz w:val="22"/>
          <w:szCs w:val="22"/>
        </w:rPr>
        <w:t>‘</w:t>
      </w:r>
      <w:r w:rsidR="000E338E" w:rsidRPr="009A2999">
        <w:rPr>
          <w:rFonts w:ascii="Arial" w:hAnsi="Arial" w:cs="Arial"/>
          <w:sz w:val="22"/>
          <w:szCs w:val="22"/>
        </w:rPr>
        <w:t xml:space="preserve">young </w:t>
      </w:r>
      <w:r w:rsidR="00E4568E" w:rsidRPr="009A2999">
        <w:rPr>
          <w:rFonts w:ascii="Arial" w:hAnsi="Arial" w:cs="Arial"/>
          <w:sz w:val="22"/>
          <w:szCs w:val="22"/>
        </w:rPr>
        <w:t xml:space="preserve">regenerating forest’ </w:t>
      </w:r>
      <w:r w:rsidR="00C11D26" w:rsidRPr="009A2999">
        <w:rPr>
          <w:rFonts w:ascii="Arial" w:hAnsi="Arial" w:cs="Arial"/>
          <w:sz w:val="22"/>
          <w:szCs w:val="22"/>
        </w:rPr>
        <w:t xml:space="preserve">with potential for restoration/regeneration, and </w:t>
      </w:r>
      <w:r w:rsidR="00E4568E" w:rsidRPr="009A2999">
        <w:rPr>
          <w:rFonts w:ascii="Arial" w:hAnsi="Arial" w:cs="Arial"/>
          <w:sz w:val="22"/>
          <w:szCs w:val="22"/>
        </w:rPr>
        <w:t xml:space="preserve">‘scrub’, </w:t>
      </w:r>
      <w:r w:rsidR="00DD75A5" w:rsidRPr="009A2999">
        <w:rPr>
          <w:rFonts w:ascii="Arial" w:hAnsi="Arial" w:cs="Arial"/>
          <w:sz w:val="22"/>
          <w:szCs w:val="22"/>
        </w:rPr>
        <w:t>which</w:t>
      </w:r>
      <w:r w:rsidR="00C11D26" w:rsidRPr="009A2999">
        <w:rPr>
          <w:rFonts w:ascii="Arial" w:hAnsi="Arial" w:cs="Arial"/>
          <w:sz w:val="22"/>
          <w:szCs w:val="22"/>
        </w:rPr>
        <w:t xml:space="preserve"> is typically too heavily degraded for restoration to be viable (i.e. </w:t>
      </w:r>
      <w:r w:rsidR="008308F4" w:rsidRPr="009A2999">
        <w:rPr>
          <w:rFonts w:ascii="Arial" w:hAnsi="Arial" w:cs="Arial"/>
          <w:sz w:val="22"/>
          <w:szCs w:val="22"/>
        </w:rPr>
        <w:t xml:space="preserve">prohibitive cost </w:t>
      </w:r>
      <w:r w:rsidR="00235729" w:rsidRPr="009A2999">
        <w:rPr>
          <w:rFonts w:ascii="Arial" w:hAnsi="Arial" w:cs="Arial"/>
          <w:sz w:val="22"/>
          <w:szCs w:val="22"/>
        </w:rPr>
        <w:t>and low chance of success</w:t>
      </w:r>
      <w:r w:rsidR="00C11D26" w:rsidRPr="009A2999">
        <w:rPr>
          <w:rFonts w:ascii="Arial" w:hAnsi="Arial" w:cs="Arial"/>
          <w:sz w:val="22"/>
          <w:szCs w:val="22"/>
        </w:rPr>
        <w:t xml:space="preserve"> </w:t>
      </w:r>
      <w:r w:rsidR="00A967F4" w:rsidRPr="009A2999">
        <w:rPr>
          <w:rFonts w:ascii="Arial" w:hAnsi="Arial" w:cs="Arial"/>
          <w:sz w:val="22"/>
          <w:szCs w:val="22"/>
        </w:rPr>
        <w:fldChar w:fldCharType="begin"/>
      </w:r>
      <w:r w:rsidR="00A967F4" w:rsidRPr="009A2999">
        <w:rPr>
          <w:rFonts w:ascii="Arial" w:hAnsi="Arial" w:cs="Arial"/>
          <w:sz w:val="22"/>
          <w:szCs w:val="22"/>
        </w:rPr>
        <w:instrText xml:space="preserve"> ADDIN ZOTERO_ITEM CSL_CITATION {"citationID":"IXXOfMqW","properties":{"unsorted":false,"formattedCitation":"(Banin et al., 2023; Budiharta et al., 2014)","plainCitation":"(Banin et al., 2023; Budiharta et al., 2014)","noteIndex":0},"citationItems":[{"id":295,"uris":["http://zotero.org/users/8201370/items/8VD7DIZT"],"itemData":{"id":295,"type":"article-journal","abstract":"Current policy is driving renewed impetus to restore forests to return ecological function, protect species, sequester carbon and secure livelihoods. Here we assess the contribution of tree planting to ecosystem restoration in tropical and sub-tropical Asia; we synthesize evidence on mortality and growth of planted trees at 176 sites and assess structural and biodiversity recovery of co-located actively restored and naturally regenerating forest plots. Mean mortality of planted trees was 18% 1 year after planting, increasing to 44% after 5 years. Mortality varied strongly by site and was typically\n              ca\n              20% higher in open areas than degraded forest, with height at planting positively affecting survival. Size-standardized growth rates were negatively related to species-level wood density in degraded forest and plantations enrichment settings. Based on community-level data from 11 landscapes, active restoration resulted in faster accumulation of tree basal area and structural properties were closer to old-growth reference sites, relative to natural regeneration, but tree species richness did not differ. High variability in outcomes across sites indicates that planting for restoration is potentially rewarding but risky and context-dependent. Restoration projects must prepare for and manage commonly occurring challenges and align with efforts to protect and reconnect remaining forest areas.\n            \n            The abstract of this article is available in Bahasa Indonesia in the electronic supplementary material.\n            This article is part of the theme issue ‘Understanding forest landscape restoration: reinforcing scientific foundations for the UN Decade on Ecosystem Restoration’.","container-title":"Philosophical Transactions of the Royal Society B: Biological Sciences","DOI":"10.1098/rstb.2021.0090","ISSN":"0962-8436, 1471-2970","issue":"1867","journalAbbreviation":"Phil. Trans. R. Soc. B","language":"en","page":"20210090","source":"DOI.org (Crossref)","title":"The road to recovery: a synthesis of outcomes from ecosystem restoration in tropical and sub-tropical Asian forests","title-short":"The road to recovery","URL":"https://royalsocietypublishing.org/doi/10.1098/rstb.2021.0090","volume":"378","author":[{"family":"Banin","given":"Lindsay F."},{"family":"Raine","given":"Elizabeth H."},{"family":"Rowland","given":"Lucy M."},{"family":"Chazdon","given":"Robin L."},{"family":"Smith","given":"Stuart W."},{"family":"Rahman","given":"Nur Estya Binte"},{"family":"Butler","given":"Adam"},{"family":"Philipson","given":"Christopher"},{"family":"Applegate","given":"Grahame G."},{"family":"Axelsson","given":"E. Petter"},{"family":"Budiharta","given":"Sugeng"},{"family":"Chua","given":"Siew Chin"},{"family":"Cutler","given":"Mark E. J."},{"family":"Elliott","given":"Stephen"},{"family":"Gemita","given":"Elva"},{"family":"Godoong","given":"Elia"},{"family":"Graham","given":"Laura L. B."},{"family":"Hayward","given":"Robin M."},{"family":"Hector","given":"Andy"},{"family":"Ilstedt","given":"Ulrik"},{"family":"Jensen","given":"Joel"},{"family":"Kasinathan","given":"Srinivasan"},{"family":"Kettle","given":"Christopher J."},{"family":"Lussetti","given":"Daniel"},{"family":"Manohan","given":"Benjapan"},{"family":"Maycock","given":"Colin"},{"family":"Ngo","given":"Kang Min"},{"family":"O'Brien","given":"Michael J."},{"family":"Osuri","given":"Anand M."},{"family":"Reynolds","given":"Glen"},{"family":"Sauwai","given":"Yap"},{"family":"Scheu","given":"Stefan"},{"family":"Silalahi","given":"Mangarah"},{"family":"Slade","given":"Eleanor M."},{"family":"Swinfield","given":"Tom"},{"family":"Wardle","given":"David A."},{"family":"Wheeler","given":"Charlotte"},{"family":"Yeong","given":"Kok Loong"},{"family":"Burslem","given":"David F. R. P."}],"accessed":{"date-parts":[["2024",11,19]]},"issued":{"date-parts":[["2023",1,2]]}}},{"id":20,"uris":["http://zotero.org/users/8201370/items/NXHAP5FY"],"itemData":{"id":20,"type":"article-journal","container-title":"Environmental Research Letters","DOI":"10.1088/1748-9326/9/11/114020","ISSN":"1748-9326","issue":"11","journalAbbreviation":"Environ. Res. Lett.","license":"http://iopscience.iop.org/info/page/text-and-data-mining","page":"114020","source":"DOI.org (Crossref)","title":"Restoring degraded tropical forests for carbon and biodiversity","URL":"https://iopscience.iop.org/article/10.1088/1748-9326/9/11/114020","volume":"9","author":[{"family":"Budiharta","given":"Sugeng"},{"family":"Meijaard","given":"Erik"},{"family":"Erskine","given":"Peter D"},{"family":"Rondinini","given":"Carlo"},{"family":"Pacifici","given":"Michela"},{"family":"Wilson","given":"Kerrie A"}],"accessed":{"date-parts":[["2024",4,2]]},"issued":{"date-parts":[["2014",11,1]]}}}],"schema":"https://github.com/citation-style-language/schema/raw/master/csl-citation.json"} </w:instrText>
      </w:r>
      <w:r w:rsidR="00A967F4" w:rsidRPr="009A2999">
        <w:rPr>
          <w:rFonts w:ascii="Arial" w:hAnsi="Arial" w:cs="Arial"/>
          <w:sz w:val="22"/>
          <w:szCs w:val="22"/>
        </w:rPr>
        <w:fldChar w:fldCharType="separate"/>
      </w:r>
      <w:r w:rsidR="00A967F4" w:rsidRPr="009A2999">
        <w:rPr>
          <w:rFonts w:ascii="Arial" w:hAnsi="Arial" w:cs="Arial"/>
          <w:sz w:val="22"/>
          <w:szCs w:val="22"/>
        </w:rPr>
        <w:t>(Banin et al., 2023; Budiharta et al., 2014)</w:t>
      </w:r>
      <w:r w:rsidR="00A967F4" w:rsidRPr="009A2999">
        <w:rPr>
          <w:rFonts w:ascii="Arial" w:hAnsi="Arial" w:cs="Arial"/>
          <w:sz w:val="22"/>
          <w:szCs w:val="22"/>
        </w:rPr>
        <w:fldChar w:fldCharType="end"/>
      </w:r>
      <w:r w:rsidR="00312BCC" w:rsidRPr="009A2999">
        <w:rPr>
          <w:rFonts w:ascii="Arial" w:hAnsi="Arial" w:cs="Arial"/>
          <w:sz w:val="22"/>
          <w:szCs w:val="22"/>
        </w:rPr>
        <w:t>.</w:t>
      </w:r>
    </w:p>
    <w:p w14:paraId="74AA4931" w14:textId="3C2FFBEE" w:rsidR="00816593" w:rsidRDefault="00816593" w:rsidP="005370AC">
      <w:pPr>
        <w:spacing w:after="240" w:line="360" w:lineRule="auto"/>
        <w:ind w:firstLine="360"/>
        <w:rPr>
          <w:rFonts w:ascii="Arial" w:hAnsi="Arial" w:cs="Arial"/>
          <w:sz w:val="22"/>
          <w:szCs w:val="22"/>
        </w:rPr>
      </w:pPr>
      <w:r w:rsidRPr="009A2999">
        <w:rPr>
          <w:rFonts w:ascii="Arial" w:hAnsi="Arial" w:cs="Arial"/>
          <w:sz w:val="22"/>
          <w:szCs w:val="22"/>
        </w:rPr>
        <w:t xml:space="preserve">For example, </w:t>
      </w:r>
      <w:r w:rsidR="006B2609" w:rsidRPr="009A2999">
        <w:rPr>
          <w:rFonts w:ascii="Arial" w:hAnsi="Arial" w:cs="Arial"/>
          <w:sz w:val="22"/>
          <w:szCs w:val="22"/>
        </w:rPr>
        <w:t xml:space="preserve">Site A, </w:t>
      </w:r>
      <w:r w:rsidRPr="009A2999">
        <w:rPr>
          <w:rFonts w:ascii="Arial" w:hAnsi="Arial" w:cs="Arial"/>
          <w:sz w:val="22"/>
          <w:szCs w:val="22"/>
        </w:rPr>
        <w:t xml:space="preserve">a </w:t>
      </w:r>
      <w:r w:rsidR="005E2DBB" w:rsidRPr="009A2999">
        <w:rPr>
          <w:rFonts w:ascii="Arial" w:hAnsi="Arial" w:cs="Arial"/>
          <w:sz w:val="22"/>
          <w:szCs w:val="22"/>
        </w:rPr>
        <w:t xml:space="preserve">montane </w:t>
      </w:r>
      <w:r w:rsidRPr="009A2999">
        <w:rPr>
          <w:rFonts w:ascii="Arial" w:hAnsi="Arial" w:cs="Arial"/>
          <w:sz w:val="22"/>
          <w:szCs w:val="22"/>
        </w:rPr>
        <w:t>area</w:t>
      </w:r>
      <w:r w:rsidR="006B2609" w:rsidRPr="009A2999">
        <w:rPr>
          <w:rFonts w:ascii="Arial" w:hAnsi="Arial" w:cs="Arial"/>
          <w:sz w:val="22"/>
          <w:szCs w:val="22"/>
        </w:rPr>
        <w:t xml:space="preserve"> </w:t>
      </w:r>
      <w:r w:rsidRPr="009A2999">
        <w:rPr>
          <w:rFonts w:ascii="Arial" w:hAnsi="Arial" w:cs="Arial"/>
          <w:sz w:val="22"/>
          <w:szCs w:val="22"/>
        </w:rPr>
        <w:t xml:space="preserve">in </w:t>
      </w:r>
      <w:r w:rsidR="005E2DBB" w:rsidRPr="009A2999">
        <w:rPr>
          <w:rFonts w:ascii="Arial" w:hAnsi="Arial" w:cs="Arial"/>
          <w:sz w:val="22"/>
          <w:szCs w:val="22"/>
        </w:rPr>
        <w:t xml:space="preserve">Bengkulu </w:t>
      </w:r>
      <w:r w:rsidR="00880360" w:rsidRPr="009A2999">
        <w:rPr>
          <w:rFonts w:ascii="Arial" w:hAnsi="Arial" w:cs="Arial"/>
          <w:sz w:val="22"/>
          <w:szCs w:val="22"/>
        </w:rPr>
        <w:t xml:space="preserve">province </w:t>
      </w:r>
      <w:r w:rsidRPr="009A2999">
        <w:rPr>
          <w:rFonts w:ascii="Arial" w:hAnsi="Arial" w:cs="Arial"/>
          <w:sz w:val="22"/>
          <w:szCs w:val="22"/>
        </w:rPr>
        <w:t xml:space="preserve">having </w:t>
      </w:r>
      <w:r w:rsidR="005E2DBB" w:rsidRPr="009A2999">
        <w:rPr>
          <w:rFonts w:ascii="Arial" w:hAnsi="Arial" w:cs="Arial"/>
          <w:sz w:val="22"/>
          <w:szCs w:val="22"/>
        </w:rPr>
        <w:t>a biomass of 150 t</w:t>
      </w:r>
      <w:r w:rsidR="00C11D26" w:rsidRPr="009A2999">
        <w:rPr>
          <w:rFonts w:ascii="Arial" w:hAnsi="Arial" w:cs="Arial"/>
          <w:sz w:val="22"/>
          <w:szCs w:val="22"/>
        </w:rPr>
        <w:t xml:space="preserve"> ha</w:t>
      </w:r>
      <w:r w:rsidR="00C11D26" w:rsidRPr="009A2999">
        <w:rPr>
          <w:rFonts w:ascii="Arial" w:hAnsi="Arial" w:cs="Arial"/>
          <w:sz w:val="22"/>
          <w:szCs w:val="22"/>
          <w:vertAlign w:val="superscript"/>
        </w:rPr>
        <w:t>-1</w:t>
      </w:r>
      <w:r w:rsidR="005E2DBB" w:rsidRPr="009A2999">
        <w:rPr>
          <w:rFonts w:ascii="Arial" w:hAnsi="Arial" w:cs="Arial"/>
          <w:sz w:val="22"/>
          <w:szCs w:val="22"/>
        </w:rPr>
        <w:t xml:space="preserve"> c</w:t>
      </w:r>
      <w:r w:rsidR="006B2609" w:rsidRPr="009A2999">
        <w:rPr>
          <w:rFonts w:ascii="Arial" w:hAnsi="Arial" w:cs="Arial"/>
          <w:sz w:val="22"/>
          <w:szCs w:val="22"/>
        </w:rPr>
        <w:t>ould</w:t>
      </w:r>
      <w:r w:rsidR="005E2DBB" w:rsidRPr="009A2999">
        <w:rPr>
          <w:rFonts w:ascii="Arial" w:hAnsi="Arial" w:cs="Arial"/>
          <w:sz w:val="22"/>
          <w:szCs w:val="22"/>
        </w:rPr>
        <w:t xml:space="preserve"> </w:t>
      </w:r>
      <w:r w:rsidR="00D72A06" w:rsidRPr="009A2999">
        <w:rPr>
          <w:rFonts w:ascii="Arial" w:hAnsi="Arial" w:cs="Arial"/>
          <w:sz w:val="22"/>
          <w:szCs w:val="22"/>
        </w:rPr>
        <w:t>be restored to a</w:t>
      </w:r>
      <w:r w:rsidR="005E2DBB" w:rsidRPr="009A2999">
        <w:rPr>
          <w:rFonts w:ascii="Arial" w:hAnsi="Arial" w:cs="Arial"/>
          <w:sz w:val="22"/>
          <w:szCs w:val="22"/>
        </w:rPr>
        <w:t xml:space="preserve"> maximum biomass of 331 t</w:t>
      </w:r>
      <w:r w:rsidR="00C11D26" w:rsidRPr="009A2999">
        <w:rPr>
          <w:rFonts w:ascii="Arial" w:hAnsi="Arial" w:cs="Arial"/>
          <w:sz w:val="22"/>
          <w:szCs w:val="22"/>
        </w:rPr>
        <w:t xml:space="preserve"> ha</w:t>
      </w:r>
      <w:r w:rsidR="00C11D26" w:rsidRPr="009A2999">
        <w:rPr>
          <w:rFonts w:ascii="Arial" w:hAnsi="Arial" w:cs="Arial"/>
          <w:sz w:val="22"/>
          <w:szCs w:val="22"/>
          <w:vertAlign w:val="superscript"/>
        </w:rPr>
        <w:t>-1</w:t>
      </w:r>
      <w:r w:rsidR="00C64585" w:rsidRPr="009A2999">
        <w:rPr>
          <w:rFonts w:ascii="Arial" w:hAnsi="Arial" w:cs="Arial"/>
          <w:sz w:val="22"/>
          <w:szCs w:val="22"/>
        </w:rPr>
        <w:t xml:space="preserve"> (Fig. S1)</w:t>
      </w:r>
      <w:r w:rsidR="005E2DBB" w:rsidRPr="009A2999">
        <w:rPr>
          <w:rFonts w:ascii="Arial" w:hAnsi="Arial" w:cs="Arial"/>
          <w:sz w:val="22"/>
          <w:szCs w:val="22"/>
        </w:rPr>
        <w:t xml:space="preserve">, therefore </w:t>
      </w:r>
      <w:r w:rsidR="00D72A06" w:rsidRPr="009A2999">
        <w:rPr>
          <w:rFonts w:ascii="Arial" w:hAnsi="Arial" w:cs="Arial"/>
          <w:sz w:val="22"/>
          <w:szCs w:val="22"/>
        </w:rPr>
        <w:t>restoration potential</w:t>
      </w:r>
      <w:r w:rsidR="006B2609" w:rsidRPr="009A2999">
        <w:rPr>
          <w:rFonts w:ascii="Arial" w:hAnsi="Arial" w:cs="Arial"/>
          <w:sz w:val="22"/>
          <w:szCs w:val="22"/>
        </w:rPr>
        <w:t xml:space="preserve"> of site A</w:t>
      </w:r>
      <w:r w:rsidR="005E2DBB" w:rsidRPr="009A2999">
        <w:rPr>
          <w:rFonts w:ascii="Arial" w:hAnsi="Arial" w:cs="Arial"/>
          <w:sz w:val="22"/>
          <w:szCs w:val="22"/>
        </w:rPr>
        <w:t xml:space="preserve"> is </w:t>
      </w:r>
      <m:oMath>
        <m:f>
          <m:fPr>
            <m:ctrlPr>
              <w:rPr>
                <w:rFonts w:ascii="Cambria Math" w:hAnsi="Cambria Math" w:cs="Arial"/>
                <w:i/>
                <w:sz w:val="22"/>
                <w:szCs w:val="22"/>
              </w:rPr>
            </m:ctrlPr>
          </m:fPr>
          <m:num>
            <m:r>
              <w:rPr>
                <w:rFonts w:ascii="Cambria Math" w:hAnsi="Cambria Math" w:cs="Arial"/>
                <w:sz w:val="22"/>
                <w:szCs w:val="22"/>
              </w:rPr>
              <m:t>331-150</m:t>
            </m:r>
          </m:num>
          <m:den>
            <m:r>
              <w:rPr>
                <w:rFonts w:ascii="Cambria Math" w:hAnsi="Cambria Math" w:cs="Arial"/>
                <w:sz w:val="22"/>
                <w:szCs w:val="22"/>
              </w:rPr>
              <m:t>331</m:t>
            </m:r>
          </m:den>
        </m:f>
        <m:r>
          <w:rPr>
            <w:rFonts w:ascii="Cambria Math" w:hAnsi="Cambria Math" w:cs="Arial"/>
            <w:sz w:val="22"/>
            <w:szCs w:val="22"/>
          </w:rPr>
          <m:t>=0.54</m:t>
        </m:r>
      </m:oMath>
      <w:r w:rsidR="00D72A06" w:rsidRPr="009A2999">
        <w:rPr>
          <w:rFonts w:ascii="Arial" w:eastAsiaTheme="minorEastAsia" w:hAnsi="Arial" w:cs="Arial"/>
          <w:sz w:val="22"/>
          <w:szCs w:val="22"/>
        </w:rPr>
        <w:t xml:space="preserve">. </w:t>
      </w:r>
      <w:r w:rsidR="00D72A06" w:rsidRPr="009A2999">
        <w:rPr>
          <w:rFonts w:ascii="Arial" w:hAnsi="Arial" w:cs="Arial"/>
          <w:sz w:val="22"/>
          <w:szCs w:val="22"/>
        </w:rPr>
        <w:t>We calculated proportional, instead of</w:t>
      </w:r>
      <w:r w:rsidR="00C6585A" w:rsidRPr="009A2999">
        <w:rPr>
          <w:rFonts w:ascii="Arial" w:hAnsi="Arial" w:cs="Arial"/>
          <w:sz w:val="22"/>
          <w:szCs w:val="22"/>
        </w:rPr>
        <w:t xml:space="preserve"> absolute potential </w:t>
      </w:r>
      <w:r w:rsidR="00D72A06" w:rsidRPr="009A2999">
        <w:rPr>
          <w:rFonts w:ascii="Arial" w:hAnsi="Arial" w:cs="Arial"/>
          <w:sz w:val="22"/>
          <w:szCs w:val="22"/>
        </w:rPr>
        <w:t>to account for</w:t>
      </w:r>
      <w:r w:rsidR="006B2609" w:rsidRPr="009A2999">
        <w:rPr>
          <w:rFonts w:ascii="Arial" w:hAnsi="Arial" w:cs="Arial"/>
          <w:sz w:val="22"/>
          <w:szCs w:val="22"/>
        </w:rPr>
        <w:t xml:space="preserve"> differences in absolute maxima</w:t>
      </w:r>
      <w:r w:rsidR="00D72A06" w:rsidRPr="009A2999">
        <w:rPr>
          <w:rFonts w:ascii="Arial" w:hAnsi="Arial" w:cs="Arial"/>
          <w:sz w:val="22"/>
          <w:szCs w:val="22"/>
        </w:rPr>
        <w:t xml:space="preserve"> </w:t>
      </w:r>
      <w:r w:rsidR="006B2609" w:rsidRPr="009A2999">
        <w:rPr>
          <w:rFonts w:ascii="Arial" w:hAnsi="Arial" w:cs="Arial"/>
          <w:sz w:val="22"/>
          <w:szCs w:val="22"/>
        </w:rPr>
        <w:t xml:space="preserve">between landforms. Absolute </w:t>
      </w:r>
      <w:r w:rsidR="00346F09" w:rsidRPr="009A2999">
        <w:rPr>
          <w:rFonts w:ascii="Arial" w:hAnsi="Arial" w:cs="Arial"/>
          <w:sz w:val="22"/>
          <w:szCs w:val="22"/>
        </w:rPr>
        <w:t xml:space="preserve">restoration </w:t>
      </w:r>
      <w:r w:rsidR="006B2609" w:rsidRPr="009A2999">
        <w:rPr>
          <w:rFonts w:ascii="Arial" w:hAnsi="Arial" w:cs="Arial"/>
          <w:sz w:val="22"/>
          <w:szCs w:val="22"/>
        </w:rPr>
        <w:t xml:space="preserve">potential for site A </w:t>
      </w:r>
      <w:r w:rsidR="00C64585" w:rsidRPr="009A2999">
        <w:rPr>
          <w:rFonts w:ascii="Arial" w:hAnsi="Arial" w:cs="Arial"/>
          <w:sz w:val="22"/>
          <w:szCs w:val="22"/>
        </w:rPr>
        <w:t xml:space="preserve">would be </w:t>
      </w:r>
      <m:oMath>
        <m:r>
          <w:rPr>
            <w:rFonts w:ascii="Cambria Math" w:hAnsi="Cambria Math" w:cs="Arial"/>
            <w:sz w:val="22"/>
            <w:szCs w:val="22"/>
          </w:rPr>
          <m:t>331-150=181 t/ha</m:t>
        </m:r>
      </m:oMath>
      <w:r w:rsidR="005E2DBB" w:rsidRPr="009A2999">
        <w:rPr>
          <w:rFonts w:ascii="Arial" w:hAnsi="Arial" w:cs="Arial"/>
          <w:sz w:val="22"/>
          <w:szCs w:val="22"/>
        </w:rPr>
        <w:t>.</w:t>
      </w:r>
      <w:r w:rsidR="00C64585" w:rsidRPr="009A2999">
        <w:rPr>
          <w:rFonts w:ascii="Arial" w:hAnsi="Arial" w:cs="Arial"/>
          <w:sz w:val="22"/>
          <w:szCs w:val="22"/>
        </w:rPr>
        <w:t xml:space="preserve"> Comparing this to </w:t>
      </w:r>
      <w:r w:rsidR="006B2609" w:rsidRPr="009A2999">
        <w:rPr>
          <w:rFonts w:ascii="Arial" w:hAnsi="Arial" w:cs="Arial"/>
          <w:sz w:val="22"/>
          <w:szCs w:val="22"/>
        </w:rPr>
        <w:t xml:space="preserve">Site B, </w:t>
      </w:r>
      <w:r w:rsidR="00C64585" w:rsidRPr="009A2999">
        <w:rPr>
          <w:rFonts w:ascii="Arial" w:hAnsi="Arial" w:cs="Arial"/>
          <w:sz w:val="22"/>
          <w:szCs w:val="22"/>
        </w:rPr>
        <w:t>a wetland area in Bengkulu</w:t>
      </w:r>
      <w:r w:rsidR="005E2DBB" w:rsidRPr="009A2999">
        <w:rPr>
          <w:rFonts w:ascii="Arial" w:hAnsi="Arial" w:cs="Arial"/>
          <w:sz w:val="22"/>
          <w:szCs w:val="22"/>
        </w:rPr>
        <w:t xml:space="preserve"> </w:t>
      </w:r>
      <w:r w:rsidR="00C64585" w:rsidRPr="009A2999">
        <w:rPr>
          <w:rFonts w:ascii="Arial" w:hAnsi="Arial" w:cs="Arial"/>
          <w:sz w:val="22"/>
          <w:szCs w:val="22"/>
        </w:rPr>
        <w:t xml:space="preserve">having a biomass of 110 t/ha where the maximum biomass is 238 t/ha (Fig. S1), </w:t>
      </w:r>
      <w:r w:rsidR="00C64585" w:rsidRPr="009A2999">
        <w:rPr>
          <w:rFonts w:ascii="Arial" w:hAnsi="Arial" w:cs="Arial"/>
          <w:sz w:val="22"/>
          <w:szCs w:val="22"/>
        </w:rPr>
        <w:lastRenderedPageBreak/>
        <w:t xml:space="preserve">proportional potential </w:t>
      </w:r>
      <w:r w:rsidR="00C6585A" w:rsidRPr="009A2999">
        <w:rPr>
          <w:rFonts w:ascii="Arial" w:hAnsi="Arial" w:cs="Arial"/>
          <w:sz w:val="22"/>
          <w:szCs w:val="22"/>
        </w:rPr>
        <w:t xml:space="preserve">here </w:t>
      </w:r>
      <w:r w:rsidR="00C64585" w:rsidRPr="009A2999">
        <w:rPr>
          <w:rFonts w:ascii="Arial" w:hAnsi="Arial" w:cs="Arial"/>
          <w:sz w:val="22"/>
          <w:szCs w:val="22"/>
        </w:rPr>
        <w:t xml:space="preserve">is </w:t>
      </w:r>
      <m:oMath>
        <m:f>
          <m:fPr>
            <m:ctrlPr>
              <w:rPr>
                <w:rFonts w:ascii="Cambria Math" w:hAnsi="Cambria Math" w:cs="Arial"/>
                <w:i/>
                <w:sz w:val="22"/>
                <w:szCs w:val="22"/>
              </w:rPr>
            </m:ctrlPr>
          </m:fPr>
          <m:num>
            <m:r>
              <w:rPr>
                <w:rFonts w:ascii="Cambria Math" w:hAnsi="Cambria Math" w:cs="Arial"/>
                <w:sz w:val="22"/>
                <w:szCs w:val="22"/>
              </w:rPr>
              <m:t>238-110</m:t>
            </m:r>
          </m:num>
          <m:den>
            <m:r>
              <w:rPr>
                <w:rFonts w:ascii="Cambria Math" w:hAnsi="Cambria Math" w:cs="Arial"/>
                <w:sz w:val="22"/>
                <w:szCs w:val="22"/>
              </w:rPr>
              <m:t>238</m:t>
            </m:r>
          </m:den>
        </m:f>
        <m:r>
          <w:rPr>
            <w:rFonts w:ascii="Cambria Math" w:hAnsi="Cambria Math" w:cs="Arial"/>
            <w:sz w:val="22"/>
            <w:szCs w:val="22"/>
          </w:rPr>
          <m:t>=0.54</m:t>
        </m:r>
      </m:oMath>
      <w:r w:rsidR="00C6585A" w:rsidRPr="009A2999">
        <w:rPr>
          <w:rFonts w:ascii="Arial" w:eastAsiaTheme="minorEastAsia" w:hAnsi="Arial" w:cs="Arial"/>
          <w:sz w:val="22"/>
          <w:szCs w:val="22"/>
        </w:rPr>
        <w:t xml:space="preserve"> whereas </w:t>
      </w:r>
      <w:r w:rsidR="00C6585A" w:rsidRPr="009A2999">
        <w:rPr>
          <w:rFonts w:ascii="Arial" w:hAnsi="Arial" w:cs="Arial"/>
          <w:sz w:val="22"/>
          <w:szCs w:val="22"/>
        </w:rPr>
        <w:t xml:space="preserve">absolute potential would be </w:t>
      </w:r>
      <m:oMath>
        <m:r>
          <w:rPr>
            <w:rFonts w:ascii="Cambria Math" w:hAnsi="Cambria Math" w:cs="Arial"/>
            <w:sz w:val="22"/>
            <w:szCs w:val="22"/>
          </w:rPr>
          <m:t>238-110=128 t/ha</m:t>
        </m:r>
      </m:oMath>
      <w:r w:rsidR="00C6585A" w:rsidRPr="009A2999">
        <w:rPr>
          <w:rFonts w:ascii="Arial" w:hAnsi="Arial" w:cs="Arial"/>
          <w:sz w:val="22"/>
          <w:szCs w:val="22"/>
        </w:rPr>
        <w:t xml:space="preserve">. Although both areas have the same proportional potential, </w:t>
      </w:r>
      <w:r w:rsidR="00346F09" w:rsidRPr="009A2999">
        <w:rPr>
          <w:rFonts w:ascii="Arial" w:hAnsi="Arial" w:cs="Arial"/>
          <w:sz w:val="22"/>
          <w:szCs w:val="22"/>
        </w:rPr>
        <w:t>site A</w:t>
      </w:r>
      <w:r w:rsidR="00C6585A" w:rsidRPr="009A2999">
        <w:rPr>
          <w:rFonts w:ascii="Arial" w:hAnsi="Arial" w:cs="Arial"/>
          <w:sz w:val="22"/>
          <w:szCs w:val="22"/>
        </w:rPr>
        <w:t xml:space="preserve"> </w:t>
      </w:r>
      <w:r w:rsidR="00346F09" w:rsidRPr="009A2999">
        <w:rPr>
          <w:rFonts w:ascii="Arial" w:hAnsi="Arial" w:cs="Arial"/>
          <w:sz w:val="22"/>
          <w:szCs w:val="22"/>
        </w:rPr>
        <w:t xml:space="preserve">has </w:t>
      </w:r>
      <w:r w:rsidR="00C6585A" w:rsidRPr="009A2999">
        <w:rPr>
          <w:rFonts w:ascii="Arial" w:hAnsi="Arial" w:cs="Arial"/>
          <w:sz w:val="22"/>
          <w:szCs w:val="22"/>
        </w:rPr>
        <w:t>a higher absolute potential. To avoid creating a bias in the prioritisation analysis against selecting areas with low absolute maxima (e.g. wetlands in Bengkulu), we use</w:t>
      </w:r>
      <w:r w:rsidR="006745B4" w:rsidRPr="009A2999">
        <w:rPr>
          <w:rFonts w:ascii="Arial" w:hAnsi="Arial" w:cs="Arial"/>
          <w:sz w:val="22"/>
          <w:szCs w:val="22"/>
        </w:rPr>
        <w:t>d</w:t>
      </w:r>
      <w:r w:rsidR="00C6585A" w:rsidRPr="009A2999">
        <w:rPr>
          <w:rFonts w:ascii="Arial" w:hAnsi="Arial" w:cs="Arial"/>
          <w:sz w:val="22"/>
          <w:szCs w:val="22"/>
        </w:rPr>
        <w:t xml:space="preserve"> proportional </w:t>
      </w:r>
      <w:r w:rsidR="00213258" w:rsidRPr="009A2999">
        <w:rPr>
          <w:rFonts w:ascii="Arial" w:hAnsi="Arial" w:cs="Arial"/>
          <w:sz w:val="22"/>
          <w:szCs w:val="22"/>
        </w:rPr>
        <w:t>potential</w:t>
      </w:r>
      <w:r w:rsidR="006E7F31" w:rsidRPr="009A2999">
        <w:rPr>
          <w:rFonts w:ascii="Arial" w:hAnsi="Arial" w:cs="Arial"/>
          <w:sz w:val="22"/>
          <w:szCs w:val="22"/>
        </w:rPr>
        <w:t xml:space="preserve"> as the </w:t>
      </w:r>
      <w:r w:rsidR="00B16D3D" w:rsidRPr="009A2999">
        <w:rPr>
          <w:rFonts w:ascii="Arial" w:hAnsi="Arial" w:cs="Arial"/>
          <w:sz w:val="22"/>
          <w:szCs w:val="22"/>
        </w:rPr>
        <w:t xml:space="preserve">forest restoration </w:t>
      </w:r>
      <w:r w:rsidR="006E7F31" w:rsidRPr="009A2999">
        <w:rPr>
          <w:rFonts w:ascii="Arial" w:hAnsi="Arial" w:cs="Arial"/>
          <w:sz w:val="22"/>
          <w:szCs w:val="22"/>
        </w:rPr>
        <w:t>conservation feature</w:t>
      </w:r>
      <w:r w:rsidR="00213258" w:rsidRPr="009A2999">
        <w:rPr>
          <w:rFonts w:ascii="Arial" w:hAnsi="Arial" w:cs="Arial"/>
          <w:sz w:val="22"/>
          <w:szCs w:val="22"/>
        </w:rPr>
        <w:t>.</w:t>
      </w:r>
    </w:p>
    <w:p w14:paraId="61197957" w14:textId="77777777" w:rsidR="00532DD1" w:rsidRPr="009A2999" w:rsidRDefault="00532DD1" w:rsidP="005370AC">
      <w:pPr>
        <w:spacing w:after="240" w:line="360" w:lineRule="auto"/>
        <w:rPr>
          <w:rFonts w:ascii="Arial" w:hAnsi="Arial" w:cs="Arial"/>
          <w:sz w:val="22"/>
          <w:szCs w:val="22"/>
        </w:rPr>
      </w:pPr>
    </w:p>
    <w:p w14:paraId="01CFE93F" w14:textId="1941D33D" w:rsidR="008C21B1" w:rsidRPr="00532DD1" w:rsidRDefault="008C21B1" w:rsidP="005370AC">
      <w:pPr>
        <w:pStyle w:val="Heading2"/>
        <w:numPr>
          <w:ilvl w:val="0"/>
          <w:numId w:val="0"/>
        </w:numPr>
        <w:spacing w:before="0" w:after="240" w:line="360" w:lineRule="auto"/>
        <w:ind w:left="792" w:hanging="432"/>
        <w:rPr>
          <w:rFonts w:ascii="Arial" w:hAnsi="Arial" w:cs="Arial"/>
          <w:b/>
          <w:bCs/>
          <w:sz w:val="22"/>
          <w:szCs w:val="22"/>
        </w:rPr>
      </w:pPr>
      <w:r w:rsidRPr="00532DD1">
        <w:rPr>
          <w:rFonts w:ascii="Arial" w:hAnsi="Arial" w:cs="Arial"/>
          <w:b/>
          <w:bCs/>
          <w:sz w:val="22"/>
          <w:szCs w:val="22"/>
        </w:rPr>
        <w:t>1.3 Sensitivity analysis of biomass thresholds on prioritisation solutions</w:t>
      </w:r>
    </w:p>
    <w:p w14:paraId="47F8115D" w14:textId="16244C43" w:rsidR="00C11D26" w:rsidRPr="009A2999" w:rsidRDefault="001970C5" w:rsidP="005370AC">
      <w:pPr>
        <w:spacing w:after="240" w:line="360" w:lineRule="auto"/>
        <w:rPr>
          <w:rFonts w:ascii="Arial" w:hAnsi="Arial" w:cs="Arial"/>
          <w:sz w:val="22"/>
          <w:szCs w:val="22"/>
        </w:rPr>
      </w:pPr>
      <w:r w:rsidRPr="009A2999">
        <w:rPr>
          <w:rFonts w:ascii="Arial" w:hAnsi="Arial" w:cs="Arial"/>
          <w:sz w:val="22"/>
          <w:szCs w:val="22"/>
        </w:rPr>
        <w:t>We ran a sensitivity analysis</w:t>
      </w:r>
      <w:r w:rsidR="0039663A" w:rsidRPr="009A2999">
        <w:rPr>
          <w:rFonts w:ascii="Arial" w:hAnsi="Arial" w:cs="Arial"/>
          <w:sz w:val="22"/>
          <w:szCs w:val="22"/>
        </w:rPr>
        <w:t xml:space="preserve"> </w:t>
      </w:r>
      <w:r w:rsidRPr="009A2999">
        <w:rPr>
          <w:rFonts w:ascii="Arial" w:hAnsi="Arial" w:cs="Arial"/>
          <w:sz w:val="22"/>
          <w:szCs w:val="22"/>
        </w:rPr>
        <w:t xml:space="preserve">to </w:t>
      </w:r>
      <w:r w:rsidR="00EC0214" w:rsidRPr="009A2999">
        <w:rPr>
          <w:rFonts w:ascii="Arial" w:hAnsi="Arial" w:cs="Arial"/>
          <w:sz w:val="22"/>
          <w:szCs w:val="22"/>
        </w:rPr>
        <w:t xml:space="preserve">test </w:t>
      </w:r>
      <w:r w:rsidR="00F5409D" w:rsidRPr="009A2999">
        <w:rPr>
          <w:rFonts w:ascii="Arial" w:hAnsi="Arial" w:cs="Arial"/>
          <w:sz w:val="22"/>
          <w:szCs w:val="22"/>
        </w:rPr>
        <w:t>five</w:t>
      </w:r>
      <w:r w:rsidR="00EC0214" w:rsidRPr="009A2999">
        <w:rPr>
          <w:rFonts w:ascii="Arial" w:hAnsi="Arial" w:cs="Arial"/>
          <w:sz w:val="22"/>
          <w:szCs w:val="22"/>
        </w:rPr>
        <w:t xml:space="preserve"> </w:t>
      </w:r>
      <w:r w:rsidR="00C11D26" w:rsidRPr="009A2999">
        <w:rPr>
          <w:rFonts w:ascii="Arial" w:hAnsi="Arial" w:cs="Arial"/>
          <w:sz w:val="22"/>
          <w:szCs w:val="22"/>
        </w:rPr>
        <w:t xml:space="preserve">biomass </w:t>
      </w:r>
      <w:r w:rsidR="00EC0214" w:rsidRPr="009A2999">
        <w:rPr>
          <w:rFonts w:ascii="Arial" w:hAnsi="Arial" w:cs="Arial"/>
          <w:sz w:val="22"/>
          <w:szCs w:val="22"/>
        </w:rPr>
        <w:t>threshold</w:t>
      </w:r>
      <w:r w:rsidR="001B2CFD" w:rsidRPr="009A2999">
        <w:rPr>
          <w:rFonts w:ascii="Arial" w:hAnsi="Arial" w:cs="Arial"/>
          <w:sz w:val="22"/>
          <w:szCs w:val="22"/>
        </w:rPr>
        <w:t xml:space="preserve"> value</w:t>
      </w:r>
      <w:r w:rsidR="00EC0214" w:rsidRPr="009A2999">
        <w:rPr>
          <w:rFonts w:ascii="Arial" w:hAnsi="Arial" w:cs="Arial"/>
          <w:sz w:val="22"/>
          <w:szCs w:val="22"/>
        </w:rPr>
        <w:t xml:space="preserve">s and their </w:t>
      </w:r>
      <w:r w:rsidR="0039663A" w:rsidRPr="009A2999">
        <w:rPr>
          <w:rFonts w:ascii="Arial" w:hAnsi="Arial" w:cs="Arial"/>
          <w:sz w:val="22"/>
          <w:szCs w:val="22"/>
        </w:rPr>
        <w:t xml:space="preserve">impact on the </w:t>
      </w:r>
      <w:r w:rsidR="006745B4" w:rsidRPr="009A2999">
        <w:rPr>
          <w:rFonts w:ascii="Arial" w:hAnsi="Arial" w:cs="Arial"/>
          <w:sz w:val="22"/>
          <w:szCs w:val="22"/>
        </w:rPr>
        <w:t>prioritisation solution</w:t>
      </w:r>
      <w:r w:rsidR="00EC0214" w:rsidRPr="009A2999">
        <w:rPr>
          <w:rFonts w:ascii="Arial" w:hAnsi="Arial" w:cs="Arial"/>
          <w:sz w:val="22"/>
          <w:szCs w:val="22"/>
        </w:rPr>
        <w:t>s (Fig. S2</w:t>
      </w:r>
      <w:r w:rsidR="00D91A69">
        <w:rPr>
          <w:rFonts w:ascii="Arial" w:hAnsi="Arial" w:cs="Arial"/>
          <w:sz w:val="22"/>
          <w:szCs w:val="22"/>
        </w:rPr>
        <w:t>; S3</w:t>
      </w:r>
      <w:r w:rsidR="00EC0214" w:rsidRPr="009A2999">
        <w:rPr>
          <w:rFonts w:ascii="Arial" w:hAnsi="Arial" w:cs="Arial"/>
          <w:sz w:val="22"/>
          <w:szCs w:val="22"/>
        </w:rPr>
        <w:t>)</w:t>
      </w:r>
      <w:r w:rsidR="00C11D26" w:rsidRPr="009A2999">
        <w:rPr>
          <w:rFonts w:ascii="Arial" w:hAnsi="Arial" w:cs="Arial"/>
          <w:sz w:val="22"/>
          <w:szCs w:val="22"/>
        </w:rPr>
        <w:t>:</w:t>
      </w:r>
      <w:r w:rsidR="0039663A" w:rsidRPr="009A2999">
        <w:rPr>
          <w:rFonts w:ascii="Arial" w:hAnsi="Arial" w:cs="Arial"/>
          <w:sz w:val="22"/>
          <w:szCs w:val="22"/>
        </w:rPr>
        <w:t xml:space="preserve"> </w:t>
      </w:r>
    </w:p>
    <w:p w14:paraId="782D4966" w14:textId="6A59FAEF" w:rsidR="00C11D26" w:rsidRPr="009A2999" w:rsidRDefault="00C11D26" w:rsidP="005370AC">
      <w:pPr>
        <w:pStyle w:val="ListParagraph"/>
        <w:numPr>
          <w:ilvl w:val="0"/>
          <w:numId w:val="3"/>
        </w:numPr>
        <w:spacing w:after="240" w:line="360" w:lineRule="auto"/>
        <w:rPr>
          <w:rFonts w:ascii="Arial" w:hAnsi="Arial" w:cs="Arial"/>
          <w:sz w:val="22"/>
          <w:szCs w:val="22"/>
        </w:rPr>
      </w:pPr>
      <w:r w:rsidRPr="009A2999">
        <w:rPr>
          <w:rFonts w:ascii="Arial" w:hAnsi="Arial" w:cs="Arial"/>
          <w:sz w:val="22"/>
          <w:szCs w:val="22"/>
        </w:rPr>
        <w:t>No</w:t>
      </w:r>
      <w:r w:rsidR="00F21C99" w:rsidRPr="009A2999">
        <w:rPr>
          <w:rFonts w:ascii="Arial" w:hAnsi="Arial" w:cs="Arial"/>
          <w:sz w:val="22"/>
          <w:szCs w:val="22"/>
        </w:rPr>
        <w:t xml:space="preserve"> threshold</w:t>
      </w:r>
      <w:r w:rsidR="009F5114" w:rsidRPr="009A2999">
        <w:rPr>
          <w:rFonts w:ascii="Arial" w:hAnsi="Arial" w:cs="Arial"/>
          <w:sz w:val="22"/>
          <w:szCs w:val="22"/>
        </w:rPr>
        <w:t xml:space="preserve"> (</w:t>
      </w:r>
      <w:r w:rsidRPr="009A2999">
        <w:rPr>
          <w:rFonts w:ascii="Arial" w:hAnsi="Arial" w:cs="Arial"/>
          <w:sz w:val="22"/>
          <w:szCs w:val="22"/>
        </w:rPr>
        <w:t xml:space="preserve">i.e. </w:t>
      </w:r>
      <w:r w:rsidR="009F5114" w:rsidRPr="009A2999">
        <w:rPr>
          <w:rFonts w:ascii="Arial" w:hAnsi="Arial" w:cs="Arial"/>
          <w:sz w:val="22"/>
          <w:szCs w:val="22"/>
        </w:rPr>
        <w:t>0)</w:t>
      </w:r>
      <w:r w:rsidRPr="009A2999">
        <w:rPr>
          <w:rFonts w:ascii="Arial" w:hAnsi="Arial" w:cs="Arial"/>
          <w:sz w:val="22"/>
          <w:szCs w:val="22"/>
        </w:rPr>
        <w:t>;</w:t>
      </w:r>
    </w:p>
    <w:p w14:paraId="78FD8282" w14:textId="5D33F901" w:rsidR="00C11D26" w:rsidRPr="009A2999" w:rsidRDefault="00F5409D" w:rsidP="005370AC">
      <w:pPr>
        <w:pStyle w:val="ListParagraph"/>
        <w:numPr>
          <w:ilvl w:val="0"/>
          <w:numId w:val="3"/>
        </w:numPr>
        <w:spacing w:after="240" w:line="360" w:lineRule="auto"/>
        <w:rPr>
          <w:rFonts w:ascii="Arial" w:hAnsi="Arial" w:cs="Arial"/>
          <w:sz w:val="22"/>
          <w:szCs w:val="22"/>
        </w:rPr>
      </w:pPr>
      <w:r w:rsidRPr="009A2999">
        <w:rPr>
          <w:rFonts w:ascii="Arial" w:hAnsi="Arial" w:cs="Arial"/>
          <w:sz w:val="22"/>
          <w:szCs w:val="22"/>
        </w:rPr>
        <w:t>T</w:t>
      </w:r>
      <w:r w:rsidR="00C11D26" w:rsidRPr="009A2999">
        <w:rPr>
          <w:rFonts w:ascii="Arial" w:hAnsi="Arial" w:cs="Arial"/>
          <w:sz w:val="22"/>
          <w:szCs w:val="22"/>
        </w:rPr>
        <w:t xml:space="preserve">ransition from </w:t>
      </w:r>
      <w:r w:rsidR="009F5114" w:rsidRPr="009A2999">
        <w:rPr>
          <w:rFonts w:ascii="Arial" w:hAnsi="Arial" w:cs="Arial"/>
          <w:sz w:val="22"/>
          <w:szCs w:val="22"/>
        </w:rPr>
        <w:t xml:space="preserve">‘open land’ and ‘scrub’ (&lt;32 </w:t>
      </w:r>
      <w:r w:rsidRPr="009A2999">
        <w:rPr>
          <w:rFonts w:ascii="Arial" w:hAnsi="Arial" w:cs="Arial"/>
          <w:sz w:val="22"/>
          <w:szCs w:val="22"/>
        </w:rPr>
        <w:t>t ha</w:t>
      </w:r>
      <w:r w:rsidRPr="009A2999">
        <w:rPr>
          <w:rFonts w:ascii="Arial" w:hAnsi="Arial" w:cs="Arial"/>
          <w:sz w:val="22"/>
          <w:szCs w:val="22"/>
          <w:vertAlign w:val="superscript"/>
        </w:rPr>
        <w:t>-1</w:t>
      </w:r>
      <w:r w:rsidR="009F5114" w:rsidRPr="009A2999">
        <w:rPr>
          <w:rFonts w:ascii="Arial" w:hAnsi="Arial" w:cs="Arial"/>
          <w:sz w:val="22"/>
          <w:szCs w:val="22"/>
        </w:rPr>
        <w:t>)</w:t>
      </w:r>
      <w:r w:rsidR="00C11D26" w:rsidRPr="009A2999">
        <w:rPr>
          <w:rFonts w:ascii="Arial" w:hAnsi="Arial" w:cs="Arial"/>
          <w:sz w:val="22"/>
          <w:szCs w:val="22"/>
        </w:rPr>
        <w:t>;</w:t>
      </w:r>
    </w:p>
    <w:p w14:paraId="57F439F9" w14:textId="4C9C4882" w:rsidR="00F5409D" w:rsidRPr="009A2999" w:rsidRDefault="00F5409D" w:rsidP="005370AC">
      <w:pPr>
        <w:pStyle w:val="ListParagraph"/>
        <w:numPr>
          <w:ilvl w:val="0"/>
          <w:numId w:val="3"/>
        </w:numPr>
        <w:spacing w:after="240" w:line="360" w:lineRule="auto"/>
        <w:rPr>
          <w:rFonts w:ascii="Arial" w:hAnsi="Arial" w:cs="Arial"/>
          <w:sz w:val="22"/>
          <w:szCs w:val="22"/>
        </w:rPr>
      </w:pPr>
      <w:r w:rsidRPr="009A2999">
        <w:rPr>
          <w:rFonts w:ascii="Arial" w:hAnsi="Arial" w:cs="Arial"/>
          <w:sz w:val="22"/>
          <w:szCs w:val="22"/>
        </w:rPr>
        <w:t>Transition from ‘scrub’ to ‘young regenerating forest’ (&lt;74 t ha</w:t>
      </w:r>
      <w:r w:rsidRPr="009A2999">
        <w:rPr>
          <w:rFonts w:ascii="Arial" w:hAnsi="Arial" w:cs="Arial"/>
          <w:sz w:val="22"/>
          <w:szCs w:val="22"/>
          <w:vertAlign w:val="superscript"/>
        </w:rPr>
        <w:t>-1</w:t>
      </w:r>
      <w:r w:rsidRPr="009A2999">
        <w:rPr>
          <w:rFonts w:ascii="Arial" w:hAnsi="Arial" w:cs="Arial"/>
          <w:sz w:val="22"/>
          <w:szCs w:val="22"/>
        </w:rPr>
        <w:t>) – used in analyses</w:t>
      </w:r>
    </w:p>
    <w:p w14:paraId="5464BE6E" w14:textId="77777777" w:rsidR="00F5409D" w:rsidRPr="009A2999" w:rsidRDefault="00F5409D" w:rsidP="005370AC">
      <w:pPr>
        <w:pStyle w:val="ListParagraph"/>
        <w:numPr>
          <w:ilvl w:val="0"/>
          <w:numId w:val="3"/>
        </w:numPr>
        <w:spacing w:after="240" w:line="360" w:lineRule="auto"/>
        <w:rPr>
          <w:rFonts w:ascii="Arial" w:hAnsi="Arial" w:cs="Arial"/>
          <w:sz w:val="22"/>
          <w:szCs w:val="22"/>
        </w:rPr>
      </w:pPr>
      <w:r w:rsidRPr="009A2999">
        <w:rPr>
          <w:rFonts w:ascii="Arial" w:hAnsi="Arial" w:cs="Arial"/>
          <w:sz w:val="22"/>
          <w:szCs w:val="22"/>
        </w:rPr>
        <w:t xml:space="preserve">Transition from </w:t>
      </w:r>
      <w:r w:rsidR="00271794" w:rsidRPr="009A2999">
        <w:rPr>
          <w:rFonts w:ascii="Arial" w:hAnsi="Arial" w:cs="Arial"/>
          <w:sz w:val="22"/>
          <w:szCs w:val="22"/>
        </w:rPr>
        <w:t xml:space="preserve">‘young regenerating forest’ </w:t>
      </w:r>
      <w:r w:rsidRPr="009A2999">
        <w:rPr>
          <w:rFonts w:ascii="Arial" w:hAnsi="Arial" w:cs="Arial"/>
          <w:sz w:val="22"/>
          <w:szCs w:val="22"/>
        </w:rPr>
        <w:t xml:space="preserve">to </w:t>
      </w:r>
      <w:r w:rsidR="00271794" w:rsidRPr="009A2999">
        <w:rPr>
          <w:rFonts w:ascii="Arial" w:hAnsi="Arial" w:cs="Arial"/>
          <w:sz w:val="22"/>
          <w:szCs w:val="22"/>
        </w:rPr>
        <w:t>‘</w:t>
      </w:r>
      <w:r w:rsidRPr="009A2999">
        <w:rPr>
          <w:rFonts w:ascii="Arial" w:hAnsi="Arial" w:cs="Arial"/>
          <w:sz w:val="22"/>
          <w:szCs w:val="22"/>
        </w:rPr>
        <w:t xml:space="preserve">high carbon stock </w:t>
      </w:r>
      <w:r w:rsidR="00271794" w:rsidRPr="009A2999">
        <w:rPr>
          <w:rFonts w:ascii="Arial" w:hAnsi="Arial" w:cs="Arial"/>
          <w:sz w:val="22"/>
          <w:szCs w:val="22"/>
        </w:rPr>
        <w:t>forest’ (&lt;160</w:t>
      </w:r>
      <w:r w:rsidRPr="009A2999">
        <w:rPr>
          <w:rFonts w:ascii="Arial" w:hAnsi="Arial" w:cs="Arial"/>
          <w:sz w:val="22"/>
          <w:szCs w:val="22"/>
        </w:rPr>
        <w:t xml:space="preserve"> t ha</w:t>
      </w:r>
      <w:r w:rsidRPr="009A2999">
        <w:rPr>
          <w:rFonts w:ascii="Arial" w:hAnsi="Arial" w:cs="Arial"/>
          <w:sz w:val="22"/>
          <w:szCs w:val="22"/>
          <w:vertAlign w:val="superscript"/>
        </w:rPr>
        <w:t>-1</w:t>
      </w:r>
      <w:r w:rsidR="00271794" w:rsidRPr="009A2999">
        <w:rPr>
          <w:rFonts w:ascii="Arial" w:hAnsi="Arial" w:cs="Arial"/>
          <w:sz w:val="22"/>
          <w:szCs w:val="22"/>
        </w:rPr>
        <w:t>)</w:t>
      </w:r>
      <w:r w:rsidRPr="009A2999">
        <w:rPr>
          <w:rFonts w:ascii="Arial" w:hAnsi="Arial" w:cs="Arial"/>
          <w:sz w:val="22"/>
          <w:szCs w:val="22"/>
        </w:rPr>
        <w:t>;</w:t>
      </w:r>
    </w:p>
    <w:p w14:paraId="70A89361" w14:textId="77777777" w:rsidR="00F5409D" w:rsidRPr="009A2999" w:rsidRDefault="00F5409D" w:rsidP="005370AC">
      <w:pPr>
        <w:pStyle w:val="ListParagraph"/>
        <w:numPr>
          <w:ilvl w:val="0"/>
          <w:numId w:val="3"/>
        </w:numPr>
        <w:spacing w:after="240" w:line="360" w:lineRule="auto"/>
        <w:rPr>
          <w:rFonts w:ascii="Arial" w:hAnsi="Arial" w:cs="Arial"/>
          <w:sz w:val="22"/>
          <w:szCs w:val="22"/>
        </w:rPr>
      </w:pPr>
      <w:r w:rsidRPr="009A2999">
        <w:rPr>
          <w:rFonts w:ascii="Arial" w:hAnsi="Arial" w:cs="Arial"/>
          <w:sz w:val="22"/>
          <w:szCs w:val="22"/>
        </w:rPr>
        <w:t>H</w:t>
      </w:r>
      <w:r w:rsidR="00241419" w:rsidRPr="009A2999">
        <w:rPr>
          <w:rFonts w:ascii="Arial" w:hAnsi="Arial" w:cs="Arial"/>
          <w:sz w:val="22"/>
          <w:szCs w:val="22"/>
        </w:rPr>
        <w:t>alf the maximum (&lt;</w:t>
      </w:r>
      <w:r w:rsidRPr="009A2999">
        <w:rPr>
          <w:rFonts w:ascii="Arial" w:hAnsi="Arial" w:cs="Arial"/>
          <w:sz w:val="22"/>
          <w:szCs w:val="22"/>
        </w:rPr>
        <w:t xml:space="preserve">50% </w:t>
      </w:r>
      <w:proofErr w:type="spellStart"/>
      <w:r w:rsidRPr="009A2999">
        <w:rPr>
          <w:rFonts w:ascii="Arial" w:hAnsi="Arial" w:cs="Arial"/>
          <w:sz w:val="22"/>
          <w:szCs w:val="22"/>
        </w:rPr>
        <w:t>biomass</w:t>
      </w:r>
      <w:r w:rsidRPr="009A2999">
        <w:rPr>
          <w:rFonts w:ascii="Arial" w:hAnsi="Arial" w:cs="Arial"/>
          <w:sz w:val="22"/>
          <w:szCs w:val="22"/>
          <w:vertAlign w:val="subscript"/>
        </w:rPr>
        <w:t>max</w:t>
      </w:r>
      <w:proofErr w:type="spellEnd"/>
      <w:r w:rsidR="00241419" w:rsidRPr="009A2999">
        <w:rPr>
          <w:rFonts w:ascii="Arial" w:hAnsi="Arial" w:cs="Arial"/>
          <w:sz w:val="22"/>
          <w:szCs w:val="22"/>
        </w:rPr>
        <w:t>)</w:t>
      </w:r>
      <w:r w:rsidR="00230FC7" w:rsidRPr="009A2999">
        <w:rPr>
          <w:rFonts w:ascii="Arial" w:hAnsi="Arial" w:cs="Arial"/>
          <w:sz w:val="22"/>
          <w:szCs w:val="22"/>
        </w:rPr>
        <w:t>.</w:t>
      </w:r>
      <w:r w:rsidR="001429D3" w:rsidRPr="009A2999">
        <w:rPr>
          <w:rFonts w:ascii="Arial" w:hAnsi="Arial" w:cs="Arial"/>
          <w:sz w:val="22"/>
          <w:szCs w:val="22"/>
        </w:rPr>
        <w:t xml:space="preserve"> </w:t>
      </w:r>
    </w:p>
    <w:p w14:paraId="0918C725" w14:textId="48260C5D" w:rsidR="001429D3" w:rsidRPr="009A2999" w:rsidRDefault="00F5409D" w:rsidP="005370AC">
      <w:pPr>
        <w:spacing w:after="240" w:line="360" w:lineRule="auto"/>
        <w:ind w:firstLine="360"/>
        <w:rPr>
          <w:rFonts w:ascii="Arial" w:hAnsi="Arial" w:cs="Arial"/>
          <w:sz w:val="22"/>
          <w:szCs w:val="22"/>
        </w:rPr>
      </w:pPr>
      <w:r w:rsidRPr="009A2999">
        <w:rPr>
          <w:rFonts w:ascii="Arial" w:hAnsi="Arial" w:cs="Arial"/>
          <w:sz w:val="22"/>
          <w:szCs w:val="22"/>
        </w:rPr>
        <w:t>Overall</w:t>
      </w:r>
      <w:r w:rsidR="00D73BD0" w:rsidRPr="009A2999">
        <w:rPr>
          <w:rFonts w:ascii="Arial" w:hAnsi="Arial" w:cs="Arial"/>
          <w:sz w:val="22"/>
          <w:szCs w:val="22"/>
        </w:rPr>
        <w:t xml:space="preserve">, our selected threshold of </w:t>
      </w:r>
      <w:bookmarkStart w:id="0" w:name="_Hlk188523025"/>
      <w:r w:rsidR="00D73BD0" w:rsidRPr="009A2999">
        <w:rPr>
          <w:rFonts w:ascii="Arial" w:hAnsi="Arial" w:cs="Arial"/>
          <w:sz w:val="22"/>
          <w:szCs w:val="22"/>
        </w:rPr>
        <w:t xml:space="preserve">&lt;74 </w:t>
      </w:r>
      <w:r w:rsidRPr="009A2999">
        <w:rPr>
          <w:rFonts w:ascii="Arial" w:hAnsi="Arial" w:cs="Arial"/>
          <w:sz w:val="22"/>
          <w:szCs w:val="22"/>
        </w:rPr>
        <w:t>t ha</w:t>
      </w:r>
      <w:r w:rsidRPr="009A2999">
        <w:rPr>
          <w:rFonts w:ascii="Arial" w:hAnsi="Arial" w:cs="Arial"/>
          <w:sz w:val="22"/>
          <w:szCs w:val="22"/>
          <w:vertAlign w:val="superscript"/>
        </w:rPr>
        <w:t>-1</w:t>
      </w:r>
      <w:r w:rsidR="00D73BD0" w:rsidRPr="009A2999">
        <w:rPr>
          <w:rFonts w:ascii="Arial" w:hAnsi="Arial" w:cs="Arial"/>
          <w:sz w:val="22"/>
          <w:szCs w:val="22"/>
        </w:rPr>
        <w:t xml:space="preserve"> </w:t>
      </w:r>
      <w:bookmarkEnd w:id="0"/>
      <w:r w:rsidR="00D73BD0" w:rsidRPr="009A2999">
        <w:rPr>
          <w:rFonts w:ascii="Arial" w:hAnsi="Arial" w:cs="Arial"/>
          <w:sz w:val="22"/>
          <w:szCs w:val="22"/>
        </w:rPr>
        <w:t>produced 60-9</w:t>
      </w:r>
      <w:r w:rsidR="00BE0EAC" w:rsidRPr="009A2999">
        <w:rPr>
          <w:rFonts w:ascii="Arial" w:hAnsi="Arial" w:cs="Arial"/>
          <w:sz w:val="22"/>
          <w:szCs w:val="22"/>
        </w:rPr>
        <w:t>5</w:t>
      </w:r>
      <w:r w:rsidR="00D73BD0" w:rsidRPr="009A2999">
        <w:rPr>
          <w:rFonts w:ascii="Arial" w:hAnsi="Arial" w:cs="Arial"/>
          <w:sz w:val="22"/>
          <w:szCs w:val="22"/>
        </w:rPr>
        <w:t xml:space="preserve">% similar solutions to </w:t>
      </w:r>
      <w:r w:rsidRPr="009A2999">
        <w:rPr>
          <w:rFonts w:ascii="Arial" w:hAnsi="Arial" w:cs="Arial"/>
          <w:sz w:val="22"/>
          <w:szCs w:val="22"/>
        </w:rPr>
        <w:t xml:space="preserve">those based on </w:t>
      </w:r>
      <w:r w:rsidR="00D73BD0" w:rsidRPr="009A2999">
        <w:rPr>
          <w:rFonts w:ascii="Arial" w:hAnsi="Arial" w:cs="Arial"/>
          <w:sz w:val="22"/>
          <w:szCs w:val="22"/>
        </w:rPr>
        <w:t>thresholds of 0 and &lt;32</w:t>
      </w:r>
      <w:r w:rsidR="00BF58A9" w:rsidRPr="009A2999">
        <w:rPr>
          <w:rFonts w:ascii="Arial" w:hAnsi="Arial" w:cs="Arial"/>
          <w:sz w:val="22"/>
          <w:szCs w:val="22"/>
        </w:rPr>
        <w:t xml:space="preserve"> t</w:t>
      </w:r>
      <w:r w:rsidRPr="009A2999">
        <w:rPr>
          <w:rFonts w:ascii="Arial" w:hAnsi="Arial" w:cs="Arial"/>
          <w:sz w:val="22"/>
          <w:szCs w:val="22"/>
        </w:rPr>
        <w:t xml:space="preserve"> ha</w:t>
      </w:r>
      <w:r w:rsidRPr="009A2999">
        <w:rPr>
          <w:rFonts w:ascii="Arial" w:hAnsi="Arial" w:cs="Arial"/>
          <w:sz w:val="22"/>
          <w:szCs w:val="22"/>
          <w:vertAlign w:val="superscript"/>
        </w:rPr>
        <w:t>-1</w:t>
      </w:r>
      <w:r w:rsidR="000A3AD0" w:rsidRPr="009A2999">
        <w:rPr>
          <w:rFonts w:ascii="Arial" w:hAnsi="Arial" w:cs="Arial"/>
          <w:sz w:val="22"/>
          <w:szCs w:val="22"/>
        </w:rPr>
        <w:t xml:space="preserve"> when selecting the highest priority areas (area budget of 10%), and 38-79% similar solutions to thresholds of &lt;160 and &lt;</w:t>
      </w:r>
      <w:r w:rsidRPr="009A2999">
        <w:rPr>
          <w:rFonts w:ascii="Arial" w:hAnsi="Arial" w:cs="Arial"/>
          <w:sz w:val="22"/>
          <w:szCs w:val="22"/>
        </w:rPr>
        <w:t>50%</w:t>
      </w:r>
      <w:r w:rsidR="000A3AD0" w:rsidRPr="009A2999">
        <w:rPr>
          <w:rFonts w:ascii="Arial" w:hAnsi="Arial" w:cs="Arial"/>
          <w:sz w:val="22"/>
          <w:szCs w:val="22"/>
        </w:rPr>
        <w:t>.</w:t>
      </w:r>
      <w:r w:rsidRPr="009A2999">
        <w:rPr>
          <w:rFonts w:ascii="Arial" w:hAnsi="Arial" w:cs="Arial"/>
          <w:sz w:val="22"/>
          <w:szCs w:val="22"/>
        </w:rPr>
        <w:t xml:space="preserve"> </w:t>
      </w:r>
      <w:r w:rsidR="00532DD1">
        <w:rPr>
          <w:rFonts w:ascii="Arial" w:hAnsi="Arial" w:cs="Arial"/>
          <w:sz w:val="22"/>
          <w:szCs w:val="22"/>
        </w:rPr>
        <w:t xml:space="preserve">This confirms that </w:t>
      </w:r>
      <w:r w:rsidR="009D1CB6" w:rsidRPr="009A2999">
        <w:rPr>
          <w:rFonts w:ascii="Arial" w:hAnsi="Arial" w:cs="Arial"/>
          <w:sz w:val="22"/>
          <w:szCs w:val="22"/>
        </w:rPr>
        <w:t>our choice of the &lt;74 t ha</w:t>
      </w:r>
      <w:r w:rsidR="009D1CB6" w:rsidRPr="009A2999">
        <w:rPr>
          <w:rFonts w:ascii="Arial" w:hAnsi="Arial" w:cs="Arial"/>
          <w:sz w:val="22"/>
          <w:szCs w:val="22"/>
          <w:vertAlign w:val="superscript"/>
        </w:rPr>
        <w:t>-1</w:t>
      </w:r>
      <w:r w:rsidR="009D1CB6" w:rsidRPr="009A2999">
        <w:rPr>
          <w:rFonts w:ascii="Arial" w:hAnsi="Arial" w:cs="Arial"/>
          <w:sz w:val="22"/>
          <w:szCs w:val="22"/>
        </w:rPr>
        <w:t xml:space="preserve"> threshold balances sensitivity to early-stage forest transitions while maintaining consistency with alternative thresholds in prioritization outcomes.</w:t>
      </w:r>
    </w:p>
    <w:p w14:paraId="7F40F9C9" w14:textId="77777777" w:rsidR="00D91A69" w:rsidRPr="009A2999" w:rsidRDefault="00D91A69" w:rsidP="005370AC">
      <w:pPr>
        <w:spacing w:after="240" w:line="360" w:lineRule="auto"/>
        <w:ind w:firstLine="360"/>
        <w:rPr>
          <w:rFonts w:ascii="Arial" w:hAnsi="Arial" w:cs="Arial"/>
          <w:noProof/>
          <w:sz w:val="22"/>
          <w:szCs w:val="22"/>
        </w:rPr>
      </w:pPr>
      <w:r w:rsidRPr="009A2999">
        <w:rPr>
          <w:rFonts w:ascii="Arial" w:hAnsi="Arial" w:cs="Arial"/>
          <w:noProof/>
          <w:sz w:val="22"/>
          <w:szCs w:val="22"/>
        </w:rPr>
        <w:t>Most of the differences due to using different thresholds were small, with most priority rankings unchanged or changing by ±10, amongst solutions. In other words, an area identified as highly important (i.e. selected when area budget was 10%) when using a threshold of &lt;74</w:t>
      </w:r>
      <w:r w:rsidRPr="009A2999">
        <w:rPr>
          <w:rFonts w:ascii="Arial" w:hAnsi="Arial" w:cs="Arial"/>
          <w:sz w:val="22"/>
          <w:szCs w:val="22"/>
        </w:rPr>
        <w:t xml:space="preserve"> t ha</w:t>
      </w:r>
      <w:r w:rsidRPr="009A2999">
        <w:rPr>
          <w:rFonts w:ascii="Arial" w:hAnsi="Arial" w:cs="Arial"/>
          <w:sz w:val="22"/>
          <w:szCs w:val="22"/>
          <w:vertAlign w:val="superscript"/>
        </w:rPr>
        <w:t>-1</w:t>
      </w:r>
      <w:r w:rsidRPr="009A2999">
        <w:rPr>
          <w:rFonts w:ascii="Arial" w:hAnsi="Arial" w:cs="Arial"/>
          <w:noProof/>
          <w:sz w:val="22"/>
          <w:szCs w:val="22"/>
        </w:rPr>
        <w:t xml:space="preserve"> was highly likely to be selected in the area budget of 10, 20, or 30% when based on an alternative threshold. A lower ranked area, selected when the area budget was ≥90%, was likely to be ranked low regardless of which threshold was used.   </w:t>
      </w:r>
    </w:p>
    <w:p w14:paraId="2CA43810" w14:textId="40F0BCEE" w:rsidR="00385ACE" w:rsidRPr="009A2999" w:rsidRDefault="00385ACE" w:rsidP="005370AC">
      <w:pPr>
        <w:spacing w:after="240" w:line="360" w:lineRule="auto"/>
        <w:rPr>
          <w:rFonts w:ascii="Arial" w:hAnsi="Arial" w:cs="Arial"/>
          <w:sz w:val="22"/>
          <w:szCs w:val="22"/>
        </w:rPr>
      </w:pPr>
    </w:p>
    <w:p w14:paraId="6AEF6862" w14:textId="66F8A575" w:rsidR="00E237DC" w:rsidRPr="009A2999" w:rsidRDefault="001429D3" w:rsidP="005370AC">
      <w:pPr>
        <w:spacing w:after="240" w:line="360" w:lineRule="auto"/>
        <w:rPr>
          <w:rFonts w:ascii="Arial" w:hAnsi="Arial" w:cs="Arial"/>
          <w:noProof/>
          <w:sz w:val="22"/>
          <w:szCs w:val="22"/>
        </w:rPr>
      </w:pPr>
      <w:r w:rsidRPr="009A2999">
        <w:rPr>
          <w:rFonts w:ascii="Arial" w:hAnsi="Arial" w:cs="Arial"/>
          <w:sz w:val="22"/>
          <w:szCs w:val="22"/>
        </w:rPr>
        <w:lastRenderedPageBreak/>
        <w:t xml:space="preserve"> </w:t>
      </w:r>
      <w:r w:rsidR="009D1CB6" w:rsidRPr="009A2999">
        <w:rPr>
          <w:rFonts w:ascii="Arial" w:hAnsi="Arial" w:cs="Arial"/>
          <w:noProof/>
          <w:sz w:val="22"/>
          <w:szCs w:val="22"/>
        </w:rPr>
        <w:drawing>
          <wp:inline distT="0" distB="0" distL="0" distR="0" wp14:anchorId="162CE6EC" wp14:editId="6BF06B8B">
            <wp:extent cx="5486400" cy="3657600"/>
            <wp:effectExtent l="0" t="0" r="0" b="0"/>
            <wp:docPr id="1064149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047530B" w14:textId="5D143FDB" w:rsidR="009D1CB6" w:rsidRPr="009A2999" w:rsidRDefault="00E237DC" w:rsidP="005370AC">
      <w:pPr>
        <w:spacing w:after="240" w:line="360" w:lineRule="auto"/>
        <w:rPr>
          <w:rFonts w:ascii="Arial" w:hAnsi="Arial" w:cs="Arial"/>
          <w:noProof/>
          <w:sz w:val="22"/>
          <w:szCs w:val="22"/>
        </w:rPr>
      </w:pPr>
      <w:r w:rsidRPr="009A2999">
        <w:rPr>
          <w:rFonts w:ascii="Arial" w:hAnsi="Arial" w:cs="Arial"/>
          <w:b/>
          <w:bCs/>
          <w:noProof/>
          <w:sz w:val="22"/>
          <w:szCs w:val="22"/>
        </w:rPr>
        <w:t>Figure S2</w:t>
      </w:r>
      <w:r w:rsidR="00F835CC" w:rsidRPr="009A2999">
        <w:rPr>
          <w:rFonts w:ascii="Arial" w:hAnsi="Arial" w:cs="Arial"/>
          <w:b/>
          <w:bCs/>
          <w:noProof/>
          <w:sz w:val="22"/>
          <w:szCs w:val="22"/>
        </w:rPr>
        <w:t>.</w:t>
      </w:r>
      <w:r w:rsidRPr="009A2999">
        <w:rPr>
          <w:rFonts w:ascii="Arial" w:hAnsi="Arial" w:cs="Arial"/>
          <w:b/>
          <w:bCs/>
          <w:noProof/>
          <w:sz w:val="22"/>
          <w:szCs w:val="22"/>
        </w:rPr>
        <w:t xml:space="preserve"> Sensitivity analysis of restoration potential threshold values. </w:t>
      </w:r>
      <w:r w:rsidR="002C7D86" w:rsidRPr="009A2999">
        <w:rPr>
          <w:rFonts w:ascii="Arial" w:hAnsi="Arial" w:cs="Arial"/>
          <w:noProof/>
          <w:sz w:val="22"/>
          <w:szCs w:val="22"/>
        </w:rPr>
        <w:t xml:space="preserve">The y-axis </w:t>
      </w:r>
      <w:r w:rsidR="00F5409D" w:rsidRPr="009A2999">
        <w:rPr>
          <w:rFonts w:ascii="Arial" w:hAnsi="Arial" w:cs="Arial"/>
          <w:noProof/>
          <w:sz w:val="22"/>
          <w:szCs w:val="22"/>
        </w:rPr>
        <w:t>shows</w:t>
      </w:r>
      <w:r w:rsidR="002C7D86" w:rsidRPr="009A2999">
        <w:rPr>
          <w:rFonts w:ascii="Arial" w:hAnsi="Arial" w:cs="Arial"/>
          <w:noProof/>
          <w:sz w:val="22"/>
          <w:szCs w:val="22"/>
        </w:rPr>
        <w:t xml:space="preserve"> the percentage overlap in </w:t>
      </w:r>
      <w:r w:rsidR="005158D3" w:rsidRPr="009A2999">
        <w:rPr>
          <w:rFonts w:ascii="Arial" w:hAnsi="Arial" w:cs="Arial"/>
          <w:noProof/>
          <w:sz w:val="22"/>
          <w:szCs w:val="22"/>
        </w:rPr>
        <w:t xml:space="preserve">the areas selected in </w:t>
      </w:r>
      <w:r w:rsidR="002C7D86" w:rsidRPr="009A2999">
        <w:rPr>
          <w:rFonts w:ascii="Arial" w:hAnsi="Arial" w:cs="Arial"/>
          <w:noProof/>
          <w:sz w:val="22"/>
          <w:szCs w:val="22"/>
        </w:rPr>
        <w:t>solution</w:t>
      </w:r>
      <w:r w:rsidR="005158D3" w:rsidRPr="009A2999">
        <w:rPr>
          <w:rFonts w:ascii="Arial" w:hAnsi="Arial" w:cs="Arial"/>
          <w:noProof/>
          <w:sz w:val="22"/>
          <w:szCs w:val="22"/>
        </w:rPr>
        <w:t>s</w:t>
      </w:r>
      <w:r w:rsidR="002C7D86" w:rsidRPr="009A2999">
        <w:rPr>
          <w:rFonts w:ascii="Arial" w:hAnsi="Arial" w:cs="Arial"/>
          <w:noProof/>
          <w:sz w:val="22"/>
          <w:szCs w:val="22"/>
        </w:rPr>
        <w:t xml:space="preserve"> </w:t>
      </w:r>
      <w:r w:rsidR="002F6FE3" w:rsidRPr="009A2999">
        <w:rPr>
          <w:rFonts w:ascii="Arial" w:hAnsi="Arial" w:cs="Arial"/>
          <w:noProof/>
          <w:sz w:val="22"/>
          <w:szCs w:val="22"/>
        </w:rPr>
        <w:t>using</w:t>
      </w:r>
      <w:r w:rsidR="005158D3" w:rsidRPr="009A2999">
        <w:rPr>
          <w:rFonts w:ascii="Arial" w:hAnsi="Arial" w:cs="Arial"/>
          <w:noProof/>
          <w:sz w:val="22"/>
          <w:szCs w:val="22"/>
        </w:rPr>
        <w:t xml:space="preserve"> </w:t>
      </w:r>
      <w:r w:rsidR="00F5409D" w:rsidRPr="009A2999">
        <w:rPr>
          <w:rFonts w:ascii="Arial" w:hAnsi="Arial" w:cs="Arial"/>
          <w:noProof/>
          <w:sz w:val="22"/>
          <w:szCs w:val="22"/>
        </w:rPr>
        <w:t>four</w:t>
      </w:r>
      <w:r w:rsidR="005158D3" w:rsidRPr="009A2999">
        <w:rPr>
          <w:rFonts w:ascii="Arial" w:hAnsi="Arial" w:cs="Arial"/>
          <w:noProof/>
          <w:sz w:val="22"/>
          <w:szCs w:val="22"/>
        </w:rPr>
        <w:t xml:space="preserve"> </w:t>
      </w:r>
      <w:r w:rsidR="00F5409D" w:rsidRPr="009A2999">
        <w:rPr>
          <w:rFonts w:ascii="Arial" w:hAnsi="Arial" w:cs="Arial"/>
          <w:noProof/>
          <w:sz w:val="22"/>
          <w:szCs w:val="22"/>
        </w:rPr>
        <w:t xml:space="preserve">alternative </w:t>
      </w:r>
      <w:r w:rsidR="005158D3" w:rsidRPr="009A2999">
        <w:rPr>
          <w:rFonts w:ascii="Arial" w:hAnsi="Arial" w:cs="Arial"/>
          <w:noProof/>
          <w:sz w:val="22"/>
          <w:szCs w:val="22"/>
        </w:rPr>
        <w:t xml:space="preserve">thresholds </w:t>
      </w:r>
      <w:r w:rsidR="002F6FE3" w:rsidRPr="009A2999">
        <w:rPr>
          <w:rFonts w:ascii="Arial" w:hAnsi="Arial" w:cs="Arial"/>
          <w:noProof/>
          <w:sz w:val="22"/>
          <w:szCs w:val="22"/>
        </w:rPr>
        <w:t xml:space="preserve">compared </w:t>
      </w:r>
      <w:r w:rsidR="005158D3" w:rsidRPr="009A2999">
        <w:rPr>
          <w:rFonts w:ascii="Arial" w:hAnsi="Arial" w:cs="Arial"/>
          <w:noProof/>
          <w:sz w:val="22"/>
          <w:szCs w:val="22"/>
        </w:rPr>
        <w:t>to the &lt;74 t</w:t>
      </w:r>
      <w:r w:rsidR="00F5409D" w:rsidRPr="009A2999">
        <w:rPr>
          <w:rFonts w:ascii="Arial" w:hAnsi="Arial" w:cs="Arial"/>
          <w:noProof/>
          <w:sz w:val="22"/>
          <w:szCs w:val="22"/>
        </w:rPr>
        <w:t xml:space="preserve"> </w:t>
      </w:r>
      <w:r w:rsidR="00F5409D" w:rsidRPr="009A2999">
        <w:rPr>
          <w:rFonts w:ascii="Arial" w:hAnsi="Arial" w:cs="Arial"/>
          <w:sz w:val="22"/>
          <w:szCs w:val="22"/>
        </w:rPr>
        <w:t>ha</w:t>
      </w:r>
      <w:r w:rsidR="00F5409D" w:rsidRPr="009A2999">
        <w:rPr>
          <w:rFonts w:ascii="Arial" w:hAnsi="Arial" w:cs="Arial"/>
          <w:sz w:val="22"/>
          <w:szCs w:val="22"/>
          <w:vertAlign w:val="superscript"/>
        </w:rPr>
        <w:t>-1</w:t>
      </w:r>
      <w:r w:rsidR="005158D3" w:rsidRPr="009A2999">
        <w:rPr>
          <w:rFonts w:ascii="Arial" w:hAnsi="Arial" w:cs="Arial"/>
          <w:noProof/>
          <w:sz w:val="22"/>
          <w:szCs w:val="22"/>
        </w:rPr>
        <w:t xml:space="preserve"> threshold</w:t>
      </w:r>
      <w:r w:rsidR="00F5409D" w:rsidRPr="009A2999">
        <w:rPr>
          <w:rFonts w:ascii="Arial" w:hAnsi="Arial" w:cs="Arial"/>
          <w:noProof/>
          <w:sz w:val="22"/>
          <w:szCs w:val="22"/>
        </w:rPr>
        <w:t xml:space="preserve"> used in subsequent analyses</w:t>
      </w:r>
      <w:r w:rsidR="005158D3" w:rsidRPr="009A2999">
        <w:rPr>
          <w:rFonts w:ascii="Arial" w:hAnsi="Arial" w:cs="Arial"/>
          <w:noProof/>
          <w:sz w:val="22"/>
          <w:szCs w:val="22"/>
        </w:rPr>
        <w:t xml:space="preserve">. The x-axis </w:t>
      </w:r>
      <w:r w:rsidR="00F5409D" w:rsidRPr="009A2999">
        <w:rPr>
          <w:rFonts w:ascii="Arial" w:hAnsi="Arial" w:cs="Arial"/>
          <w:noProof/>
          <w:sz w:val="22"/>
          <w:szCs w:val="22"/>
        </w:rPr>
        <w:t>shows</w:t>
      </w:r>
      <w:r w:rsidR="005158D3" w:rsidRPr="009A2999">
        <w:rPr>
          <w:rFonts w:ascii="Arial" w:hAnsi="Arial" w:cs="Arial"/>
          <w:noProof/>
          <w:sz w:val="22"/>
          <w:szCs w:val="22"/>
        </w:rPr>
        <w:t xml:space="preserve"> the area budgets, with 10% being the highest priority</w:t>
      </w:r>
      <w:r w:rsidR="008816AF" w:rsidRPr="009A2999">
        <w:rPr>
          <w:rFonts w:ascii="Arial" w:hAnsi="Arial" w:cs="Arial"/>
          <w:noProof/>
          <w:sz w:val="22"/>
          <w:szCs w:val="22"/>
        </w:rPr>
        <w:t xml:space="preserve"> areas which are selected firs</w:t>
      </w:r>
      <w:r w:rsidR="00991717" w:rsidRPr="009A2999">
        <w:rPr>
          <w:rFonts w:ascii="Arial" w:hAnsi="Arial" w:cs="Arial"/>
          <w:noProof/>
          <w:sz w:val="22"/>
          <w:szCs w:val="22"/>
        </w:rPr>
        <w:t>t.</w:t>
      </w:r>
      <w:r w:rsidR="00396C2A" w:rsidRPr="009A2999">
        <w:rPr>
          <w:rFonts w:ascii="Arial" w:hAnsi="Arial" w:cs="Arial"/>
          <w:noProof/>
          <w:sz w:val="22"/>
          <w:szCs w:val="22"/>
        </w:rPr>
        <w:t xml:space="preserve"> Panels are for six regions of Indonesia and coloured lines </w:t>
      </w:r>
      <w:r w:rsidR="002E5EDB" w:rsidRPr="009A2999">
        <w:rPr>
          <w:rFonts w:ascii="Arial" w:hAnsi="Arial" w:cs="Arial"/>
          <w:noProof/>
          <w:sz w:val="22"/>
          <w:szCs w:val="22"/>
        </w:rPr>
        <w:t>show</w:t>
      </w:r>
      <w:r w:rsidR="00396C2A" w:rsidRPr="009A2999">
        <w:rPr>
          <w:rFonts w:ascii="Arial" w:hAnsi="Arial" w:cs="Arial"/>
          <w:noProof/>
          <w:sz w:val="22"/>
          <w:szCs w:val="22"/>
        </w:rPr>
        <w:t xml:space="preserve"> the different tested thresholds.</w:t>
      </w:r>
      <w:r w:rsidR="009D1CB6" w:rsidRPr="009A2999">
        <w:rPr>
          <w:rFonts w:ascii="Arial" w:hAnsi="Arial" w:cs="Arial"/>
          <w:noProof/>
          <w:sz w:val="22"/>
          <w:szCs w:val="22"/>
        </w:rPr>
        <w:t xml:space="preserve"> Using the threshold </w:t>
      </w:r>
      <w:r w:rsidR="00D91A69">
        <w:rPr>
          <w:rFonts w:ascii="Arial" w:hAnsi="Arial" w:cs="Arial"/>
          <w:noProof/>
          <w:sz w:val="22"/>
          <w:szCs w:val="22"/>
        </w:rPr>
        <w:t>‘</w:t>
      </w:r>
      <w:r w:rsidR="009D1CB6" w:rsidRPr="009A2999">
        <w:rPr>
          <w:rFonts w:ascii="Arial" w:hAnsi="Arial" w:cs="Arial"/>
          <w:noProof/>
          <w:sz w:val="22"/>
          <w:szCs w:val="22"/>
        </w:rPr>
        <w:t>&lt;half</w:t>
      </w:r>
      <w:r w:rsidR="00D91A69">
        <w:rPr>
          <w:rFonts w:ascii="Arial" w:hAnsi="Arial" w:cs="Arial"/>
          <w:noProof/>
          <w:sz w:val="22"/>
          <w:szCs w:val="22"/>
        </w:rPr>
        <w:t>’</w:t>
      </w:r>
      <w:r w:rsidR="009D1CB6" w:rsidRPr="009A2999">
        <w:rPr>
          <w:rFonts w:ascii="Arial" w:hAnsi="Arial" w:cs="Arial"/>
          <w:noProof/>
          <w:sz w:val="22"/>
          <w:szCs w:val="22"/>
        </w:rPr>
        <w:t xml:space="preserve"> creates solutions that are most different from the &lt;74 threshold used in the main analysis, followed by using the threshold &lt;160, the threshold 0, and finally the threshold &lt;32. </w:t>
      </w:r>
    </w:p>
    <w:p w14:paraId="7987BD59" w14:textId="3B499168" w:rsidR="0069447E" w:rsidRPr="009A2999" w:rsidRDefault="0069447E" w:rsidP="005370AC">
      <w:pPr>
        <w:spacing w:after="240" w:line="360" w:lineRule="auto"/>
        <w:rPr>
          <w:rFonts w:ascii="Arial" w:hAnsi="Arial" w:cs="Arial"/>
          <w:noProof/>
          <w:sz w:val="22"/>
          <w:szCs w:val="22"/>
        </w:rPr>
      </w:pPr>
    </w:p>
    <w:p w14:paraId="35D2E6B3" w14:textId="77777777" w:rsidR="00F835CC" w:rsidRPr="009A2999" w:rsidRDefault="00F835CC" w:rsidP="005370AC">
      <w:pPr>
        <w:spacing w:after="240" w:line="360" w:lineRule="auto"/>
        <w:rPr>
          <w:rFonts w:ascii="Arial" w:hAnsi="Arial" w:cs="Arial"/>
          <w:noProof/>
          <w:sz w:val="22"/>
          <w:szCs w:val="22"/>
        </w:rPr>
      </w:pPr>
    </w:p>
    <w:p w14:paraId="1EB4ACBA" w14:textId="26CA7A90" w:rsidR="00F835CC" w:rsidRPr="009A2999" w:rsidRDefault="00F835CC" w:rsidP="005370AC">
      <w:pPr>
        <w:spacing w:after="240" w:line="360" w:lineRule="auto"/>
        <w:rPr>
          <w:rFonts w:ascii="Arial" w:hAnsi="Arial" w:cs="Arial"/>
          <w:noProof/>
          <w:sz w:val="22"/>
          <w:szCs w:val="22"/>
        </w:rPr>
      </w:pPr>
      <w:r w:rsidRPr="009A2999">
        <w:rPr>
          <w:rFonts w:ascii="Arial" w:hAnsi="Arial" w:cs="Arial"/>
          <w:noProof/>
          <w:sz w:val="22"/>
          <w:szCs w:val="22"/>
        </w:rPr>
        <w:lastRenderedPageBreak/>
        <w:drawing>
          <wp:anchor distT="0" distB="0" distL="114300" distR="114300" simplePos="0" relativeHeight="251659264" behindDoc="0" locked="0" layoutInCell="1" allowOverlap="1" wp14:anchorId="409D03EA" wp14:editId="1651926C">
            <wp:simplePos x="0" y="0"/>
            <wp:positionH relativeFrom="column">
              <wp:posOffset>0</wp:posOffset>
            </wp:positionH>
            <wp:positionV relativeFrom="paragraph">
              <wp:posOffset>204470</wp:posOffset>
            </wp:positionV>
            <wp:extent cx="5731510" cy="4093845"/>
            <wp:effectExtent l="0" t="0" r="2540" b="1905"/>
            <wp:wrapThrough wrapText="bothSides">
              <wp:wrapPolygon edited="0">
                <wp:start x="0" y="0"/>
                <wp:lineTo x="0" y="21510"/>
                <wp:lineTo x="21538" y="21510"/>
                <wp:lineTo x="21538" y="0"/>
                <wp:lineTo x="0" y="0"/>
              </wp:wrapPolygon>
            </wp:wrapThrough>
            <wp:docPr id="105256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093845"/>
                    </a:xfrm>
                    <a:prstGeom prst="rect">
                      <a:avLst/>
                    </a:prstGeom>
                    <a:noFill/>
                    <a:ln>
                      <a:noFill/>
                    </a:ln>
                  </pic:spPr>
                </pic:pic>
              </a:graphicData>
            </a:graphic>
          </wp:anchor>
        </w:drawing>
      </w:r>
    </w:p>
    <w:p w14:paraId="6BAC9204" w14:textId="413C2AB0" w:rsidR="00F835CC" w:rsidRPr="009A2999" w:rsidRDefault="00F835CC" w:rsidP="005370AC">
      <w:pPr>
        <w:spacing w:after="240" w:line="360" w:lineRule="auto"/>
        <w:rPr>
          <w:rFonts w:ascii="Arial" w:hAnsi="Arial" w:cs="Arial"/>
          <w:noProof/>
          <w:sz w:val="22"/>
          <w:szCs w:val="22"/>
        </w:rPr>
      </w:pPr>
      <w:r w:rsidRPr="009A2999">
        <w:rPr>
          <w:rFonts w:ascii="Arial" w:hAnsi="Arial" w:cs="Arial"/>
          <w:b/>
          <w:bCs/>
          <w:noProof/>
          <w:sz w:val="22"/>
          <w:szCs w:val="22"/>
        </w:rPr>
        <w:t>Figure S3. Histogram of changes in the selection priorities for Sumatra</w:t>
      </w:r>
      <w:r w:rsidR="00F178C4" w:rsidRPr="009A2999">
        <w:rPr>
          <w:rFonts w:ascii="Arial" w:hAnsi="Arial" w:cs="Arial"/>
          <w:b/>
          <w:bCs/>
          <w:noProof/>
          <w:sz w:val="22"/>
          <w:szCs w:val="22"/>
        </w:rPr>
        <w:t xml:space="preserve"> when using different biomass thresholds</w:t>
      </w:r>
      <w:r w:rsidRPr="009A2999">
        <w:rPr>
          <w:rFonts w:ascii="Arial" w:hAnsi="Arial" w:cs="Arial"/>
          <w:b/>
          <w:bCs/>
          <w:noProof/>
          <w:sz w:val="22"/>
          <w:szCs w:val="22"/>
        </w:rPr>
        <w:t>.</w:t>
      </w:r>
      <w:r w:rsidRPr="009A2999">
        <w:rPr>
          <w:rFonts w:ascii="Arial" w:hAnsi="Arial" w:cs="Arial"/>
          <w:noProof/>
          <w:sz w:val="22"/>
          <w:szCs w:val="22"/>
        </w:rPr>
        <w:t xml:space="preserve"> Each plot shows the change in priority ranking between the original solution using a threshold of &lt;74 </w:t>
      </w:r>
      <w:r w:rsidR="00F178C4" w:rsidRPr="009A2999">
        <w:rPr>
          <w:rFonts w:ascii="Arial" w:hAnsi="Arial" w:cs="Arial"/>
          <w:sz w:val="22"/>
          <w:szCs w:val="22"/>
        </w:rPr>
        <w:t>t ha</w:t>
      </w:r>
      <w:r w:rsidR="00F178C4" w:rsidRPr="009A2999">
        <w:rPr>
          <w:rFonts w:ascii="Arial" w:hAnsi="Arial" w:cs="Arial"/>
          <w:sz w:val="22"/>
          <w:szCs w:val="22"/>
          <w:vertAlign w:val="superscript"/>
        </w:rPr>
        <w:t xml:space="preserve">-1 </w:t>
      </w:r>
      <w:r w:rsidR="00F178C4" w:rsidRPr="009A2999">
        <w:rPr>
          <w:rFonts w:ascii="Arial" w:hAnsi="Arial" w:cs="Arial"/>
          <w:sz w:val="22"/>
          <w:szCs w:val="22"/>
        </w:rPr>
        <w:t>biomass</w:t>
      </w:r>
      <w:r w:rsidR="00F178C4" w:rsidRPr="009A2999">
        <w:rPr>
          <w:rFonts w:ascii="Arial" w:hAnsi="Arial" w:cs="Arial"/>
          <w:noProof/>
          <w:sz w:val="22"/>
          <w:szCs w:val="22"/>
        </w:rPr>
        <w:t xml:space="preserve"> </w:t>
      </w:r>
      <w:r w:rsidRPr="009A2999">
        <w:rPr>
          <w:rFonts w:ascii="Arial" w:hAnsi="Arial" w:cs="Arial"/>
          <w:noProof/>
          <w:sz w:val="22"/>
          <w:szCs w:val="22"/>
        </w:rPr>
        <w:t xml:space="preserve">and </w:t>
      </w:r>
      <w:r w:rsidR="008842B0" w:rsidRPr="009A2999">
        <w:rPr>
          <w:rFonts w:ascii="Arial" w:hAnsi="Arial" w:cs="Arial"/>
          <w:noProof/>
          <w:sz w:val="22"/>
          <w:szCs w:val="22"/>
        </w:rPr>
        <w:t xml:space="preserve">solution using </w:t>
      </w:r>
      <w:r w:rsidR="00F178C4" w:rsidRPr="009A2999">
        <w:rPr>
          <w:rFonts w:ascii="Arial" w:hAnsi="Arial" w:cs="Arial"/>
          <w:noProof/>
          <w:sz w:val="22"/>
          <w:szCs w:val="22"/>
        </w:rPr>
        <w:t xml:space="preserve">an alternative </w:t>
      </w:r>
      <w:r w:rsidR="00784B38" w:rsidRPr="009A2999">
        <w:rPr>
          <w:rFonts w:ascii="Arial" w:hAnsi="Arial" w:cs="Arial"/>
          <w:noProof/>
          <w:sz w:val="22"/>
          <w:szCs w:val="22"/>
        </w:rPr>
        <w:t>threshold</w:t>
      </w:r>
      <w:r w:rsidRPr="009A2999">
        <w:rPr>
          <w:rFonts w:ascii="Arial" w:hAnsi="Arial" w:cs="Arial"/>
          <w:noProof/>
          <w:sz w:val="22"/>
          <w:szCs w:val="22"/>
        </w:rPr>
        <w:t>.</w:t>
      </w:r>
      <w:r w:rsidR="008842B0" w:rsidRPr="009A2999">
        <w:rPr>
          <w:rFonts w:ascii="Arial" w:hAnsi="Arial" w:cs="Arial"/>
          <w:noProof/>
          <w:sz w:val="22"/>
          <w:szCs w:val="22"/>
        </w:rPr>
        <w:t xml:space="preserve"> </w:t>
      </w:r>
    </w:p>
    <w:p w14:paraId="5A069839" w14:textId="77777777" w:rsidR="00F835CC" w:rsidRDefault="00F835CC" w:rsidP="005370AC">
      <w:pPr>
        <w:spacing w:after="240" w:line="360" w:lineRule="auto"/>
        <w:rPr>
          <w:rFonts w:ascii="Arial" w:hAnsi="Arial" w:cs="Arial"/>
          <w:sz w:val="22"/>
          <w:szCs w:val="22"/>
        </w:rPr>
      </w:pPr>
    </w:p>
    <w:p w14:paraId="0C179CB0" w14:textId="77777777" w:rsidR="001709DB" w:rsidRDefault="001709DB">
      <w:pPr>
        <w:spacing w:after="160" w:line="259" w:lineRule="auto"/>
        <w:jc w:val="left"/>
        <w:rPr>
          <w:rFonts w:ascii="Arial" w:hAnsi="Arial" w:cs="Arial"/>
          <w:sz w:val="22"/>
          <w:szCs w:val="22"/>
        </w:rPr>
      </w:pPr>
    </w:p>
    <w:p w14:paraId="174EA63E" w14:textId="77777777" w:rsidR="001709DB" w:rsidRDefault="001709DB">
      <w:pPr>
        <w:spacing w:after="160" w:line="259" w:lineRule="auto"/>
        <w:jc w:val="left"/>
        <w:rPr>
          <w:rFonts w:ascii="Arial" w:hAnsi="Arial" w:cs="Arial"/>
          <w:sz w:val="22"/>
          <w:szCs w:val="22"/>
        </w:rPr>
      </w:pPr>
      <w:r>
        <w:rPr>
          <w:rFonts w:ascii="Arial" w:hAnsi="Arial" w:cs="Arial"/>
          <w:sz w:val="22"/>
          <w:szCs w:val="22"/>
        </w:rPr>
        <w:br w:type="page"/>
      </w:r>
    </w:p>
    <w:p w14:paraId="3F4C48C7" w14:textId="77777777" w:rsidR="001709DB" w:rsidRPr="00263381" w:rsidRDefault="001709DB" w:rsidP="001709DB">
      <w:pPr>
        <w:spacing w:after="160" w:line="278" w:lineRule="auto"/>
        <w:rPr>
          <w:rFonts w:ascii="Arial" w:hAnsi="Arial" w:cs="Arial"/>
          <w:color w:val="4472C4" w:themeColor="accent1"/>
          <w:sz w:val="22"/>
          <w:szCs w:val="22"/>
        </w:rPr>
      </w:pPr>
      <w:r w:rsidRPr="00263381">
        <w:rPr>
          <w:rFonts w:ascii="Arial" w:hAnsi="Arial" w:cs="Arial"/>
          <w:b/>
          <w:bCs/>
          <w:color w:val="4472C4" w:themeColor="accent1"/>
          <w:sz w:val="22"/>
          <w:szCs w:val="22"/>
        </w:rPr>
        <w:lastRenderedPageBreak/>
        <w:t xml:space="preserve">Section 2 Adaption of a Multidimensional Wellbeing Index for social forestry. </w:t>
      </w:r>
    </w:p>
    <w:p w14:paraId="6C90DEBB" w14:textId="5BF26B76" w:rsidR="001709DB" w:rsidRPr="001927A1" w:rsidRDefault="00826F2A" w:rsidP="001709DB">
      <w:pPr>
        <w:spacing w:after="160" w:line="278" w:lineRule="auto"/>
        <w:rPr>
          <w:rFonts w:ascii="Arial" w:hAnsi="Arial" w:cs="Arial"/>
          <w:sz w:val="22"/>
          <w:szCs w:val="22"/>
        </w:rPr>
      </w:pPr>
      <w:r>
        <w:rPr>
          <w:rFonts w:ascii="Arial" w:hAnsi="Arial" w:cs="Arial"/>
          <w:sz w:val="22"/>
          <w:szCs w:val="22"/>
        </w:rPr>
        <w:t xml:space="preserve">Table S1 </w:t>
      </w:r>
      <w:r w:rsidR="001709DB" w:rsidRPr="001927A1">
        <w:rPr>
          <w:rFonts w:ascii="Arial" w:hAnsi="Arial" w:cs="Arial"/>
          <w:sz w:val="22"/>
          <w:szCs w:val="22"/>
        </w:rPr>
        <w:t xml:space="preserve">Description of 15 indicators in each of five dimensions, </w:t>
      </w:r>
      <w:r w:rsidR="001709DB">
        <w:rPr>
          <w:rFonts w:ascii="Arial" w:hAnsi="Arial" w:cs="Arial"/>
          <w:sz w:val="22"/>
          <w:szCs w:val="22"/>
        </w:rPr>
        <w:t xml:space="preserve">and </w:t>
      </w:r>
      <w:r w:rsidR="001709DB" w:rsidRPr="001927A1">
        <w:rPr>
          <w:rFonts w:ascii="Arial" w:hAnsi="Arial" w:cs="Arial"/>
          <w:sz w:val="22"/>
          <w:szCs w:val="22"/>
        </w:rPr>
        <w:t xml:space="preserve">possible mechanisms between social forestry and well-being outcomes.  Abbreviations for mechanisms: TENURE: Land tenure security; NTFP: Sustainable non-timber forest product harvesting/income; RIGHTS: Formal recognition of local/Indigenous rights; GOV: Local governance and community management associations.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6"/>
        <w:gridCol w:w="1560"/>
        <w:gridCol w:w="1161"/>
        <w:gridCol w:w="1529"/>
        <w:gridCol w:w="2535"/>
        <w:gridCol w:w="865"/>
      </w:tblGrid>
      <w:tr w:rsidR="001709DB" w:rsidRPr="00020019" w14:paraId="01C90CB5" w14:textId="77777777" w:rsidTr="00785AB0">
        <w:trPr>
          <w:tblCellSpacing w:w="15" w:type="dxa"/>
        </w:trPr>
        <w:tc>
          <w:tcPr>
            <w:tcW w:w="0" w:type="auto"/>
            <w:tcBorders>
              <w:top w:val="single" w:sz="4" w:space="0" w:color="auto"/>
              <w:bottom w:val="single" w:sz="4" w:space="0" w:color="auto"/>
            </w:tcBorders>
            <w:hideMark/>
          </w:tcPr>
          <w:p w14:paraId="0CBDABC4"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Dimension</w:t>
            </w:r>
          </w:p>
        </w:tc>
        <w:tc>
          <w:tcPr>
            <w:tcW w:w="0" w:type="auto"/>
            <w:tcBorders>
              <w:top w:val="single" w:sz="4" w:space="0" w:color="auto"/>
              <w:bottom w:val="single" w:sz="4" w:space="0" w:color="auto"/>
            </w:tcBorders>
            <w:hideMark/>
          </w:tcPr>
          <w:p w14:paraId="63732D2E"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PODES Indicator</w:t>
            </w:r>
          </w:p>
        </w:tc>
        <w:tc>
          <w:tcPr>
            <w:tcW w:w="0" w:type="auto"/>
            <w:tcBorders>
              <w:top w:val="single" w:sz="4" w:space="0" w:color="auto"/>
              <w:bottom w:val="single" w:sz="4" w:space="0" w:color="auto"/>
            </w:tcBorders>
            <w:hideMark/>
          </w:tcPr>
          <w:p w14:paraId="549939A4"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Description</w:t>
            </w:r>
          </w:p>
        </w:tc>
        <w:tc>
          <w:tcPr>
            <w:tcW w:w="1762" w:type="dxa"/>
            <w:tcBorders>
              <w:top w:val="single" w:sz="4" w:space="0" w:color="auto"/>
              <w:bottom w:val="single" w:sz="4" w:space="0" w:color="auto"/>
            </w:tcBorders>
            <w:hideMark/>
          </w:tcPr>
          <w:p w14:paraId="1545330E"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Possible Mechanisms</w:t>
            </w:r>
          </w:p>
        </w:tc>
        <w:tc>
          <w:tcPr>
            <w:tcW w:w="3733" w:type="dxa"/>
            <w:tcBorders>
              <w:top w:val="single" w:sz="4" w:space="0" w:color="auto"/>
              <w:bottom w:val="single" w:sz="4" w:space="0" w:color="auto"/>
            </w:tcBorders>
            <w:hideMark/>
          </w:tcPr>
          <w:p w14:paraId="1AC457D6"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Expected Outcome</w:t>
            </w:r>
          </w:p>
        </w:tc>
        <w:tc>
          <w:tcPr>
            <w:tcW w:w="0" w:type="auto"/>
            <w:tcBorders>
              <w:top w:val="single" w:sz="4" w:space="0" w:color="auto"/>
              <w:bottom w:val="single" w:sz="4" w:space="0" w:color="auto"/>
            </w:tcBorders>
            <w:hideMark/>
          </w:tcPr>
          <w:p w14:paraId="796A659C" w14:textId="77777777" w:rsidR="001709DB" w:rsidRPr="00020019" w:rsidRDefault="001709DB" w:rsidP="00785AB0">
            <w:pPr>
              <w:spacing w:after="160" w:line="278" w:lineRule="auto"/>
              <w:jc w:val="left"/>
              <w:rPr>
                <w:rFonts w:ascii="Arial" w:hAnsi="Arial" w:cs="Arial"/>
                <w:b/>
                <w:bCs/>
                <w:sz w:val="20"/>
                <w:szCs w:val="20"/>
              </w:rPr>
            </w:pPr>
            <w:r w:rsidRPr="00020019">
              <w:rPr>
                <w:rFonts w:ascii="Arial" w:hAnsi="Arial" w:cs="Arial"/>
                <w:b/>
                <w:bCs/>
                <w:sz w:val="20"/>
                <w:szCs w:val="20"/>
              </w:rPr>
              <w:t>Sources</w:t>
            </w:r>
          </w:p>
        </w:tc>
      </w:tr>
      <w:tr w:rsidR="001709DB" w:rsidRPr="00020019" w14:paraId="09C4EFC1" w14:textId="77777777" w:rsidTr="00785AB0">
        <w:trPr>
          <w:tblCellSpacing w:w="15" w:type="dxa"/>
        </w:trPr>
        <w:tc>
          <w:tcPr>
            <w:tcW w:w="0" w:type="auto"/>
            <w:hideMark/>
          </w:tcPr>
          <w:p w14:paraId="18F9391F"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b/>
                <w:bCs/>
                <w:sz w:val="20"/>
                <w:szCs w:val="20"/>
              </w:rPr>
              <w:t>Living Standards</w:t>
            </w:r>
          </w:p>
        </w:tc>
        <w:tc>
          <w:tcPr>
            <w:tcW w:w="0" w:type="auto"/>
            <w:hideMark/>
          </w:tcPr>
          <w:p w14:paraId="2C112B0A"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WATER</w:t>
            </w:r>
          </w:p>
        </w:tc>
        <w:tc>
          <w:tcPr>
            <w:tcW w:w="0" w:type="auto"/>
            <w:hideMark/>
          </w:tcPr>
          <w:p w14:paraId="29ACE1C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Main source of drinking water</w:t>
            </w:r>
          </w:p>
        </w:tc>
        <w:tc>
          <w:tcPr>
            <w:tcW w:w="1762" w:type="dxa"/>
            <w:hideMark/>
          </w:tcPr>
          <w:p w14:paraId="685E12D0"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NTFP</w:t>
            </w:r>
          </w:p>
        </w:tc>
        <w:tc>
          <w:tcPr>
            <w:tcW w:w="3733" w:type="dxa"/>
            <w:hideMark/>
          </w:tcPr>
          <w:p w14:paraId="7C04A401"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Improved land security and forest-based income allow for investment in clean water infrastructure.</w:t>
            </w:r>
          </w:p>
        </w:tc>
        <w:tc>
          <w:tcPr>
            <w:tcW w:w="0" w:type="auto"/>
            <w:hideMark/>
          </w:tcPr>
          <w:p w14:paraId="5914B08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1, 2, 3</w:t>
            </w:r>
          </w:p>
        </w:tc>
      </w:tr>
      <w:tr w:rsidR="001709DB" w:rsidRPr="00020019" w14:paraId="559D3F85" w14:textId="77777777" w:rsidTr="00785AB0">
        <w:trPr>
          <w:tblCellSpacing w:w="15" w:type="dxa"/>
        </w:trPr>
        <w:tc>
          <w:tcPr>
            <w:tcW w:w="0" w:type="auto"/>
            <w:hideMark/>
          </w:tcPr>
          <w:p w14:paraId="632E883E" w14:textId="77777777" w:rsidR="001709DB" w:rsidRPr="00020019" w:rsidRDefault="001709DB" w:rsidP="00785AB0">
            <w:pPr>
              <w:spacing w:after="160" w:line="278" w:lineRule="auto"/>
              <w:jc w:val="left"/>
              <w:rPr>
                <w:rFonts w:ascii="Arial" w:hAnsi="Arial" w:cs="Arial"/>
                <w:sz w:val="20"/>
                <w:szCs w:val="20"/>
              </w:rPr>
            </w:pPr>
          </w:p>
        </w:tc>
        <w:tc>
          <w:tcPr>
            <w:tcW w:w="0" w:type="auto"/>
            <w:hideMark/>
          </w:tcPr>
          <w:p w14:paraId="0B2D9728"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TOILET</w:t>
            </w:r>
          </w:p>
        </w:tc>
        <w:tc>
          <w:tcPr>
            <w:tcW w:w="0" w:type="auto"/>
            <w:hideMark/>
          </w:tcPr>
          <w:p w14:paraId="6F0C8AD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Type of toilet facility</w:t>
            </w:r>
          </w:p>
        </w:tc>
        <w:tc>
          <w:tcPr>
            <w:tcW w:w="1762" w:type="dxa"/>
            <w:hideMark/>
          </w:tcPr>
          <w:p w14:paraId="4F36FB2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NTFP</w:t>
            </w:r>
          </w:p>
        </w:tc>
        <w:tc>
          <w:tcPr>
            <w:tcW w:w="3733" w:type="dxa"/>
            <w:hideMark/>
          </w:tcPr>
          <w:p w14:paraId="0B4DBEB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Household income gains from stable forest management allow for improved private sanitation.</w:t>
            </w:r>
          </w:p>
        </w:tc>
        <w:tc>
          <w:tcPr>
            <w:tcW w:w="0" w:type="auto"/>
            <w:hideMark/>
          </w:tcPr>
          <w:p w14:paraId="409956A1"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1, 2</w:t>
            </w:r>
          </w:p>
        </w:tc>
      </w:tr>
      <w:tr w:rsidR="001709DB" w:rsidRPr="00020019" w14:paraId="165EFACF" w14:textId="77777777" w:rsidTr="00785AB0">
        <w:trPr>
          <w:tblCellSpacing w:w="15" w:type="dxa"/>
        </w:trPr>
        <w:tc>
          <w:tcPr>
            <w:tcW w:w="0" w:type="auto"/>
            <w:tcBorders>
              <w:bottom w:val="single" w:sz="4" w:space="0" w:color="auto"/>
            </w:tcBorders>
            <w:hideMark/>
          </w:tcPr>
          <w:p w14:paraId="0C9AB3C7" w14:textId="77777777" w:rsidR="001709DB" w:rsidRPr="00020019" w:rsidRDefault="001709DB" w:rsidP="00785AB0">
            <w:pPr>
              <w:spacing w:after="160" w:line="278" w:lineRule="auto"/>
              <w:jc w:val="left"/>
              <w:rPr>
                <w:rFonts w:ascii="Arial" w:hAnsi="Arial" w:cs="Arial"/>
                <w:sz w:val="20"/>
                <w:szCs w:val="20"/>
              </w:rPr>
            </w:pPr>
          </w:p>
        </w:tc>
        <w:tc>
          <w:tcPr>
            <w:tcW w:w="0" w:type="auto"/>
            <w:tcBorders>
              <w:bottom w:val="single" w:sz="4" w:space="0" w:color="auto"/>
            </w:tcBorders>
            <w:hideMark/>
          </w:tcPr>
          <w:p w14:paraId="25EF805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FUEL</w:t>
            </w:r>
          </w:p>
        </w:tc>
        <w:tc>
          <w:tcPr>
            <w:tcW w:w="0" w:type="auto"/>
            <w:tcBorders>
              <w:bottom w:val="single" w:sz="4" w:space="0" w:color="auto"/>
            </w:tcBorders>
            <w:hideMark/>
          </w:tcPr>
          <w:p w14:paraId="701B08B4"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Type of cooking fuel</w:t>
            </w:r>
          </w:p>
        </w:tc>
        <w:tc>
          <w:tcPr>
            <w:tcW w:w="1762" w:type="dxa"/>
            <w:tcBorders>
              <w:bottom w:val="single" w:sz="4" w:space="0" w:color="auto"/>
            </w:tcBorders>
            <w:hideMark/>
          </w:tcPr>
          <w:p w14:paraId="5829DAB3"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NTFP, TENURE</w:t>
            </w:r>
          </w:p>
        </w:tc>
        <w:tc>
          <w:tcPr>
            <w:tcW w:w="3733" w:type="dxa"/>
            <w:tcBorders>
              <w:bottom w:val="single" w:sz="4" w:space="0" w:color="auto"/>
            </w:tcBorders>
            <w:hideMark/>
          </w:tcPr>
          <w:p w14:paraId="58B7E1DD"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Switch from harvesting of fuelwood to cleaner fuel (LPG/Gas).</w:t>
            </w:r>
          </w:p>
        </w:tc>
        <w:tc>
          <w:tcPr>
            <w:tcW w:w="0" w:type="auto"/>
            <w:tcBorders>
              <w:bottom w:val="single" w:sz="4" w:space="0" w:color="auto"/>
            </w:tcBorders>
            <w:hideMark/>
          </w:tcPr>
          <w:p w14:paraId="2160B72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1, 3</w:t>
            </w:r>
          </w:p>
        </w:tc>
      </w:tr>
      <w:tr w:rsidR="001709DB" w:rsidRPr="00020019" w14:paraId="6E9BEA17" w14:textId="77777777" w:rsidTr="00785AB0">
        <w:trPr>
          <w:tblCellSpacing w:w="15" w:type="dxa"/>
        </w:trPr>
        <w:tc>
          <w:tcPr>
            <w:tcW w:w="0" w:type="auto"/>
            <w:hideMark/>
          </w:tcPr>
          <w:p w14:paraId="54C88E0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b/>
                <w:bCs/>
                <w:sz w:val="20"/>
                <w:szCs w:val="20"/>
              </w:rPr>
              <w:t>Health</w:t>
            </w:r>
          </w:p>
        </w:tc>
        <w:tc>
          <w:tcPr>
            <w:tcW w:w="0" w:type="auto"/>
            <w:hideMark/>
          </w:tcPr>
          <w:p w14:paraId="2CFE3AB4"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FACILITIES</w:t>
            </w:r>
          </w:p>
        </w:tc>
        <w:tc>
          <w:tcPr>
            <w:tcW w:w="0" w:type="auto"/>
            <w:hideMark/>
          </w:tcPr>
          <w:p w14:paraId="301EC4C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Availability of healthcare facilities</w:t>
            </w:r>
          </w:p>
        </w:tc>
        <w:tc>
          <w:tcPr>
            <w:tcW w:w="1762" w:type="dxa"/>
            <w:hideMark/>
          </w:tcPr>
          <w:p w14:paraId="2770321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RIGHTS, GOV</w:t>
            </w:r>
          </w:p>
        </w:tc>
        <w:tc>
          <w:tcPr>
            <w:tcW w:w="3733" w:type="dxa"/>
            <w:hideMark/>
          </w:tcPr>
          <w:p w14:paraId="163EFC8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Formal legal status facilitates better government service delivery and facility placement.</w:t>
            </w:r>
          </w:p>
        </w:tc>
        <w:tc>
          <w:tcPr>
            <w:tcW w:w="0" w:type="auto"/>
            <w:hideMark/>
          </w:tcPr>
          <w:p w14:paraId="096B25F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71EBF5C6" w14:textId="77777777" w:rsidTr="00785AB0">
        <w:trPr>
          <w:tblCellSpacing w:w="15" w:type="dxa"/>
        </w:trPr>
        <w:tc>
          <w:tcPr>
            <w:tcW w:w="0" w:type="auto"/>
            <w:hideMark/>
          </w:tcPr>
          <w:p w14:paraId="6E705622" w14:textId="77777777" w:rsidR="001709DB" w:rsidRPr="00020019" w:rsidRDefault="001709DB" w:rsidP="00785AB0">
            <w:pPr>
              <w:spacing w:after="160" w:line="278" w:lineRule="auto"/>
              <w:jc w:val="left"/>
              <w:rPr>
                <w:rFonts w:ascii="Arial" w:hAnsi="Arial" w:cs="Arial"/>
                <w:sz w:val="20"/>
                <w:szCs w:val="20"/>
              </w:rPr>
            </w:pPr>
          </w:p>
        </w:tc>
        <w:tc>
          <w:tcPr>
            <w:tcW w:w="0" w:type="auto"/>
            <w:hideMark/>
          </w:tcPr>
          <w:p w14:paraId="66A55833"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MALNUTRITION</w:t>
            </w:r>
          </w:p>
        </w:tc>
        <w:tc>
          <w:tcPr>
            <w:tcW w:w="0" w:type="auto"/>
            <w:hideMark/>
          </w:tcPr>
          <w:p w14:paraId="7035947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Cases of malnutrition</w:t>
            </w:r>
          </w:p>
        </w:tc>
        <w:tc>
          <w:tcPr>
            <w:tcW w:w="1762" w:type="dxa"/>
            <w:hideMark/>
          </w:tcPr>
          <w:p w14:paraId="528E51D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NTFP, GOV</w:t>
            </w:r>
          </w:p>
        </w:tc>
        <w:tc>
          <w:tcPr>
            <w:tcW w:w="3733" w:type="dxa"/>
            <w:hideMark/>
          </w:tcPr>
          <w:p w14:paraId="38E62ABA"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Enhanced food security through access to diverse forest-based nutrients and medicinal plants. Greater expenditure spent on food.</w:t>
            </w:r>
          </w:p>
        </w:tc>
        <w:tc>
          <w:tcPr>
            <w:tcW w:w="0" w:type="auto"/>
            <w:hideMark/>
          </w:tcPr>
          <w:p w14:paraId="7101ECF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1, 5</w:t>
            </w:r>
          </w:p>
        </w:tc>
      </w:tr>
      <w:tr w:rsidR="001709DB" w:rsidRPr="00020019" w14:paraId="305D3D8A" w14:textId="77777777" w:rsidTr="00785AB0">
        <w:trPr>
          <w:tblCellSpacing w:w="15" w:type="dxa"/>
        </w:trPr>
        <w:tc>
          <w:tcPr>
            <w:tcW w:w="0" w:type="auto"/>
            <w:tcBorders>
              <w:bottom w:val="single" w:sz="4" w:space="0" w:color="auto"/>
            </w:tcBorders>
            <w:hideMark/>
          </w:tcPr>
          <w:p w14:paraId="0440A27F" w14:textId="77777777" w:rsidR="001709DB" w:rsidRPr="00020019" w:rsidRDefault="001709DB" w:rsidP="00785AB0">
            <w:pPr>
              <w:spacing w:after="160" w:line="278" w:lineRule="auto"/>
              <w:jc w:val="left"/>
              <w:rPr>
                <w:rFonts w:ascii="Arial" w:hAnsi="Arial" w:cs="Arial"/>
                <w:sz w:val="20"/>
                <w:szCs w:val="20"/>
              </w:rPr>
            </w:pPr>
          </w:p>
        </w:tc>
        <w:tc>
          <w:tcPr>
            <w:tcW w:w="0" w:type="auto"/>
            <w:tcBorders>
              <w:bottom w:val="single" w:sz="4" w:space="0" w:color="auto"/>
            </w:tcBorders>
            <w:hideMark/>
          </w:tcPr>
          <w:p w14:paraId="3EA69577"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DISEASE</w:t>
            </w:r>
          </w:p>
        </w:tc>
        <w:tc>
          <w:tcPr>
            <w:tcW w:w="0" w:type="auto"/>
            <w:tcBorders>
              <w:bottom w:val="single" w:sz="4" w:space="0" w:color="auto"/>
            </w:tcBorders>
            <w:hideMark/>
          </w:tcPr>
          <w:p w14:paraId="17C0B9F8"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Mortality due to malaria or vomiting</w:t>
            </w:r>
          </w:p>
        </w:tc>
        <w:tc>
          <w:tcPr>
            <w:tcW w:w="1762" w:type="dxa"/>
            <w:tcBorders>
              <w:bottom w:val="single" w:sz="4" w:space="0" w:color="auto"/>
            </w:tcBorders>
            <w:hideMark/>
          </w:tcPr>
          <w:p w14:paraId="57AB1A5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GOV, NTFP</w:t>
            </w:r>
          </w:p>
        </w:tc>
        <w:tc>
          <w:tcPr>
            <w:tcW w:w="3733" w:type="dxa"/>
            <w:tcBorders>
              <w:bottom w:val="single" w:sz="4" w:space="0" w:color="auto"/>
            </w:tcBorders>
            <w:hideMark/>
          </w:tcPr>
          <w:p w14:paraId="5A1F2F4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Community-led health treatments and improved local environments reduce disease mortality.</w:t>
            </w:r>
          </w:p>
        </w:tc>
        <w:tc>
          <w:tcPr>
            <w:tcW w:w="0" w:type="auto"/>
            <w:tcBorders>
              <w:bottom w:val="single" w:sz="4" w:space="0" w:color="auto"/>
            </w:tcBorders>
            <w:hideMark/>
          </w:tcPr>
          <w:p w14:paraId="7964F02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1, 2</w:t>
            </w:r>
          </w:p>
        </w:tc>
      </w:tr>
      <w:tr w:rsidR="001709DB" w:rsidRPr="00020019" w14:paraId="05FD874F" w14:textId="77777777" w:rsidTr="00785AB0">
        <w:trPr>
          <w:tblCellSpacing w:w="15" w:type="dxa"/>
        </w:trPr>
        <w:tc>
          <w:tcPr>
            <w:tcW w:w="0" w:type="auto"/>
            <w:hideMark/>
          </w:tcPr>
          <w:p w14:paraId="040EB44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b/>
                <w:bCs/>
                <w:sz w:val="20"/>
                <w:szCs w:val="20"/>
              </w:rPr>
              <w:t>Education</w:t>
            </w:r>
          </w:p>
        </w:tc>
        <w:tc>
          <w:tcPr>
            <w:tcW w:w="0" w:type="auto"/>
            <w:hideMark/>
          </w:tcPr>
          <w:p w14:paraId="43268C70"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PRIMARY</w:t>
            </w:r>
          </w:p>
        </w:tc>
        <w:tc>
          <w:tcPr>
            <w:tcW w:w="0" w:type="auto"/>
            <w:hideMark/>
          </w:tcPr>
          <w:p w14:paraId="38E68891"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Presence of primary school</w:t>
            </w:r>
          </w:p>
        </w:tc>
        <w:tc>
          <w:tcPr>
            <w:tcW w:w="1762" w:type="dxa"/>
            <w:hideMark/>
          </w:tcPr>
          <w:p w14:paraId="7F12016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RIGHTS, GOV</w:t>
            </w:r>
          </w:p>
        </w:tc>
        <w:tc>
          <w:tcPr>
            <w:tcW w:w="3733" w:type="dxa"/>
            <w:hideMark/>
          </w:tcPr>
          <w:p w14:paraId="70CBFD37"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Local management associations gain leverage for infrastructure and educational funding.</w:t>
            </w:r>
          </w:p>
        </w:tc>
        <w:tc>
          <w:tcPr>
            <w:tcW w:w="0" w:type="auto"/>
            <w:hideMark/>
          </w:tcPr>
          <w:p w14:paraId="5CBE277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2F8B5519" w14:textId="77777777" w:rsidTr="00785AB0">
        <w:trPr>
          <w:tblCellSpacing w:w="15" w:type="dxa"/>
        </w:trPr>
        <w:tc>
          <w:tcPr>
            <w:tcW w:w="0" w:type="auto"/>
            <w:hideMark/>
          </w:tcPr>
          <w:p w14:paraId="6A3C8B35" w14:textId="77777777" w:rsidR="001709DB" w:rsidRPr="00020019" w:rsidRDefault="001709DB" w:rsidP="00785AB0">
            <w:pPr>
              <w:spacing w:after="160" w:line="278" w:lineRule="auto"/>
              <w:jc w:val="left"/>
              <w:rPr>
                <w:rFonts w:ascii="Arial" w:hAnsi="Arial" w:cs="Arial"/>
                <w:sz w:val="20"/>
                <w:szCs w:val="20"/>
              </w:rPr>
            </w:pPr>
          </w:p>
        </w:tc>
        <w:tc>
          <w:tcPr>
            <w:tcW w:w="0" w:type="auto"/>
            <w:hideMark/>
          </w:tcPr>
          <w:p w14:paraId="2FB5623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JUNIOR</w:t>
            </w:r>
          </w:p>
        </w:tc>
        <w:tc>
          <w:tcPr>
            <w:tcW w:w="0" w:type="auto"/>
            <w:hideMark/>
          </w:tcPr>
          <w:p w14:paraId="5C85E2BF"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Presence of junior high school</w:t>
            </w:r>
          </w:p>
        </w:tc>
        <w:tc>
          <w:tcPr>
            <w:tcW w:w="1762" w:type="dxa"/>
            <w:hideMark/>
          </w:tcPr>
          <w:p w14:paraId="1758A284"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RIGHTS, GOV</w:t>
            </w:r>
          </w:p>
        </w:tc>
        <w:tc>
          <w:tcPr>
            <w:tcW w:w="3733" w:type="dxa"/>
            <w:hideMark/>
          </w:tcPr>
          <w:p w14:paraId="3E5F4F5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Improved long-term village stability encourages secondary school development.</w:t>
            </w:r>
          </w:p>
        </w:tc>
        <w:tc>
          <w:tcPr>
            <w:tcW w:w="0" w:type="auto"/>
            <w:hideMark/>
          </w:tcPr>
          <w:p w14:paraId="6974591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2112A908" w14:textId="77777777" w:rsidTr="00785AB0">
        <w:trPr>
          <w:tblCellSpacing w:w="15" w:type="dxa"/>
        </w:trPr>
        <w:tc>
          <w:tcPr>
            <w:tcW w:w="0" w:type="auto"/>
            <w:tcBorders>
              <w:bottom w:val="single" w:sz="4" w:space="0" w:color="auto"/>
            </w:tcBorders>
            <w:hideMark/>
          </w:tcPr>
          <w:p w14:paraId="0F4C7654" w14:textId="77777777" w:rsidR="001709DB" w:rsidRPr="00020019" w:rsidRDefault="001709DB" w:rsidP="00785AB0">
            <w:pPr>
              <w:spacing w:after="160" w:line="278" w:lineRule="auto"/>
              <w:jc w:val="left"/>
              <w:rPr>
                <w:rFonts w:ascii="Arial" w:hAnsi="Arial" w:cs="Arial"/>
                <w:sz w:val="20"/>
                <w:szCs w:val="20"/>
              </w:rPr>
            </w:pPr>
          </w:p>
        </w:tc>
        <w:tc>
          <w:tcPr>
            <w:tcW w:w="0" w:type="auto"/>
            <w:tcBorders>
              <w:bottom w:val="single" w:sz="4" w:space="0" w:color="auto"/>
            </w:tcBorders>
            <w:hideMark/>
          </w:tcPr>
          <w:p w14:paraId="03642A9E"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LITERACY</w:t>
            </w:r>
          </w:p>
        </w:tc>
        <w:tc>
          <w:tcPr>
            <w:tcW w:w="0" w:type="auto"/>
            <w:tcBorders>
              <w:bottom w:val="single" w:sz="4" w:space="0" w:color="auto"/>
            </w:tcBorders>
            <w:hideMark/>
          </w:tcPr>
          <w:p w14:paraId="34C3A86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At least one literacy support programme</w:t>
            </w:r>
          </w:p>
        </w:tc>
        <w:tc>
          <w:tcPr>
            <w:tcW w:w="1762" w:type="dxa"/>
            <w:tcBorders>
              <w:bottom w:val="single" w:sz="4" w:space="0" w:color="auto"/>
            </w:tcBorders>
            <w:hideMark/>
          </w:tcPr>
          <w:p w14:paraId="5120F37A"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GOV</w:t>
            </w:r>
          </w:p>
        </w:tc>
        <w:tc>
          <w:tcPr>
            <w:tcW w:w="3733" w:type="dxa"/>
            <w:tcBorders>
              <w:bottom w:val="single" w:sz="4" w:space="0" w:color="auto"/>
            </w:tcBorders>
            <w:hideMark/>
          </w:tcPr>
          <w:p w14:paraId="78296AA8"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Community groups implement or host literacy programmes to support forest management tasks.</w:t>
            </w:r>
          </w:p>
        </w:tc>
        <w:tc>
          <w:tcPr>
            <w:tcW w:w="0" w:type="auto"/>
            <w:tcBorders>
              <w:bottom w:val="single" w:sz="4" w:space="0" w:color="auto"/>
            </w:tcBorders>
            <w:hideMark/>
          </w:tcPr>
          <w:p w14:paraId="67ED98FA"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5895590C" w14:textId="77777777" w:rsidTr="00785AB0">
        <w:trPr>
          <w:tblCellSpacing w:w="15" w:type="dxa"/>
        </w:trPr>
        <w:tc>
          <w:tcPr>
            <w:tcW w:w="0" w:type="auto"/>
            <w:hideMark/>
          </w:tcPr>
          <w:p w14:paraId="63EB553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b/>
                <w:bCs/>
                <w:sz w:val="20"/>
                <w:szCs w:val="20"/>
              </w:rPr>
              <w:t>Infrastructure</w:t>
            </w:r>
          </w:p>
        </w:tc>
        <w:tc>
          <w:tcPr>
            <w:tcW w:w="0" w:type="auto"/>
            <w:hideMark/>
          </w:tcPr>
          <w:p w14:paraId="56304F5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SKTM</w:t>
            </w:r>
          </w:p>
        </w:tc>
        <w:tc>
          <w:tcPr>
            <w:tcW w:w="0" w:type="auto"/>
            <w:hideMark/>
          </w:tcPr>
          <w:p w14:paraId="16604680"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Number of households with poverty (SKTM) letters</w:t>
            </w:r>
          </w:p>
        </w:tc>
        <w:tc>
          <w:tcPr>
            <w:tcW w:w="1762" w:type="dxa"/>
            <w:hideMark/>
          </w:tcPr>
          <w:p w14:paraId="067D4F1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NTFP</w:t>
            </w:r>
          </w:p>
        </w:tc>
        <w:tc>
          <w:tcPr>
            <w:tcW w:w="3733" w:type="dxa"/>
            <w:hideMark/>
          </w:tcPr>
          <w:p w14:paraId="104F7D0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Stabilised livelihoods lead to a decrease in the number of households requiring poverty certification.</w:t>
            </w:r>
          </w:p>
        </w:tc>
        <w:tc>
          <w:tcPr>
            <w:tcW w:w="0" w:type="auto"/>
            <w:hideMark/>
          </w:tcPr>
          <w:p w14:paraId="547CF37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1, 2</w:t>
            </w:r>
          </w:p>
        </w:tc>
      </w:tr>
      <w:tr w:rsidR="001709DB" w:rsidRPr="00020019" w14:paraId="623CE90A" w14:textId="77777777" w:rsidTr="00785AB0">
        <w:trPr>
          <w:tblCellSpacing w:w="15" w:type="dxa"/>
        </w:trPr>
        <w:tc>
          <w:tcPr>
            <w:tcW w:w="0" w:type="auto"/>
            <w:hideMark/>
          </w:tcPr>
          <w:p w14:paraId="7486175E" w14:textId="77777777" w:rsidR="001709DB" w:rsidRPr="00020019" w:rsidRDefault="001709DB" w:rsidP="00785AB0">
            <w:pPr>
              <w:spacing w:after="160" w:line="278" w:lineRule="auto"/>
              <w:jc w:val="left"/>
              <w:rPr>
                <w:rFonts w:ascii="Arial" w:hAnsi="Arial" w:cs="Arial"/>
                <w:sz w:val="20"/>
                <w:szCs w:val="20"/>
              </w:rPr>
            </w:pPr>
          </w:p>
        </w:tc>
        <w:tc>
          <w:tcPr>
            <w:tcW w:w="0" w:type="auto"/>
            <w:hideMark/>
          </w:tcPr>
          <w:p w14:paraId="573B749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MARKET</w:t>
            </w:r>
          </w:p>
        </w:tc>
        <w:tc>
          <w:tcPr>
            <w:tcW w:w="0" w:type="auto"/>
            <w:hideMark/>
          </w:tcPr>
          <w:p w14:paraId="1EF3F5F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Presence of permanent or semi-permanent market in village</w:t>
            </w:r>
          </w:p>
        </w:tc>
        <w:tc>
          <w:tcPr>
            <w:tcW w:w="1762" w:type="dxa"/>
            <w:hideMark/>
          </w:tcPr>
          <w:p w14:paraId="102F8795"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NTFP, GOV</w:t>
            </w:r>
          </w:p>
        </w:tc>
        <w:tc>
          <w:tcPr>
            <w:tcW w:w="3733" w:type="dxa"/>
            <w:hideMark/>
          </w:tcPr>
          <w:p w14:paraId="0A710EDD"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Increased trade of non-timber forest products encourages market development.</w:t>
            </w:r>
          </w:p>
        </w:tc>
        <w:tc>
          <w:tcPr>
            <w:tcW w:w="0" w:type="auto"/>
            <w:hideMark/>
          </w:tcPr>
          <w:p w14:paraId="2E53DC73"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1, 3, 4</w:t>
            </w:r>
          </w:p>
        </w:tc>
      </w:tr>
      <w:tr w:rsidR="001709DB" w:rsidRPr="00020019" w14:paraId="6BCC7F05" w14:textId="77777777" w:rsidTr="00785AB0">
        <w:trPr>
          <w:tblCellSpacing w:w="15" w:type="dxa"/>
        </w:trPr>
        <w:tc>
          <w:tcPr>
            <w:tcW w:w="0" w:type="auto"/>
            <w:tcBorders>
              <w:bottom w:val="single" w:sz="4" w:space="0" w:color="auto"/>
            </w:tcBorders>
            <w:hideMark/>
          </w:tcPr>
          <w:p w14:paraId="55C5067D" w14:textId="77777777" w:rsidR="001709DB" w:rsidRPr="00020019" w:rsidRDefault="001709DB" w:rsidP="00785AB0">
            <w:pPr>
              <w:spacing w:after="160" w:line="278" w:lineRule="auto"/>
              <w:jc w:val="left"/>
              <w:rPr>
                <w:rFonts w:ascii="Arial" w:hAnsi="Arial" w:cs="Arial"/>
                <w:sz w:val="20"/>
                <w:szCs w:val="20"/>
              </w:rPr>
            </w:pPr>
          </w:p>
        </w:tc>
        <w:tc>
          <w:tcPr>
            <w:tcW w:w="0" w:type="auto"/>
            <w:tcBorders>
              <w:bottom w:val="single" w:sz="4" w:space="0" w:color="auto"/>
            </w:tcBorders>
            <w:hideMark/>
          </w:tcPr>
          <w:p w14:paraId="0296CBCC"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CREDIT</w:t>
            </w:r>
          </w:p>
        </w:tc>
        <w:tc>
          <w:tcPr>
            <w:tcW w:w="0" w:type="auto"/>
            <w:tcBorders>
              <w:bottom w:val="single" w:sz="4" w:space="0" w:color="auto"/>
            </w:tcBorders>
            <w:hideMark/>
          </w:tcPr>
          <w:p w14:paraId="6E14F12D"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Availability of food credit, small business credit, etc.</w:t>
            </w:r>
          </w:p>
        </w:tc>
        <w:tc>
          <w:tcPr>
            <w:tcW w:w="1762" w:type="dxa"/>
            <w:tcBorders>
              <w:bottom w:val="single" w:sz="4" w:space="0" w:color="auto"/>
            </w:tcBorders>
            <w:hideMark/>
          </w:tcPr>
          <w:p w14:paraId="347541AA"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GOV</w:t>
            </w:r>
          </w:p>
        </w:tc>
        <w:tc>
          <w:tcPr>
            <w:tcW w:w="3733" w:type="dxa"/>
            <w:tcBorders>
              <w:bottom w:val="single" w:sz="4" w:space="0" w:color="auto"/>
            </w:tcBorders>
            <w:hideMark/>
          </w:tcPr>
          <w:p w14:paraId="1164D9F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Legal tenure acts as collateral; management groups may form community credit unions.</w:t>
            </w:r>
          </w:p>
        </w:tc>
        <w:tc>
          <w:tcPr>
            <w:tcW w:w="0" w:type="auto"/>
            <w:tcBorders>
              <w:bottom w:val="single" w:sz="4" w:space="0" w:color="auto"/>
            </w:tcBorders>
            <w:hideMark/>
          </w:tcPr>
          <w:p w14:paraId="650AD64F"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1, 2, 4</w:t>
            </w:r>
          </w:p>
        </w:tc>
      </w:tr>
      <w:tr w:rsidR="001709DB" w:rsidRPr="00020019" w14:paraId="3916F59F" w14:textId="77777777" w:rsidTr="00785AB0">
        <w:trPr>
          <w:tblCellSpacing w:w="15" w:type="dxa"/>
        </w:trPr>
        <w:tc>
          <w:tcPr>
            <w:tcW w:w="0" w:type="auto"/>
            <w:hideMark/>
          </w:tcPr>
          <w:p w14:paraId="1F31D95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b/>
                <w:bCs/>
                <w:sz w:val="20"/>
                <w:szCs w:val="20"/>
              </w:rPr>
              <w:t>Social Cohesion</w:t>
            </w:r>
          </w:p>
        </w:tc>
        <w:tc>
          <w:tcPr>
            <w:tcW w:w="0" w:type="auto"/>
            <w:hideMark/>
          </w:tcPr>
          <w:p w14:paraId="566C395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COOPERATION</w:t>
            </w:r>
          </w:p>
        </w:tc>
        <w:tc>
          <w:tcPr>
            <w:tcW w:w="0" w:type="auto"/>
            <w:hideMark/>
          </w:tcPr>
          <w:p w14:paraId="10DFE0A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Mutual-cooperation activities</w:t>
            </w:r>
          </w:p>
        </w:tc>
        <w:tc>
          <w:tcPr>
            <w:tcW w:w="1762" w:type="dxa"/>
            <w:hideMark/>
          </w:tcPr>
          <w:p w14:paraId="77B9FC5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GOV</w:t>
            </w:r>
          </w:p>
        </w:tc>
        <w:tc>
          <w:tcPr>
            <w:tcW w:w="3733" w:type="dxa"/>
            <w:hideMark/>
          </w:tcPr>
          <w:p w14:paraId="3511C296"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 xml:space="preserve">Shared forest stewardship (e.g., </w:t>
            </w:r>
            <w:r w:rsidRPr="00020019">
              <w:rPr>
                <w:rFonts w:ascii="Arial" w:hAnsi="Arial" w:cs="Arial"/>
                <w:i/>
                <w:iCs/>
                <w:sz w:val="20"/>
                <w:szCs w:val="20"/>
              </w:rPr>
              <w:t>Gotong Royong*</w:t>
            </w:r>
            <w:r w:rsidRPr="00020019">
              <w:rPr>
                <w:rFonts w:ascii="Arial" w:hAnsi="Arial" w:cs="Arial"/>
                <w:sz w:val="20"/>
                <w:szCs w:val="20"/>
              </w:rPr>
              <w:t>) strengthens collective social bonds.</w:t>
            </w:r>
          </w:p>
        </w:tc>
        <w:tc>
          <w:tcPr>
            <w:tcW w:w="0" w:type="auto"/>
            <w:hideMark/>
          </w:tcPr>
          <w:p w14:paraId="0562C47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293912D9" w14:textId="77777777" w:rsidTr="00785AB0">
        <w:trPr>
          <w:tblCellSpacing w:w="15" w:type="dxa"/>
        </w:trPr>
        <w:tc>
          <w:tcPr>
            <w:tcW w:w="0" w:type="auto"/>
            <w:hideMark/>
          </w:tcPr>
          <w:p w14:paraId="40D9B50B" w14:textId="77777777" w:rsidR="001709DB" w:rsidRPr="00020019" w:rsidRDefault="001709DB" w:rsidP="00785AB0">
            <w:pPr>
              <w:spacing w:after="160" w:line="278" w:lineRule="auto"/>
              <w:jc w:val="left"/>
              <w:rPr>
                <w:rFonts w:ascii="Arial" w:hAnsi="Arial" w:cs="Arial"/>
                <w:sz w:val="20"/>
                <w:szCs w:val="20"/>
              </w:rPr>
            </w:pPr>
          </w:p>
        </w:tc>
        <w:tc>
          <w:tcPr>
            <w:tcW w:w="0" w:type="auto"/>
            <w:hideMark/>
          </w:tcPr>
          <w:p w14:paraId="7B03507E"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CRIME</w:t>
            </w:r>
          </w:p>
        </w:tc>
        <w:tc>
          <w:tcPr>
            <w:tcW w:w="0" w:type="auto"/>
            <w:hideMark/>
          </w:tcPr>
          <w:p w14:paraId="4933E86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Any serious crimes occur in the last 3 years</w:t>
            </w:r>
          </w:p>
        </w:tc>
        <w:tc>
          <w:tcPr>
            <w:tcW w:w="1762" w:type="dxa"/>
            <w:hideMark/>
          </w:tcPr>
          <w:p w14:paraId="6766E61E"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GOV</w:t>
            </w:r>
          </w:p>
        </w:tc>
        <w:tc>
          <w:tcPr>
            <w:tcW w:w="3733" w:type="dxa"/>
            <w:hideMark/>
          </w:tcPr>
          <w:p w14:paraId="71970A07"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Clear management rights and community oversight reduce resource-theft and local crime.</w:t>
            </w:r>
          </w:p>
        </w:tc>
        <w:tc>
          <w:tcPr>
            <w:tcW w:w="0" w:type="auto"/>
            <w:hideMark/>
          </w:tcPr>
          <w:p w14:paraId="4A68956B"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1, 4</w:t>
            </w:r>
          </w:p>
        </w:tc>
      </w:tr>
      <w:tr w:rsidR="001709DB" w:rsidRPr="00020019" w14:paraId="0F2117CE" w14:textId="77777777" w:rsidTr="00785AB0">
        <w:trPr>
          <w:tblCellSpacing w:w="15" w:type="dxa"/>
        </w:trPr>
        <w:tc>
          <w:tcPr>
            <w:tcW w:w="0" w:type="auto"/>
            <w:tcBorders>
              <w:bottom w:val="single" w:sz="4" w:space="0" w:color="auto"/>
            </w:tcBorders>
            <w:hideMark/>
          </w:tcPr>
          <w:p w14:paraId="0D94D4AB" w14:textId="77777777" w:rsidR="001709DB" w:rsidRPr="00020019" w:rsidRDefault="001709DB" w:rsidP="00785AB0">
            <w:pPr>
              <w:spacing w:after="160" w:line="278" w:lineRule="auto"/>
              <w:jc w:val="left"/>
              <w:rPr>
                <w:rFonts w:ascii="Arial" w:hAnsi="Arial" w:cs="Arial"/>
                <w:sz w:val="20"/>
                <w:szCs w:val="20"/>
              </w:rPr>
            </w:pPr>
          </w:p>
        </w:tc>
        <w:tc>
          <w:tcPr>
            <w:tcW w:w="0" w:type="auto"/>
            <w:tcBorders>
              <w:bottom w:val="single" w:sz="4" w:space="0" w:color="auto"/>
            </w:tcBorders>
            <w:hideMark/>
          </w:tcPr>
          <w:p w14:paraId="21AF62B0"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CONFLICT</w:t>
            </w:r>
          </w:p>
        </w:tc>
        <w:tc>
          <w:tcPr>
            <w:tcW w:w="0" w:type="auto"/>
            <w:tcBorders>
              <w:bottom w:val="single" w:sz="4" w:space="0" w:color="auto"/>
            </w:tcBorders>
            <w:hideMark/>
          </w:tcPr>
          <w:p w14:paraId="6069C71D"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A report of mass conflict in the past year</w:t>
            </w:r>
          </w:p>
        </w:tc>
        <w:tc>
          <w:tcPr>
            <w:tcW w:w="1762" w:type="dxa"/>
            <w:tcBorders>
              <w:bottom w:val="single" w:sz="4" w:space="0" w:color="auto"/>
            </w:tcBorders>
            <w:hideMark/>
          </w:tcPr>
          <w:p w14:paraId="550880D2"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TENURE, RIGHTS</w:t>
            </w:r>
          </w:p>
        </w:tc>
        <w:tc>
          <w:tcPr>
            <w:tcW w:w="3733" w:type="dxa"/>
            <w:tcBorders>
              <w:bottom w:val="single" w:sz="4" w:space="0" w:color="auto"/>
            </w:tcBorders>
            <w:hideMark/>
          </w:tcPr>
          <w:p w14:paraId="4242D79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Formal recognition of land claims resolves tenure disputes and reduces inter-group conflict.</w:t>
            </w:r>
          </w:p>
        </w:tc>
        <w:tc>
          <w:tcPr>
            <w:tcW w:w="0" w:type="auto"/>
            <w:tcBorders>
              <w:bottom w:val="single" w:sz="4" w:space="0" w:color="auto"/>
            </w:tcBorders>
            <w:hideMark/>
          </w:tcPr>
          <w:p w14:paraId="1955E439" w14:textId="77777777" w:rsidR="001709DB" w:rsidRPr="00020019" w:rsidRDefault="001709DB" w:rsidP="00785AB0">
            <w:pPr>
              <w:spacing w:after="160" w:line="278" w:lineRule="auto"/>
              <w:jc w:val="left"/>
              <w:rPr>
                <w:rFonts w:ascii="Arial" w:hAnsi="Arial" w:cs="Arial"/>
                <w:sz w:val="20"/>
                <w:szCs w:val="20"/>
              </w:rPr>
            </w:pPr>
            <w:r w:rsidRPr="00020019">
              <w:rPr>
                <w:rFonts w:ascii="Arial" w:hAnsi="Arial" w:cs="Arial"/>
                <w:sz w:val="20"/>
                <w:szCs w:val="20"/>
              </w:rPr>
              <w:t>1, 3</w:t>
            </w:r>
          </w:p>
        </w:tc>
      </w:tr>
    </w:tbl>
    <w:p w14:paraId="039AFD0D" w14:textId="77777777" w:rsidR="001709DB" w:rsidRPr="001927A1" w:rsidRDefault="001709DB" w:rsidP="001709DB">
      <w:pPr>
        <w:rPr>
          <w:rFonts w:ascii="Arial" w:hAnsi="Arial" w:cs="Arial"/>
          <w:sz w:val="21"/>
          <w:szCs w:val="21"/>
        </w:rPr>
      </w:pPr>
      <w:r w:rsidRPr="001927A1">
        <w:rPr>
          <w:rFonts w:ascii="Arial" w:hAnsi="Arial" w:cs="Arial"/>
          <w:sz w:val="21"/>
          <w:szCs w:val="21"/>
        </w:rPr>
        <w:t xml:space="preserve">* </w:t>
      </w:r>
      <w:r w:rsidRPr="001927A1">
        <w:rPr>
          <w:rFonts w:ascii="Arial" w:hAnsi="Arial" w:cs="Arial"/>
          <w:b/>
          <w:bCs/>
          <w:sz w:val="21"/>
          <w:szCs w:val="21"/>
        </w:rPr>
        <w:t>Gotong royong</w:t>
      </w:r>
      <w:r w:rsidRPr="001927A1">
        <w:rPr>
          <w:rFonts w:ascii="Arial" w:hAnsi="Arial" w:cs="Arial"/>
          <w:sz w:val="21"/>
          <w:szCs w:val="21"/>
        </w:rPr>
        <w:t xml:space="preserve"> is a foundational Indonesian philosophy of mutual assistance, communal cooperation, and shared responsibility. Translating to "jointly carrying a burden", it describes communities working together for the common good without expecting immediate financial compensation. This cultural ethos permeates many aspects of life in Indonesia</w:t>
      </w:r>
      <w:r>
        <w:rPr>
          <w:rFonts w:ascii="Arial" w:hAnsi="Arial" w:cs="Arial"/>
          <w:sz w:val="21"/>
          <w:szCs w:val="21"/>
        </w:rPr>
        <w:t>, and is particularly pertinent to the concepts behind its social forestry programme</w:t>
      </w:r>
      <w:r w:rsidRPr="001927A1">
        <w:rPr>
          <w:rFonts w:ascii="Arial" w:hAnsi="Arial" w:cs="Arial"/>
          <w:sz w:val="21"/>
          <w:szCs w:val="21"/>
        </w:rPr>
        <w:t>.</w:t>
      </w:r>
    </w:p>
    <w:p w14:paraId="6BEA8C93" w14:textId="77777777" w:rsidR="001709DB" w:rsidRPr="001927A1" w:rsidRDefault="001709DB" w:rsidP="001709DB">
      <w:pPr>
        <w:rPr>
          <w:rFonts w:ascii="Arial" w:hAnsi="Arial" w:cs="Arial"/>
          <w:sz w:val="22"/>
          <w:szCs w:val="22"/>
        </w:rPr>
      </w:pPr>
    </w:p>
    <w:p w14:paraId="201FCDBA" w14:textId="77777777" w:rsidR="001709DB" w:rsidRPr="001927A1" w:rsidRDefault="001709DB" w:rsidP="001709DB">
      <w:pPr>
        <w:spacing w:after="160" w:line="278" w:lineRule="auto"/>
        <w:rPr>
          <w:rFonts w:ascii="Arial" w:hAnsi="Arial" w:cs="Arial"/>
          <w:sz w:val="22"/>
          <w:szCs w:val="22"/>
        </w:rPr>
      </w:pPr>
      <w:r w:rsidRPr="001927A1">
        <w:rPr>
          <w:rFonts w:ascii="Arial" w:hAnsi="Arial" w:cs="Arial"/>
          <w:sz w:val="22"/>
          <w:szCs w:val="22"/>
        </w:rPr>
        <w:t>Overview of sources linking the well-being indicators to social forestry contexts in Indonesia (more detailed breakdown of outcomes can be found in the supplemental material of these publications):</w:t>
      </w:r>
    </w:p>
    <w:p w14:paraId="7F2428D1" w14:textId="7D71B004" w:rsidR="001709DB" w:rsidRPr="001927A1" w:rsidRDefault="00826F2A" w:rsidP="001709DB">
      <w:pPr>
        <w:numPr>
          <w:ilvl w:val="0"/>
          <w:numId w:val="8"/>
        </w:numPr>
        <w:spacing w:after="160" w:line="278" w:lineRule="auto"/>
        <w:jc w:val="lef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ZOTERO_ITEM CSL_CITATION {"citationID":"LfgKEEsT","properties":{"unsorted":false,"formattedCitation":"(Morgans et al., 2024)","plainCitation":"(Morgans et al., 2024)","noteIndex":0},"citationItems":[{"id":383,"uris":["http://zotero.org/users/8201370/items/37GUQMGQ"],"itemData":{"id":383,"type":"article-journal","abstract":"Abstract\n            Protected areas (PAs) are central to sustainability targets, yet few evaluations explore outcomes for both conservation and development, or the trade</w:instrText>
      </w:r>
      <w:r>
        <w:rPr>
          <w:rFonts w:ascii="Cambria Math" w:hAnsi="Cambria Math" w:cs="Cambria Math"/>
          <w:sz w:val="22"/>
          <w:szCs w:val="22"/>
        </w:rPr>
        <w:instrText>‐</w:instrText>
      </w:r>
      <w:r>
        <w:rPr>
          <w:rFonts w:ascii="Arial" w:hAnsi="Arial" w:cs="Arial"/>
          <w:sz w:val="22"/>
          <w:szCs w:val="22"/>
        </w:rPr>
        <w:instrText>offs involved. We applied counterfactual analyses to assess the extent to which PAs maintained forest cover and influenced well</w:instrText>
      </w:r>
      <w:r>
        <w:rPr>
          <w:rFonts w:ascii="Cambria Math" w:hAnsi="Cambria Math" w:cs="Cambria Math"/>
          <w:sz w:val="22"/>
          <w:szCs w:val="22"/>
        </w:rPr>
        <w:instrText>‐</w:instrText>
      </w:r>
      <w:r>
        <w:rPr>
          <w:rFonts w:ascii="Arial" w:hAnsi="Arial" w:cs="Arial"/>
          <w:sz w:val="22"/>
          <w:szCs w:val="22"/>
        </w:rPr>
        <w:instrText>being across &gt;31,000 villages in Sumatra and Kalimantan, Indonesia. We examined multidimensional aspects of well</w:instrText>
      </w:r>
      <w:r>
        <w:rPr>
          <w:rFonts w:ascii="Cambria Math" w:hAnsi="Cambria Math" w:cs="Cambria Math"/>
          <w:sz w:val="22"/>
          <w:szCs w:val="22"/>
        </w:rPr>
        <w:instrText>‐</w:instrText>
      </w:r>
      <w:r>
        <w:rPr>
          <w:rFonts w:ascii="Arial" w:hAnsi="Arial" w:cs="Arial"/>
          <w:sz w:val="22"/>
          <w:szCs w:val="22"/>
        </w:rPr>
        <w:instrText>being, tracking education, health, living standards, infrastructure, environment, and social cohesion in treatment and control villages between 2005 and 2018. Overall, PAs were effective at maintaining forest cover compared to matched controls and were not detrimental to well</w:instrText>
      </w:r>
      <w:r>
        <w:rPr>
          <w:rFonts w:ascii="Cambria Math" w:hAnsi="Cambria Math" w:cs="Cambria Math"/>
          <w:sz w:val="22"/>
          <w:szCs w:val="22"/>
        </w:rPr>
        <w:instrText>‐</w:instrText>
      </w:r>
      <w:r>
        <w:rPr>
          <w:rFonts w:ascii="Arial" w:hAnsi="Arial" w:cs="Arial"/>
          <w:sz w:val="22"/>
          <w:szCs w:val="22"/>
        </w:rPr>
        <w:instrText>being. However, impacts were highly heterogeneous, varying by island and strictness of protection. While health, living standards, and infrastructure aspects of well</w:instrText>
      </w:r>
      <w:r>
        <w:rPr>
          <w:rFonts w:ascii="Cambria Math" w:hAnsi="Cambria Math" w:cs="Cambria Math"/>
          <w:sz w:val="22"/>
          <w:szCs w:val="22"/>
        </w:rPr>
        <w:instrText>‐</w:instrText>
      </w:r>
      <w:r>
        <w:rPr>
          <w:rFonts w:ascii="Arial" w:hAnsi="Arial" w:cs="Arial"/>
          <w:sz w:val="22"/>
          <w:szCs w:val="22"/>
        </w:rPr>
        <w:instrText>being improved, education access, environmental conditions, and social cohesion declined. Our analysis reveals the contexts through which individual PAs succeed or fail in delivering multiple benefits and provides insights into where further on</w:instrText>
      </w:r>
      <w:r>
        <w:rPr>
          <w:rFonts w:ascii="Cambria Math" w:hAnsi="Cambria Math" w:cs="Cambria Math"/>
          <w:sz w:val="22"/>
          <w:szCs w:val="22"/>
        </w:rPr>
        <w:instrText>‐</w:instrText>
      </w:r>
      <w:r>
        <w:rPr>
          <w:rFonts w:ascii="Arial" w:hAnsi="Arial" w:cs="Arial"/>
          <w:sz w:val="22"/>
          <w:szCs w:val="22"/>
        </w:rPr>
        <w:instrText>ground support is needed to achieve conservation and development objectives.","container-title":"Conservation Letters","DOI":"10.1111/conl.13010","ISSN":"1755-263X, 1755-263X","issue":"3","journalAbbreviation":"Conservation Letters.","language":"en","page":"e13010","source":"DOI.org (Crossref)","title":"Improving well</w:instrText>
      </w:r>
      <w:r>
        <w:rPr>
          <w:rFonts w:ascii="Cambria Math" w:hAnsi="Cambria Math" w:cs="Cambria Math"/>
          <w:sz w:val="22"/>
          <w:szCs w:val="22"/>
        </w:rPr>
        <w:instrText>‐</w:instrText>
      </w:r>
      <w:r>
        <w:rPr>
          <w:rFonts w:ascii="Arial" w:hAnsi="Arial" w:cs="Arial"/>
          <w:sz w:val="22"/>
          <w:szCs w:val="22"/>
        </w:rPr>
        <w:instrText xml:space="preserve">being and reducing deforestation in Indonesia's protected areas","URL":"https://conbio.onlinelibrary.wiley.com/doi/10.1111/conl.13010","volume":"17","author":[{"family":"Morgans","given":"Courtney Leslie"},{"family":"Jago","given":"Sophie"},{"family":"Andayani","given":"Noviar"},{"family":"Linkie","given":"Matthew"},{"family":"Lo","given":"Michaela G. Y."},{"family":"Mumbunan","given":"Sonny"},{"family":"St. John","given":"Freya A. V."},{"family":"Supriatna","given":"Jatna"},{"family":"Voigt","given":"Maria"},{"family":"Winarni","given":"Nurul L."},{"family":"Santika","given":"Truly"},{"family":"Struebig","given":"Matthew J."}],"accessed":{"date-parts":[["2024",8,20]]},"issued":{"date-parts":[["2024",5]]}}}],"schema":"https://github.com/citation-style-language/schema/raw/master/csl-citation.json"} </w:instrText>
      </w:r>
      <w:r>
        <w:rPr>
          <w:rFonts w:ascii="Arial" w:hAnsi="Arial" w:cs="Arial"/>
          <w:sz w:val="22"/>
          <w:szCs w:val="22"/>
        </w:rPr>
        <w:fldChar w:fldCharType="separate"/>
      </w:r>
      <w:r w:rsidRPr="00826F2A">
        <w:rPr>
          <w:rFonts w:ascii="Arial" w:hAnsi="Arial" w:cs="Arial"/>
          <w:sz w:val="22"/>
        </w:rPr>
        <w:t>(Morgans et al., 2024)</w:t>
      </w:r>
      <w:r>
        <w:rPr>
          <w:rFonts w:ascii="Arial" w:hAnsi="Arial" w:cs="Arial"/>
          <w:sz w:val="22"/>
          <w:szCs w:val="22"/>
        </w:rPr>
        <w:fldChar w:fldCharType="end"/>
      </w:r>
      <w:r w:rsidR="001709DB" w:rsidRPr="001927A1">
        <w:rPr>
          <w:rFonts w:ascii="Arial" w:hAnsi="Arial" w:cs="Arial"/>
          <w:b/>
          <w:bCs/>
          <w:sz w:val="22"/>
          <w:szCs w:val="22"/>
        </w:rPr>
        <w:t>:</w:t>
      </w:r>
      <w:r w:rsidR="001709DB" w:rsidRPr="001927A1">
        <w:rPr>
          <w:rFonts w:ascii="Arial" w:hAnsi="Arial" w:cs="Arial"/>
          <w:sz w:val="22"/>
          <w:szCs w:val="22"/>
        </w:rPr>
        <w:t xml:space="preserve"> The primary source for the 15-indicator multidimensional index and its application to Indonesian forest wellbeing.</w:t>
      </w:r>
    </w:p>
    <w:p w14:paraId="293EC85F" w14:textId="5626A459" w:rsidR="001709DB" w:rsidRPr="001927A1" w:rsidRDefault="00ED1101" w:rsidP="001709DB">
      <w:pPr>
        <w:numPr>
          <w:ilvl w:val="0"/>
          <w:numId w:val="8"/>
        </w:numPr>
        <w:spacing w:after="160" w:line="278" w:lineRule="auto"/>
        <w:jc w:val="left"/>
        <w:rPr>
          <w:rFonts w:ascii="Arial" w:hAnsi="Arial" w:cs="Arial"/>
          <w:sz w:val="22"/>
          <w:szCs w:val="22"/>
        </w:rPr>
      </w:pPr>
      <w:r>
        <w:rPr>
          <w:rFonts w:ascii="Arial" w:hAnsi="Arial" w:cs="Arial"/>
          <w:sz w:val="22"/>
          <w:szCs w:val="22"/>
        </w:rPr>
        <w:lastRenderedPageBreak/>
        <w:fldChar w:fldCharType="begin"/>
      </w:r>
      <w:r>
        <w:rPr>
          <w:rFonts w:ascii="Arial" w:hAnsi="Arial" w:cs="Arial"/>
          <w:sz w:val="22"/>
          <w:szCs w:val="22"/>
        </w:rPr>
        <w:instrText xml:space="preserve"> ADDIN ZOTERO_ITEM CSL_CITATION {"citationID":"6FXYOaK5","properties":{"unsorted":false,"formattedCitation":"(Santika et al., 2019)","plainCitation":"(Santika et al., 2019)","noteIndex":0},"citationItems":[{"id":127,"uris":["http://zotero.org/users/8201370/items/2RTCJEKH"],"itemData":{"id":127,"type":"article-journal","container-title":"People and Nature","issue":"2","license":"All rights reserved","page":"204–219","title":"Heterogeneous impacts of community forestry on forest conservation and poverty alleviation: Evidence from Indonesia","volume":"1","author":[{"family":"Santika","given":"Truly"},{"family":"Wilson","given":"Kerrie A"},{"family":"Budiharta","given":"Sugeng"},{"family":"Kusworo","given":"Ahmad"},{"family":"Meijaard","given":"Erik"},{"family":"Law","given":"Elizabeth A"},{"family":"Friedman","given":"Rachel"},{"family":"Hutabarat","given":"Joseph A"},{"family":"Indrawan","given":"Tito P"},{"family":"St. John","given":"Freya AV"},{"literal":"others"}],"issued":{"date-parts":[["2019"]]}}}],"schema":"https://github.com/citation-style-language/schema/raw/master/csl-citation.json"} </w:instrText>
      </w:r>
      <w:r>
        <w:rPr>
          <w:rFonts w:ascii="Arial" w:hAnsi="Arial" w:cs="Arial"/>
          <w:sz w:val="22"/>
          <w:szCs w:val="22"/>
        </w:rPr>
        <w:fldChar w:fldCharType="separate"/>
      </w:r>
      <w:r w:rsidRPr="00ED1101">
        <w:rPr>
          <w:rFonts w:ascii="Arial" w:hAnsi="Arial" w:cs="Arial"/>
          <w:sz w:val="22"/>
        </w:rPr>
        <w:t>(Santika et al., 2019)</w:t>
      </w:r>
      <w:r>
        <w:rPr>
          <w:rFonts w:ascii="Arial" w:hAnsi="Arial" w:cs="Arial"/>
          <w:sz w:val="22"/>
          <w:szCs w:val="22"/>
        </w:rPr>
        <w:fldChar w:fldCharType="end"/>
      </w:r>
      <w:r w:rsidR="001709DB" w:rsidRPr="001927A1">
        <w:rPr>
          <w:rFonts w:ascii="Arial" w:hAnsi="Arial" w:cs="Arial"/>
          <w:b/>
          <w:bCs/>
          <w:sz w:val="22"/>
          <w:szCs w:val="22"/>
        </w:rPr>
        <w:t>:</w:t>
      </w:r>
      <w:r w:rsidR="001709DB" w:rsidRPr="001927A1">
        <w:rPr>
          <w:rFonts w:ascii="Arial" w:hAnsi="Arial" w:cs="Arial"/>
          <w:sz w:val="22"/>
          <w:szCs w:val="22"/>
        </w:rPr>
        <w:t xml:space="preserve"> Empirical evidence for how community forestry influences different poverty dimensions across Indonesia.</w:t>
      </w:r>
    </w:p>
    <w:p w14:paraId="6899B475" w14:textId="5FDB9C7F" w:rsidR="001709DB" w:rsidRPr="001927A1" w:rsidRDefault="00E43ECC" w:rsidP="001709DB">
      <w:pPr>
        <w:numPr>
          <w:ilvl w:val="0"/>
          <w:numId w:val="8"/>
        </w:numPr>
        <w:spacing w:after="160" w:line="278" w:lineRule="auto"/>
        <w:jc w:val="lef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ZOTERO_ITEM CSL_CITATION {"citationID":"WcZrPTkR","properties":{"unsorted":false,"formattedCitation":"(Hajjar et al., 2020)","plainCitation":"(Hajjar et al., 2020)","noteIndex":0},"citationItems":[{"id":855,"uris":["http://zotero.org/users/8201370/items/25CWPR23"],"itemData":{"id":855,"type":"article-journal","container-title":"Nature Sustainability","DOI":"10.1038/s41893-020-00633-y","ISSN":"2398-9629","issue":"3","journalAbbreviation":"Nat Sustain","language":"en","page":"216-224","source":"DOI.org (Crossref)","title":"A global analysis of the social and environmental outcomes of community forests","URL":"https://www.nature.com/articles/s41893-020-00633-y","volume":"4","author":[{"family":"Hajjar","given":"Reem"},{"family":"Oldekop","given":"Johan A."},{"family":"Cronkleton","given":"Peter"},{"family":"Newton","given":"Peter"},{"family":"Russell","given":"Aaron J. M."},{"family":"Zhou","given":"Wen"}],"accessed":{"date-parts":[["2025",1,31]]},"issued":{"date-parts":[["2020",11,9]]}}}],"schema":"https://github.com/citation-style-language/schema/raw/master/csl-citation.json"} </w:instrText>
      </w:r>
      <w:r>
        <w:rPr>
          <w:rFonts w:ascii="Arial" w:hAnsi="Arial" w:cs="Arial"/>
          <w:sz w:val="22"/>
          <w:szCs w:val="22"/>
        </w:rPr>
        <w:fldChar w:fldCharType="separate"/>
      </w:r>
      <w:r w:rsidRPr="00E43ECC">
        <w:rPr>
          <w:rFonts w:ascii="Arial" w:hAnsi="Arial" w:cs="Arial"/>
          <w:sz w:val="22"/>
        </w:rPr>
        <w:t>(Hajjar et al., 2020)</w:t>
      </w:r>
      <w:r>
        <w:rPr>
          <w:rFonts w:ascii="Arial" w:hAnsi="Arial" w:cs="Arial"/>
          <w:sz w:val="22"/>
          <w:szCs w:val="22"/>
        </w:rPr>
        <w:fldChar w:fldCharType="end"/>
      </w:r>
      <w:r w:rsidR="001709DB" w:rsidRPr="001927A1">
        <w:rPr>
          <w:rFonts w:ascii="Arial" w:hAnsi="Arial" w:cs="Arial"/>
          <w:b/>
          <w:bCs/>
          <w:sz w:val="22"/>
          <w:szCs w:val="22"/>
        </w:rPr>
        <w:t>:</w:t>
      </w:r>
      <w:r w:rsidR="001709DB" w:rsidRPr="001927A1">
        <w:rPr>
          <w:rFonts w:ascii="Arial" w:hAnsi="Arial" w:cs="Arial"/>
          <w:sz w:val="22"/>
          <w:szCs w:val="22"/>
        </w:rPr>
        <w:t xml:space="preserve"> Global analysis confirming that community forests lead to improved social and environmental outcomes.</w:t>
      </w:r>
    </w:p>
    <w:p w14:paraId="6BACE570" w14:textId="70E027C7" w:rsidR="001709DB" w:rsidRPr="001927A1" w:rsidRDefault="002E2BE0" w:rsidP="001709DB">
      <w:pPr>
        <w:numPr>
          <w:ilvl w:val="0"/>
          <w:numId w:val="8"/>
        </w:numPr>
        <w:spacing w:after="160" w:line="278" w:lineRule="auto"/>
        <w:jc w:val="lef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ZOTERO_ITEM CSL_CITATION {"citationID":"7JRRwLBt","properties":{"unsorted":false,"formattedCitation":"(Fischer et al., 2023)","plainCitation":"(Fischer et al., 2023)","noteIndex":0},"citationItems":[{"id":849,"uris":["http://zotero.org/users/8201370/items/2WAM9FQP"],"itemData":{"id":849,"type":"article-journal","abstract":"Abstract\n            Forest landscape restoration has emerged as a key strategy to sequester atmospheric carbon and conserve biodiversity while providing livelihood co-benefits for indigenous peoples and local communities. Using a dataset of 314 forest commons in human-dominated landscapes in 15 tropical countries in Africa, Asia and Latin America, we examine the relationships among carbon sequestered in above-ground woody biomass, tree species richness and forest livelihoods. We find five distinct clusters of forest commons, with co-benefits and trade-offs on multiple dimensions. The presence of a formal community management association and local participation in rule-making are consistent predictors of multiple positive outcomes. These findings, drawn from a range of contexts globally, suggest that empowered local forest governance may support multiple objectives of forest restoration. Our analysis advances understanding of institutional aspects of restoration while underscoring the importance of analysing the interconnections among multiple forest benefits to inform effective interventions for multifunctional tropical forests.","container-title":"Nature Climate Change","DOI":"10.1038/s41558-023-01863-6","ISSN":"1758-678X, 1758-6798","issue":"12","journalAbbreviation":"Nat. Clim. Chang.","language":"en","page":"1340-1347","source":"DOI.org (Crossref)","title":"Community forest governance and synergies among carbon, biodiversity and livelihoods","URL":"https://www.nature.com/articles/s41558-023-01863-6","volume":"13","author":[{"family":"Fischer","given":"Harry W."},{"family":"Chhatre","given":"Ashwini"},{"family":"Duddu","given":"Apurva"},{"family":"Pradhan","given":"Nabin"},{"family":"Agrawal","given":"Arun"}],"accessed":{"date-parts":[["2025",1,24]]},"issued":{"date-parts":[["2023",12]]}}}],"schema":"https://github.com/citation-style-language/schema/raw/master/csl-citation.json"} </w:instrText>
      </w:r>
      <w:r>
        <w:rPr>
          <w:rFonts w:ascii="Arial" w:hAnsi="Arial" w:cs="Arial"/>
          <w:sz w:val="22"/>
          <w:szCs w:val="22"/>
        </w:rPr>
        <w:fldChar w:fldCharType="separate"/>
      </w:r>
      <w:r w:rsidRPr="002E2BE0">
        <w:rPr>
          <w:rFonts w:ascii="Arial" w:hAnsi="Arial" w:cs="Arial"/>
          <w:sz w:val="22"/>
        </w:rPr>
        <w:t>(Fischer et al., 2023)</w:t>
      </w:r>
      <w:r>
        <w:rPr>
          <w:rFonts w:ascii="Arial" w:hAnsi="Arial" w:cs="Arial"/>
          <w:sz w:val="22"/>
          <w:szCs w:val="22"/>
        </w:rPr>
        <w:fldChar w:fldCharType="end"/>
      </w:r>
      <w:r w:rsidR="001709DB" w:rsidRPr="001927A1">
        <w:rPr>
          <w:rFonts w:ascii="Arial" w:hAnsi="Arial" w:cs="Arial"/>
          <w:b/>
          <w:bCs/>
          <w:sz w:val="22"/>
          <w:szCs w:val="22"/>
        </w:rPr>
        <w:t>:</w:t>
      </w:r>
      <w:r w:rsidR="001709DB" w:rsidRPr="001927A1">
        <w:rPr>
          <w:rFonts w:ascii="Arial" w:hAnsi="Arial" w:cs="Arial"/>
          <w:sz w:val="22"/>
          <w:szCs w:val="22"/>
        </w:rPr>
        <w:t xml:space="preserve"> Directly links formal community management and local rule-making to positive outcomes for carbon, biodiversity, and livelihoods.</w:t>
      </w:r>
    </w:p>
    <w:p w14:paraId="62EAD9F8" w14:textId="3C6A98EA" w:rsidR="001709DB" w:rsidRPr="001927A1" w:rsidRDefault="002E2BE0" w:rsidP="001709DB">
      <w:pPr>
        <w:numPr>
          <w:ilvl w:val="0"/>
          <w:numId w:val="8"/>
        </w:numPr>
        <w:spacing w:after="160" w:line="278" w:lineRule="auto"/>
        <w:jc w:val="lef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ZOTERO_ITEM CSL_CITATION {"citationID":"5jHqRfx5","properties":{"unsorted":false,"formattedCitation":"(Pradhan et al., 2026)","plainCitation":"(Pradhan et al., 2026)","noteIndex":0},"citationItems":[{"id":1089,"uris":["http://zotero.org/users/8201370/items/HV2HCQY8"],"itemData":{"id":1089,"type":"article-journal","container-title":"Nature Sustainability","DOI":"10.1038/s41893-026-01816-9","ISSN":"2398-9629","journalAbbreviation":"Nat Sustain","language":"en","source":"DOI.org (Crossref)","title":"Advancing biodiversity through poverty solutions","URL":"https://www.nature.com/articles/s41893-026-01816-9","author":[{"family":"Pradhan","given":"Nabin"},{"family":"Ibáñez","given":"Inés"},{"family":"Chhatre","given":"Ashwini"},{"family":"Duddu","given":"Apurva"},{"family":"Fischer","given":"Harry W."},{"family":"Newton","given":"Peter"},{"family":"Oldekop","given":"Johan A."},{"family":"Wilson","given":"Sarah J."},{"family":"Agrawal","given":"Arun"}],"accessed":{"date-parts":[["2026",7,16]]},"issued":{"date-parts":[["2026",5,18]]}}}],"schema":"https://github.com/citation-style-language/schema/raw/master/csl-citation.json"} </w:instrText>
      </w:r>
      <w:r>
        <w:rPr>
          <w:rFonts w:ascii="Arial" w:hAnsi="Arial" w:cs="Arial"/>
          <w:sz w:val="22"/>
          <w:szCs w:val="22"/>
        </w:rPr>
        <w:fldChar w:fldCharType="separate"/>
      </w:r>
      <w:r w:rsidRPr="002E2BE0">
        <w:rPr>
          <w:rFonts w:ascii="Arial" w:hAnsi="Arial" w:cs="Arial"/>
          <w:sz w:val="22"/>
        </w:rPr>
        <w:t>(Pradhan et al., 2026)</w:t>
      </w:r>
      <w:r>
        <w:rPr>
          <w:rFonts w:ascii="Arial" w:hAnsi="Arial" w:cs="Arial"/>
          <w:sz w:val="22"/>
          <w:szCs w:val="22"/>
        </w:rPr>
        <w:fldChar w:fldCharType="end"/>
      </w:r>
      <w:r w:rsidR="001709DB" w:rsidRPr="001927A1">
        <w:rPr>
          <w:rFonts w:ascii="Arial" w:hAnsi="Arial" w:cs="Arial"/>
          <w:b/>
          <w:bCs/>
          <w:sz w:val="22"/>
          <w:szCs w:val="22"/>
        </w:rPr>
        <w:t>:</w:t>
      </w:r>
      <w:r w:rsidR="001709DB" w:rsidRPr="001927A1">
        <w:rPr>
          <w:rFonts w:ascii="Arial" w:hAnsi="Arial" w:cs="Arial"/>
          <w:sz w:val="22"/>
          <w:szCs w:val="22"/>
        </w:rPr>
        <w:t xml:space="preserve"> Establishes the synergistic link between poverty reduction and biodiversity recovery through sustainable nature-dependent livelihoods</w:t>
      </w:r>
    </w:p>
    <w:p w14:paraId="0C804403" w14:textId="00E2C93C" w:rsidR="001709DB" w:rsidRDefault="001709DB">
      <w:pPr>
        <w:spacing w:after="160" w:line="259" w:lineRule="auto"/>
        <w:jc w:val="left"/>
        <w:rPr>
          <w:rFonts w:ascii="Arial" w:hAnsi="Arial" w:cs="Arial"/>
          <w:sz w:val="22"/>
          <w:szCs w:val="22"/>
        </w:rPr>
      </w:pPr>
      <w:r>
        <w:rPr>
          <w:rFonts w:ascii="Arial" w:hAnsi="Arial" w:cs="Arial"/>
          <w:sz w:val="22"/>
          <w:szCs w:val="22"/>
        </w:rPr>
        <w:br w:type="page"/>
      </w:r>
    </w:p>
    <w:p w14:paraId="0A58F820" w14:textId="77777777" w:rsidR="001709DB" w:rsidRPr="009A2999" w:rsidRDefault="001709DB" w:rsidP="005370AC">
      <w:pPr>
        <w:spacing w:after="240" w:line="360" w:lineRule="auto"/>
        <w:rPr>
          <w:rFonts w:ascii="Arial" w:hAnsi="Arial" w:cs="Arial"/>
          <w:sz w:val="22"/>
          <w:szCs w:val="22"/>
        </w:rPr>
        <w:sectPr w:rsidR="001709DB" w:rsidRPr="009A2999">
          <w:footerReference w:type="default" r:id="rId13"/>
          <w:pgSz w:w="11906" w:h="16838"/>
          <w:pgMar w:top="1440" w:right="1440" w:bottom="1440" w:left="1440" w:header="708" w:footer="708" w:gutter="0"/>
          <w:cols w:space="708"/>
          <w:docGrid w:linePitch="360"/>
        </w:sectPr>
      </w:pPr>
    </w:p>
    <w:p w14:paraId="4ACAAC20" w14:textId="15B6EBBD" w:rsidR="003B534C" w:rsidRPr="00B8305C" w:rsidRDefault="006E1582" w:rsidP="005370AC">
      <w:pPr>
        <w:pStyle w:val="Heading1"/>
        <w:spacing w:before="0" w:after="240" w:line="360" w:lineRule="auto"/>
        <w:rPr>
          <w:rFonts w:ascii="Arial" w:hAnsi="Arial" w:cs="Arial"/>
          <w:b/>
          <w:bCs/>
          <w:sz w:val="22"/>
          <w:szCs w:val="22"/>
        </w:rPr>
      </w:pPr>
      <w:r>
        <w:rPr>
          <w:rFonts w:ascii="Arial" w:hAnsi="Arial" w:cs="Arial"/>
          <w:b/>
          <w:bCs/>
          <w:sz w:val="22"/>
          <w:szCs w:val="22"/>
        </w:rPr>
        <w:lastRenderedPageBreak/>
        <w:t xml:space="preserve">Section </w:t>
      </w:r>
      <w:r w:rsidR="00263381">
        <w:rPr>
          <w:rFonts w:ascii="Arial" w:hAnsi="Arial" w:cs="Arial"/>
          <w:b/>
          <w:bCs/>
          <w:sz w:val="22"/>
          <w:szCs w:val="22"/>
        </w:rPr>
        <w:t>3</w:t>
      </w:r>
      <w:r>
        <w:rPr>
          <w:rFonts w:ascii="Arial" w:hAnsi="Arial" w:cs="Arial"/>
          <w:b/>
          <w:bCs/>
          <w:sz w:val="22"/>
          <w:szCs w:val="22"/>
        </w:rPr>
        <w:t xml:space="preserve"> </w:t>
      </w:r>
      <w:r w:rsidR="008C21B1" w:rsidRPr="00B8305C">
        <w:rPr>
          <w:rFonts w:ascii="Arial" w:hAnsi="Arial" w:cs="Arial"/>
          <w:b/>
          <w:bCs/>
          <w:sz w:val="22"/>
          <w:szCs w:val="22"/>
        </w:rPr>
        <w:t>Spatial aggregation of prioritisation solutions (</w:t>
      </w:r>
      <w:r w:rsidR="00BE0C4A" w:rsidRPr="00B8305C">
        <w:rPr>
          <w:rFonts w:ascii="Arial" w:hAnsi="Arial" w:cs="Arial"/>
          <w:b/>
          <w:bCs/>
          <w:sz w:val="22"/>
          <w:szCs w:val="22"/>
        </w:rPr>
        <w:t>boundary penalty</w:t>
      </w:r>
      <w:r w:rsidR="008C21B1" w:rsidRPr="00B8305C">
        <w:rPr>
          <w:rFonts w:ascii="Arial" w:hAnsi="Arial" w:cs="Arial"/>
          <w:b/>
          <w:bCs/>
          <w:sz w:val="22"/>
          <w:szCs w:val="22"/>
        </w:rPr>
        <w:t>)</w:t>
      </w:r>
    </w:p>
    <w:p w14:paraId="0913D17B" w14:textId="06950C14" w:rsidR="00CE7681" w:rsidRPr="009A2999" w:rsidRDefault="008C21B1" w:rsidP="005370AC">
      <w:pPr>
        <w:spacing w:after="240" w:line="360" w:lineRule="auto"/>
        <w:rPr>
          <w:rFonts w:ascii="Arial" w:hAnsi="Arial" w:cs="Arial"/>
          <w:sz w:val="22"/>
          <w:szCs w:val="22"/>
        </w:rPr>
      </w:pPr>
      <w:r w:rsidRPr="009A2999">
        <w:rPr>
          <w:rFonts w:ascii="Arial" w:hAnsi="Arial" w:cs="Arial"/>
          <w:sz w:val="22"/>
          <w:szCs w:val="22"/>
        </w:rPr>
        <w:t>S</w:t>
      </w:r>
      <w:r w:rsidR="00BE0C4A" w:rsidRPr="009A2999">
        <w:rPr>
          <w:rFonts w:ascii="Arial" w:hAnsi="Arial" w:cs="Arial"/>
          <w:sz w:val="22"/>
          <w:szCs w:val="22"/>
        </w:rPr>
        <w:t>patial aggregat</w:t>
      </w:r>
      <w:r w:rsidR="00C806AE" w:rsidRPr="009A2999">
        <w:rPr>
          <w:rFonts w:ascii="Arial" w:hAnsi="Arial" w:cs="Arial"/>
          <w:sz w:val="22"/>
          <w:szCs w:val="22"/>
        </w:rPr>
        <w:t>ion</w:t>
      </w:r>
      <w:r w:rsidRPr="009A2999">
        <w:rPr>
          <w:rFonts w:ascii="Arial" w:hAnsi="Arial" w:cs="Arial"/>
          <w:sz w:val="22"/>
          <w:szCs w:val="22"/>
        </w:rPr>
        <w:t xml:space="preserve"> </w:t>
      </w:r>
      <w:r w:rsidR="00C806AE" w:rsidRPr="009A2999">
        <w:rPr>
          <w:rFonts w:ascii="Arial" w:hAnsi="Arial" w:cs="Arial"/>
          <w:sz w:val="22"/>
          <w:szCs w:val="22"/>
        </w:rPr>
        <w:t xml:space="preserve">in </w:t>
      </w:r>
      <w:r w:rsidRPr="009A2999">
        <w:rPr>
          <w:rFonts w:ascii="Arial" w:hAnsi="Arial" w:cs="Arial"/>
          <w:sz w:val="22"/>
          <w:szCs w:val="22"/>
        </w:rPr>
        <w:t xml:space="preserve">prioritisation </w:t>
      </w:r>
      <w:r w:rsidR="00BE0C4A" w:rsidRPr="009A2999">
        <w:rPr>
          <w:rFonts w:ascii="Arial" w:hAnsi="Arial" w:cs="Arial"/>
          <w:sz w:val="22"/>
          <w:szCs w:val="22"/>
        </w:rPr>
        <w:t>solutions</w:t>
      </w:r>
      <w:r w:rsidRPr="009A2999">
        <w:rPr>
          <w:rFonts w:ascii="Arial" w:hAnsi="Arial" w:cs="Arial"/>
          <w:sz w:val="22"/>
          <w:szCs w:val="22"/>
        </w:rPr>
        <w:t xml:space="preserve"> can be influenced by applying a boundary penalty (t). High penalties </w:t>
      </w:r>
      <w:r w:rsidR="00BE0C4A" w:rsidRPr="009A2999">
        <w:rPr>
          <w:rFonts w:ascii="Arial" w:hAnsi="Arial" w:cs="Arial"/>
          <w:sz w:val="22"/>
          <w:szCs w:val="22"/>
        </w:rPr>
        <w:t>result in aggregated</w:t>
      </w:r>
      <w:r w:rsidRPr="009A2999">
        <w:rPr>
          <w:rFonts w:ascii="Arial" w:hAnsi="Arial" w:cs="Arial"/>
          <w:sz w:val="22"/>
          <w:szCs w:val="22"/>
        </w:rPr>
        <w:t xml:space="preserve"> spatially-clustered</w:t>
      </w:r>
      <w:r w:rsidR="00BE0C4A" w:rsidRPr="009A2999">
        <w:rPr>
          <w:rFonts w:ascii="Arial" w:hAnsi="Arial" w:cs="Arial"/>
          <w:sz w:val="22"/>
          <w:szCs w:val="22"/>
        </w:rPr>
        <w:t xml:space="preserve"> solutions</w:t>
      </w:r>
      <w:r w:rsidRPr="009A2999">
        <w:rPr>
          <w:rFonts w:ascii="Arial" w:hAnsi="Arial" w:cs="Arial"/>
          <w:sz w:val="22"/>
          <w:szCs w:val="22"/>
        </w:rPr>
        <w:t xml:space="preserve">, while </w:t>
      </w:r>
      <w:r w:rsidR="00BE0C4A" w:rsidRPr="009A2999">
        <w:rPr>
          <w:rFonts w:ascii="Arial" w:hAnsi="Arial" w:cs="Arial"/>
          <w:sz w:val="22"/>
          <w:szCs w:val="22"/>
        </w:rPr>
        <w:t xml:space="preserve">low </w:t>
      </w:r>
      <w:r w:rsidR="00625AA0">
        <w:rPr>
          <w:rFonts w:ascii="Arial" w:hAnsi="Arial" w:cs="Arial"/>
          <w:sz w:val="22"/>
          <w:szCs w:val="22"/>
        </w:rPr>
        <w:t>penalties</w:t>
      </w:r>
      <w:r w:rsidRPr="009A2999">
        <w:rPr>
          <w:rFonts w:ascii="Arial" w:hAnsi="Arial" w:cs="Arial"/>
          <w:sz w:val="22"/>
          <w:szCs w:val="22"/>
        </w:rPr>
        <w:t xml:space="preserve"> result in highly-ranked areas being </w:t>
      </w:r>
      <w:r w:rsidR="00CE7681" w:rsidRPr="009A2999">
        <w:rPr>
          <w:rFonts w:ascii="Arial" w:hAnsi="Arial" w:cs="Arial"/>
          <w:sz w:val="22"/>
          <w:szCs w:val="22"/>
        </w:rPr>
        <w:t xml:space="preserve">small and </w:t>
      </w:r>
      <w:r w:rsidRPr="009A2999">
        <w:rPr>
          <w:rFonts w:ascii="Arial" w:hAnsi="Arial" w:cs="Arial"/>
          <w:sz w:val="22"/>
          <w:szCs w:val="22"/>
        </w:rPr>
        <w:t xml:space="preserve">patchily distributed amongst planning units.  </w:t>
      </w:r>
      <w:r w:rsidR="00C806AE" w:rsidRPr="009A2999">
        <w:rPr>
          <w:rFonts w:ascii="Arial" w:hAnsi="Arial" w:cs="Arial"/>
          <w:sz w:val="22"/>
          <w:szCs w:val="22"/>
        </w:rPr>
        <w:t xml:space="preserve">Prioritisation solutions with </w:t>
      </w:r>
      <w:r w:rsidR="00CE7681" w:rsidRPr="009A2999">
        <w:rPr>
          <w:rFonts w:ascii="Arial" w:hAnsi="Arial" w:cs="Arial"/>
          <w:sz w:val="22"/>
          <w:szCs w:val="22"/>
        </w:rPr>
        <w:t xml:space="preserve">no </w:t>
      </w:r>
      <w:r w:rsidR="00C806AE" w:rsidRPr="009A2999">
        <w:rPr>
          <w:rFonts w:ascii="Arial" w:hAnsi="Arial" w:cs="Arial"/>
          <w:sz w:val="22"/>
          <w:szCs w:val="22"/>
        </w:rPr>
        <w:t xml:space="preserve">boundary penalty </w:t>
      </w:r>
      <w:r w:rsidR="00CE7681" w:rsidRPr="009A2999">
        <w:rPr>
          <w:rFonts w:ascii="Arial" w:hAnsi="Arial" w:cs="Arial"/>
          <w:sz w:val="22"/>
          <w:szCs w:val="22"/>
        </w:rPr>
        <w:t>applied</w:t>
      </w:r>
      <w:r w:rsidR="00C85EFF" w:rsidRPr="009A2999">
        <w:rPr>
          <w:rFonts w:ascii="Arial" w:hAnsi="Arial" w:cs="Arial"/>
          <w:sz w:val="22"/>
          <w:szCs w:val="22"/>
        </w:rPr>
        <w:t xml:space="preserve"> </w:t>
      </w:r>
      <w:r w:rsidR="00C806AE" w:rsidRPr="009A2999">
        <w:rPr>
          <w:rFonts w:ascii="Arial" w:hAnsi="Arial" w:cs="Arial"/>
          <w:sz w:val="22"/>
          <w:szCs w:val="22"/>
        </w:rPr>
        <w:t xml:space="preserve">are optimal </w:t>
      </w:r>
      <w:r w:rsidR="00CE7681" w:rsidRPr="009A2999">
        <w:rPr>
          <w:rFonts w:ascii="Arial" w:hAnsi="Arial" w:cs="Arial"/>
          <w:sz w:val="22"/>
          <w:szCs w:val="22"/>
        </w:rPr>
        <w:t xml:space="preserve">since they </w:t>
      </w:r>
      <w:r w:rsidR="00C806AE" w:rsidRPr="009A2999">
        <w:rPr>
          <w:rFonts w:ascii="Arial" w:hAnsi="Arial" w:cs="Arial"/>
          <w:sz w:val="22"/>
          <w:szCs w:val="22"/>
        </w:rPr>
        <w:t>capture the highest possible amount of each objective</w:t>
      </w:r>
      <w:r w:rsidR="00CE7681" w:rsidRPr="009A2999">
        <w:rPr>
          <w:rFonts w:ascii="Arial" w:hAnsi="Arial" w:cs="Arial"/>
          <w:sz w:val="22"/>
          <w:szCs w:val="22"/>
        </w:rPr>
        <w:t>. However, this approach</w:t>
      </w:r>
      <w:r w:rsidR="00D3384D" w:rsidRPr="009A2999">
        <w:rPr>
          <w:rFonts w:ascii="Arial" w:hAnsi="Arial" w:cs="Arial"/>
          <w:sz w:val="22"/>
          <w:szCs w:val="22"/>
        </w:rPr>
        <w:t xml:space="preserve"> </w:t>
      </w:r>
      <w:r w:rsidR="00CE7681" w:rsidRPr="009A2999">
        <w:rPr>
          <w:rFonts w:ascii="Arial" w:hAnsi="Arial" w:cs="Arial"/>
          <w:sz w:val="22"/>
          <w:szCs w:val="22"/>
        </w:rPr>
        <w:t>tends to prioritise areas that are small and highly fragmented over a planning region, which is undesirable for land-use planning decisions</w:t>
      </w:r>
      <w:r w:rsidR="00C806AE" w:rsidRPr="009A2999">
        <w:rPr>
          <w:rFonts w:ascii="Arial" w:hAnsi="Arial" w:cs="Arial"/>
          <w:sz w:val="22"/>
          <w:szCs w:val="22"/>
        </w:rPr>
        <w:t>. As the penalty value increases, solutions become less optimal and achieve less of each objective</w:t>
      </w:r>
      <w:r w:rsidR="00683E79" w:rsidRPr="009A2999">
        <w:rPr>
          <w:rFonts w:ascii="Arial" w:hAnsi="Arial" w:cs="Arial"/>
          <w:sz w:val="22"/>
          <w:szCs w:val="22"/>
        </w:rPr>
        <w:t xml:space="preserve">, but selected areas become </w:t>
      </w:r>
      <w:r w:rsidR="00CE7681" w:rsidRPr="009A2999">
        <w:rPr>
          <w:rFonts w:ascii="Arial" w:hAnsi="Arial" w:cs="Arial"/>
          <w:sz w:val="22"/>
          <w:szCs w:val="22"/>
        </w:rPr>
        <w:t xml:space="preserve">larger </w:t>
      </w:r>
      <w:r w:rsidR="00683E79" w:rsidRPr="009A2999">
        <w:rPr>
          <w:rFonts w:ascii="Arial" w:hAnsi="Arial" w:cs="Arial"/>
          <w:sz w:val="22"/>
          <w:szCs w:val="22"/>
        </w:rPr>
        <w:t xml:space="preserve">and spatially </w:t>
      </w:r>
      <w:r w:rsidR="002F6FE3" w:rsidRPr="009A2999">
        <w:rPr>
          <w:rFonts w:ascii="Arial" w:hAnsi="Arial" w:cs="Arial"/>
          <w:sz w:val="22"/>
          <w:szCs w:val="22"/>
        </w:rPr>
        <w:t>clustered</w:t>
      </w:r>
      <w:r w:rsidR="00C806AE" w:rsidRPr="009A2999">
        <w:rPr>
          <w:rFonts w:ascii="Arial" w:hAnsi="Arial" w:cs="Arial"/>
          <w:sz w:val="22"/>
          <w:szCs w:val="22"/>
        </w:rPr>
        <w:t xml:space="preserve">. </w:t>
      </w:r>
      <w:r w:rsidR="00EB0B81" w:rsidRPr="009A2999">
        <w:rPr>
          <w:rFonts w:ascii="Arial" w:hAnsi="Arial" w:cs="Arial"/>
          <w:sz w:val="22"/>
          <w:szCs w:val="22"/>
        </w:rPr>
        <w:t xml:space="preserve">Some amount of spatial aggregation is generally desirable to </w:t>
      </w:r>
      <w:r w:rsidR="00CA5E7E">
        <w:rPr>
          <w:rFonts w:ascii="Arial" w:hAnsi="Arial" w:cs="Arial"/>
          <w:sz w:val="22"/>
          <w:szCs w:val="22"/>
        </w:rPr>
        <w:t>minimise</w:t>
      </w:r>
      <w:r w:rsidR="00EB0B81" w:rsidRPr="009A2999">
        <w:rPr>
          <w:rFonts w:ascii="Arial" w:hAnsi="Arial" w:cs="Arial"/>
          <w:sz w:val="22"/>
          <w:szCs w:val="22"/>
        </w:rPr>
        <w:t xml:space="preserve"> edge effects and facilitate </w:t>
      </w:r>
      <w:r w:rsidR="00D73BD0" w:rsidRPr="009A2999">
        <w:rPr>
          <w:rFonts w:ascii="Arial" w:hAnsi="Arial" w:cs="Arial"/>
          <w:sz w:val="22"/>
          <w:szCs w:val="22"/>
        </w:rPr>
        <w:t>management</w:t>
      </w:r>
      <w:r w:rsidR="00EB0B81" w:rsidRPr="009A2999">
        <w:rPr>
          <w:rFonts w:ascii="Arial" w:hAnsi="Arial" w:cs="Arial"/>
          <w:sz w:val="22"/>
          <w:szCs w:val="22"/>
        </w:rPr>
        <w:t xml:space="preserve">. </w:t>
      </w:r>
    </w:p>
    <w:p w14:paraId="3DA0A91D" w14:textId="3880C2FD" w:rsidR="00BE0C4A" w:rsidRPr="009A2999" w:rsidRDefault="00C806AE" w:rsidP="005370AC">
      <w:pPr>
        <w:spacing w:after="240" w:line="360" w:lineRule="auto"/>
        <w:ind w:firstLine="720"/>
        <w:rPr>
          <w:rFonts w:ascii="Arial" w:hAnsi="Arial" w:cs="Arial"/>
          <w:sz w:val="22"/>
          <w:szCs w:val="22"/>
        </w:rPr>
      </w:pPr>
      <w:r w:rsidRPr="009A2999">
        <w:rPr>
          <w:rFonts w:ascii="Arial" w:hAnsi="Arial" w:cs="Arial"/>
          <w:sz w:val="22"/>
          <w:szCs w:val="22"/>
        </w:rPr>
        <w:t xml:space="preserve">We </w:t>
      </w:r>
      <w:r w:rsidR="00BE0C4A" w:rsidRPr="009A2999">
        <w:rPr>
          <w:rFonts w:ascii="Arial" w:hAnsi="Arial" w:cs="Arial"/>
          <w:sz w:val="22"/>
          <w:szCs w:val="22"/>
        </w:rPr>
        <w:t xml:space="preserve">adapted </w:t>
      </w:r>
      <w:r w:rsidR="00CA5E7E">
        <w:rPr>
          <w:rFonts w:ascii="Arial" w:hAnsi="Arial" w:cs="Arial"/>
          <w:sz w:val="22"/>
          <w:szCs w:val="22"/>
        </w:rPr>
        <w:t>a</w:t>
      </w:r>
      <w:r w:rsidR="00BE0C4A" w:rsidRPr="009A2999">
        <w:rPr>
          <w:rFonts w:ascii="Arial" w:hAnsi="Arial" w:cs="Arial"/>
          <w:sz w:val="22"/>
          <w:szCs w:val="22"/>
        </w:rPr>
        <w:t xml:space="preserve"> standard approach of </w:t>
      </w:r>
      <w:r w:rsidR="0078227C" w:rsidRPr="009A2999">
        <w:rPr>
          <w:rFonts w:ascii="Arial" w:hAnsi="Arial" w:cs="Arial"/>
          <w:sz w:val="22"/>
          <w:szCs w:val="22"/>
        </w:rPr>
        <w:t xml:space="preserve">calibrating the </w:t>
      </w:r>
      <w:r w:rsidR="00BE0C4A" w:rsidRPr="009A2999">
        <w:rPr>
          <w:rFonts w:ascii="Arial" w:hAnsi="Arial" w:cs="Arial"/>
          <w:sz w:val="22"/>
          <w:szCs w:val="22"/>
        </w:rPr>
        <w:t>boundary penalt</w:t>
      </w:r>
      <w:r w:rsidR="0078227C" w:rsidRPr="009A2999">
        <w:rPr>
          <w:rFonts w:ascii="Arial" w:hAnsi="Arial" w:cs="Arial"/>
          <w:sz w:val="22"/>
          <w:szCs w:val="22"/>
        </w:rPr>
        <w:t>y</w:t>
      </w:r>
      <w:r w:rsidR="00BE0C4A" w:rsidRPr="009A2999">
        <w:rPr>
          <w:rFonts w:ascii="Arial" w:hAnsi="Arial" w:cs="Arial"/>
          <w:sz w:val="22"/>
          <w:szCs w:val="22"/>
        </w:rPr>
        <w:t xml:space="preserve"> (</w:t>
      </w:r>
      <w:hyperlink r:id="rId14" w:history="1">
        <w:r w:rsidR="00BE0C4A" w:rsidRPr="009A2999">
          <w:rPr>
            <w:rStyle w:val="Hyperlink"/>
            <w:rFonts w:ascii="Arial" w:hAnsi="Arial" w:cs="Arial"/>
            <w:sz w:val="22"/>
            <w:szCs w:val="22"/>
          </w:rPr>
          <w:t>https://prioritizr.net/</w:t>
        </w:r>
      </w:hyperlink>
      <w:r w:rsidR="00BE0C4A" w:rsidRPr="009A2999">
        <w:rPr>
          <w:rFonts w:ascii="Arial" w:hAnsi="Arial" w:cs="Arial"/>
          <w:sz w:val="22"/>
          <w:szCs w:val="22"/>
        </w:rPr>
        <w:t xml:space="preserve">). We chose the </w:t>
      </w:r>
      <w:r w:rsidRPr="009A2999">
        <w:rPr>
          <w:rFonts w:ascii="Arial" w:hAnsi="Arial" w:cs="Arial"/>
          <w:sz w:val="22"/>
          <w:szCs w:val="22"/>
        </w:rPr>
        <w:t xml:space="preserve">highest possible penalty value </w:t>
      </w:r>
      <w:r w:rsidR="009125C3" w:rsidRPr="009A2999">
        <w:rPr>
          <w:rFonts w:ascii="Arial" w:hAnsi="Arial" w:cs="Arial"/>
          <w:sz w:val="22"/>
          <w:szCs w:val="22"/>
        </w:rPr>
        <w:t xml:space="preserve">for each province </w:t>
      </w:r>
      <w:r w:rsidR="00F27C95" w:rsidRPr="009A2999">
        <w:rPr>
          <w:rFonts w:ascii="Arial" w:hAnsi="Arial" w:cs="Arial"/>
          <w:sz w:val="22"/>
          <w:szCs w:val="22"/>
        </w:rPr>
        <w:t xml:space="preserve">which </w:t>
      </w:r>
      <w:r w:rsidR="00DF6C8F" w:rsidRPr="009A2999">
        <w:rPr>
          <w:rFonts w:ascii="Arial" w:hAnsi="Arial" w:cs="Arial"/>
          <w:sz w:val="22"/>
          <w:szCs w:val="22"/>
        </w:rPr>
        <w:t>had</w:t>
      </w:r>
      <w:r w:rsidR="00F27C95" w:rsidRPr="009A2999">
        <w:rPr>
          <w:rFonts w:ascii="Arial" w:hAnsi="Arial" w:cs="Arial"/>
          <w:sz w:val="22"/>
          <w:szCs w:val="22"/>
        </w:rPr>
        <w:t xml:space="preserve"> </w:t>
      </w:r>
      <w:r w:rsidR="00DF6C8F" w:rsidRPr="009A2999">
        <w:rPr>
          <w:rFonts w:ascii="Arial" w:hAnsi="Arial" w:cs="Arial"/>
          <w:sz w:val="22"/>
          <w:szCs w:val="22"/>
        </w:rPr>
        <w:t xml:space="preserve">a </w:t>
      </w:r>
      <w:r w:rsidR="0078227C" w:rsidRPr="009A2999">
        <w:rPr>
          <w:rFonts w:ascii="Arial" w:hAnsi="Arial" w:cs="Arial"/>
          <w:sz w:val="22"/>
          <w:szCs w:val="22"/>
        </w:rPr>
        <w:t xml:space="preserve">&lt;10% reduction in performance, or in other words the most spatially aggregated solution which achieved at least 90% of the </w:t>
      </w:r>
      <w:r w:rsidR="00CA5E7E" w:rsidRPr="009A2999">
        <w:rPr>
          <w:rFonts w:ascii="Arial" w:hAnsi="Arial" w:cs="Arial"/>
          <w:sz w:val="22"/>
          <w:szCs w:val="22"/>
        </w:rPr>
        <w:t>restoration</w:t>
      </w:r>
      <w:r w:rsidR="00CA5E7E">
        <w:rPr>
          <w:rFonts w:ascii="Arial" w:hAnsi="Arial" w:cs="Arial"/>
          <w:sz w:val="22"/>
          <w:szCs w:val="22"/>
        </w:rPr>
        <w:t>,</w:t>
      </w:r>
      <w:r w:rsidR="00CA5E7E" w:rsidRPr="009A2999">
        <w:rPr>
          <w:rFonts w:ascii="Arial" w:hAnsi="Arial" w:cs="Arial"/>
          <w:sz w:val="22"/>
          <w:szCs w:val="22"/>
        </w:rPr>
        <w:t xml:space="preserve"> </w:t>
      </w:r>
      <w:r w:rsidR="0078227C" w:rsidRPr="009A2999">
        <w:rPr>
          <w:rFonts w:ascii="Arial" w:hAnsi="Arial" w:cs="Arial"/>
          <w:sz w:val="22"/>
          <w:szCs w:val="22"/>
        </w:rPr>
        <w:t>biodiversity , and poverty alleviation objective</w:t>
      </w:r>
      <w:r w:rsidR="00CA5E7E">
        <w:rPr>
          <w:rFonts w:ascii="Arial" w:hAnsi="Arial" w:cs="Arial"/>
          <w:sz w:val="22"/>
          <w:szCs w:val="22"/>
        </w:rPr>
        <w:t>s</w:t>
      </w:r>
      <w:r w:rsidR="0078227C" w:rsidRPr="009A2999">
        <w:rPr>
          <w:rFonts w:ascii="Arial" w:hAnsi="Arial" w:cs="Arial"/>
          <w:sz w:val="22"/>
          <w:szCs w:val="22"/>
        </w:rPr>
        <w:t xml:space="preserve"> as compared to the </w:t>
      </w:r>
      <w:r w:rsidR="00C9710B" w:rsidRPr="009A2999">
        <w:rPr>
          <w:rFonts w:ascii="Arial" w:hAnsi="Arial" w:cs="Arial"/>
          <w:sz w:val="22"/>
          <w:szCs w:val="22"/>
        </w:rPr>
        <w:t xml:space="preserve">unaggregated </w:t>
      </w:r>
      <w:r w:rsidR="0078227C" w:rsidRPr="009A2999">
        <w:rPr>
          <w:rFonts w:ascii="Arial" w:hAnsi="Arial" w:cs="Arial"/>
          <w:sz w:val="22"/>
          <w:szCs w:val="22"/>
        </w:rPr>
        <w:t>solutions</w:t>
      </w:r>
      <w:r w:rsidR="00CA5E7E">
        <w:rPr>
          <w:rFonts w:ascii="Arial" w:hAnsi="Arial" w:cs="Arial"/>
          <w:sz w:val="22"/>
          <w:szCs w:val="22"/>
        </w:rPr>
        <w:t xml:space="preserve"> (Fig. S4)</w:t>
      </w:r>
      <w:r w:rsidR="0078227C" w:rsidRPr="009A2999">
        <w:rPr>
          <w:rFonts w:ascii="Arial" w:hAnsi="Arial" w:cs="Arial"/>
          <w:sz w:val="22"/>
          <w:szCs w:val="22"/>
        </w:rPr>
        <w:t>.</w:t>
      </w:r>
    </w:p>
    <w:p w14:paraId="5750EE45" w14:textId="77777777" w:rsidR="00CE7681" w:rsidRPr="009A2999" w:rsidRDefault="00CE7681" w:rsidP="005370AC">
      <w:pPr>
        <w:spacing w:after="240" w:line="360" w:lineRule="auto"/>
        <w:rPr>
          <w:rFonts w:ascii="Arial" w:hAnsi="Arial" w:cs="Arial"/>
          <w:sz w:val="22"/>
          <w:szCs w:val="22"/>
        </w:rPr>
      </w:pPr>
      <w:r w:rsidRPr="009A2999">
        <w:rPr>
          <w:rFonts w:ascii="Arial" w:hAnsi="Arial" w:cs="Arial"/>
          <w:noProof/>
          <w:sz w:val="22"/>
          <w:szCs w:val="22"/>
        </w:rPr>
        <w:drawing>
          <wp:anchor distT="0" distB="0" distL="114300" distR="114300" simplePos="0" relativeHeight="251661312" behindDoc="0" locked="0" layoutInCell="1" allowOverlap="1" wp14:anchorId="47249F9D" wp14:editId="630C1C4E">
            <wp:simplePos x="0" y="0"/>
            <wp:positionH relativeFrom="column">
              <wp:posOffset>257175</wp:posOffset>
            </wp:positionH>
            <wp:positionV relativeFrom="paragraph">
              <wp:posOffset>187325</wp:posOffset>
            </wp:positionV>
            <wp:extent cx="5486400" cy="2743200"/>
            <wp:effectExtent l="0" t="0" r="0" b="0"/>
            <wp:wrapTopAndBottom/>
            <wp:docPr id="2115205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anchor>
        </w:drawing>
      </w:r>
    </w:p>
    <w:p w14:paraId="333150CB" w14:textId="2CBABA2E" w:rsidR="00CE7681" w:rsidRDefault="00CE7681" w:rsidP="005370AC">
      <w:pPr>
        <w:spacing w:after="240" w:line="360" w:lineRule="auto"/>
        <w:rPr>
          <w:rFonts w:ascii="Arial" w:hAnsi="Arial" w:cs="Arial"/>
          <w:sz w:val="22"/>
          <w:szCs w:val="22"/>
        </w:rPr>
      </w:pPr>
      <w:r w:rsidRPr="009A2999">
        <w:rPr>
          <w:rFonts w:ascii="Arial" w:hAnsi="Arial" w:cs="Arial"/>
          <w:b/>
          <w:bCs/>
          <w:sz w:val="22"/>
          <w:szCs w:val="22"/>
        </w:rPr>
        <w:t>Figure S4. Effect of different boundary penalty values on prioritisation solutions in Bengkulu province, Sumatra.</w:t>
      </w:r>
      <w:r w:rsidRPr="009A2999">
        <w:rPr>
          <w:rFonts w:ascii="Arial" w:hAnsi="Arial" w:cs="Arial"/>
          <w:sz w:val="22"/>
          <w:szCs w:val="22"/>
        </w:rPr>
        <w:t xml:space="preserve"> The y-axis gives the total outer perimeter length of the planning units selected in solutions. The x-axis gives the mean percentage reduction in the conservation features compared to runs using no boundary penalty. There are 10 dots for each unique boundary penalty value corresponding to the solution at 10%, 20%, …, 100% of the area budget. The three panels show the three different objectives. The dashed vertical line is drawn at 10% reduction.</w:t>
      </w:r>
    </w:p>
    <w:p w14:paraId="12DC861D" w14:textId="1EC00451" w:rsidR="00FA511E" w:rsidRPr="00CA5E7E" w:rsidRDefault="00976F1C" w:rsidP="005370AC">
      <w:pPr>
        <w:pStyle w:val="Heading1"/>
        <w:spacing w:before="0" w:line="360" w:lineRule="auto"/>
        <w:ind w:left="357" w:hanging="357"/>
        <w:rPr>
          <w:rFonts w:ascii="Arial" w:hAnsi="Arial" w:cs="Arial"/>
          <w:b/>
          <w:bCs/>
          <w:sz w:val="22"/>
          <w:szCs w:val="22"/>
        </w:rPr>
      </w:pPr>
      <w:r>
        <w:rPr>
          <w:rFonts w:ascii="Arial" w:hAnsi="Arial" w:cs="Arial"/>
          <w:b/>
          <w:bCs/>
          <w:sz w:val="22"/>
          <w:szCs w:val="22"/>
        </w:rPr>
        <w:lastRenderedPageBreak/>
        <w:t xml:space="preserve">Supplementary </w:t>
      </w:r>
      <w:r w:rsidR="00FA511E" w:rsidRPr="00CA5E7E">
        <w:rPr>
          <w:rFonts w:ascii="Arial" w:hAnsi="Arial" w:cs="Arial"/>
          <w:b/>
          <w:bCs/>
          <w:sz w:val="22"/>
          <w:szCs w:val="22"/>
        </w:rPr>
        <w:t>References</w:t>
      </w:r>
    </w:p>
    <w:p w14:paraId="00E84792" w14:textId="77777777" w:rsidR="002E2BE0" w:rsidRPr="00410936" w:rsidRDefault="00FA511E" w:rsidP="002E2BE0">
      <w:pPr>
        <w:pStyle w:val="Bibliography"/>
        <w:rPr>
          <w:rFonts w:ascii="Arial" w:hAnsi="Arial" w:cs="Arial"/>
          <w:sz w:val="21"/>
          <w:szCs w:val="21"/>
        </w:rPr>
      </w:pPr>
      <w:r w:rsidRPr="00410936">
        <w:rPr>
          <w:rFonts w:ascii="Arial" w:hAnsi="Arial" w:cs="Arial"/>
          <w:sz w:val="21"/>
          <w:szCs w:val="21"/>
        </w:rPr>
        <w:fldChar w:fldCharType="begin" w:fldLock="1"/>
      </w:r>
      <w:r w:rsidRPr="00410936">
        <w:rPr>
          <w:rFonts w:ascii="Arial" w:hAnsi="Arial" w:cs="Arial"/>
          <w:sz w:val="21"/>
          <w:szCs w:val="21"/>
        </w:rPr>
        <w:instrText xml:space="preserve">ADDIN Mendeley Bibliography CSL_BIBLIOGRAPHY </w:instrText>
      </w:r>
      <w:r w:rsidRPr="00410936">
        <w:rPr>
          <w:rFonts w:ascii="Arial" w:hAnsi="Arial" w:cs="Arial"/>
          <w:sz w:val="21"/>
          <w:szCs w:val="21"/>
        </w:rPr>
        <w:fldChar w:fldCharType="separate"/>
      </w:r>
      <w:r w:rsidR="002E2BE0" w:rsidRPr="00410936">
        <w:rPr>
          <w:rFonts w:ascii="Arial" w:hAnsi="Arial" w:cs="Arial"/>
          <w:sz w:val="21"/>
          <w:szCs w:val="21"/>
        </w:rPr>
        <w:t xml:space="preserve">Banin, L. F., Raine, E. H., Rowland, L. M., Chazdon, R. L., Smith, S. W., Rahman, N. E. B., Butler, A., Philipson, C., Applegate, G. G., Axelsson, E. P., Budiharta, S., Chua, S. C., Cutler, M. E. J., Elliott, S., Gemita, E., Godoong, E., Graham, L. L. B., Hayward, R. M., Hector, A., … Burslem, D. F. R. P. (2023). The road to recovery: A synthesis of outcomes from ecosystem restoration in tropical and sub-tropical Asian forests. </w:t>
      </w:r>
      <w:r w:rsidR="002E2BE0" w:rsidRPr="00410936">
        <w:rPr>
          <w:rFonts w:ascii="Arial" w:hAnsi="Arial" w:cs="Arial"/>
          <w:i/>
          <w:iCs/>
          <w:sz w:val="21"/>
          <w:szCs w:val="21"/>
        </w:rPr>
        <w:t>Philosophical Transactions of the Royal Society B: Biological Sciences</w:t>
      </w:r>
      <w:r w:rsidR="002E2BE0" w:rsidRPr="00410936">
        <w:rPr>
          <w:rFonts w:ascii="Arial" w:hAnsi="Arial" w:cs="Arial"/>
          <w:sz w:val="21"/>
          <w:szCs w:val="21"/>
        </w:rPr>
        <w:t xml:space="preserve">, </w:t>
      </w:r>
      <w:r w:rsidR="002E2BE0" w:rsidRPr="00410936">
        <w:rPr>
          <w:rFonts w:ascii="Arial" w:hAnsi="Arial" w:cs="Arial"/>
          <w:i/>
          <w:iCs/>
          <w:sz w:val="21"/>
          <w:szCs w:val="21"/>
        </w:rPr>
        <w:t>378</w:t>
      </w:r>
      <w:r w:rsidR="002E2BE0" w:rsidRPr="00410936">
        <w:rPr>
          <w:rFonts w:ascii="Arial" w:hAnsi="Arial" w:cs="Arial"/>
          <w:sz w:val="21"/>
          <w:szCs w:val="21"/>
        </w:rPr>
        <w:t>(1867), 20210090. https://doi.org/10.1098/rstb.2021.0090</w:t>
      </w:r>
    </w:p>
    <w:p w14:paraId="6A0E5253"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Budiharta, S., Meijaard, E., Erskine, P. D., Rondinini, C., Pacifici, M., &amp; Wilson, K. A. (2014). Restoring degraded tropical forests for carbon and biodiversity. </w:t>
      </w:r>
      <w:r w:rsidRPr="00410936">
        <w:rPr>
          <w:rFonts w:ascii="Arial" w:hAnsi="Arial" w:cs="Arial"/>
          <w:i/>
          <w:iCs/>
          <w:sz w:val="21"/>
          <w:szCs w:val="21"/>
        </w:rPr>
        <w:t>Environmental Research Letters</w:t>
      </w:r>
      <w:r w:rsidRPr="00410936">
        <w:rPr>
          <w:rFonts w:ascii="Arial" w:hAnsi="Arial" w:cs="Arial"/>
          <w:sz w:val="21"/>
          <w:szCs w:val="21"/>
        </w:rPr>
        <w:t xml:space="preserve">, </w:t>
      </w:r>
      <w:r w:rsidRPr="00410936">
        <w:rPr>
          <w:rFonts w:ascii="Arial" w:hAnsi="Arial" w:cs="Arial"/>
          <w:i/>
          <w:iCs/>
          <w:sz w:val="21"/>
          <w:szCs w:val="21"/>
        </w:rPr>
        <w:t>9</w:t>
      </w:r>
      <w:r w:rsidRPr="00410936">
        <w:rPr>
          <w:rFonts w:ascii="Arial" w:hAnsi="Arial" w:cs="Arial"/>
          <w:sz w:val="21"/>
          <w:szCs w:val="21"/>
        </w:rPr>
        <w:t>(11), 114020. https://doi.org/10.1088/1748-9326/9/11/114020</w:t>
      </w:r>
    </w:p>
    <w:p w14:paraId="42793363"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Fischer, H. W., Chhatre, A., Duddu, A., Pradhan, N., &amp; Agrawal, A. (2023). Community forest governance and synergies among carbon, biodiversity and livelihoods. </w:t>
      </w:r>
      <w:r w:rsidRPr="00410936">
        <w:rPr>
          <w:rFonts w:ascii="Arial" w:hAnsi="Arial" w:cs="Arial"/>
          <w:i/>
          <w:iCs/>
          <w:sz w:val="21"/>
          <w:szCs w:val="21"/>
        </w:rPr>
        <w:t>Nature Climate Change</w:t>
      </w:r>
      <w:r w:rsidRPr="00410936">
        <w:rPr>
          <w:rFonts w:ascii="Arial" w:hAnsi="Arial" w:cs="Arial"/>
          <w:sz w:val="21"/>
          <w:szCs w:val="21"/>
        </w:rPr>
        <w:t xml:space="preserve">, </w:t>
      </w:r>
      <w:r w:rsidRPr="00410936">
        <w:rPr>
          <w:rFonts w:ascii="Arial" w:hAnsi="Arial" w:cs="Arial"/>
          <w:i/>
          <w:iCs/>
          <w:sz w:val="21"/>
          <w:szCs w:val="21"/>
        </w:rPr>
        <w:t>13</w:t>
      </w:r>
      <w:r w:rsidRPr="00410936">
        <w:rPr>
          <w:rFonts w:ascii="Arial" w:hAnsi="Arial" w:cs="Arial"/>
          <w:sz w:val="21"/>
          <w:szCs w:val="21"/>
        </w:rPr>
        <w:t>(12), 1340–1347. https://doi.org/10.1038/s41558-023-01863-6</w:t>
      </w:r>
    </w:p>
    <w:p w14:paraId="3EB53E39" w14:textId="77777777" w:rsidR="002E2BE0" w:rsidRPr="00410936" w:rsidRDefault="002E2BE0" w:rsidP="002E2BE0">
      <w:pPr>
        <w:pStyle w:val="Bibliography"/>
        <w:rPr>
          <w:rFonts w:ascii="Arial" w:hAnsi="Arial" w:cs="Arial"/>
          <w:sz w:val="21"/>
          <w:szCs w:val="21"/>
          <w:lang w:val="it-IT"/>
        </w:rPr>
      </w:pPr>
      <w:r w:rsidRPr="00410936">
        <w:rPr>
          <w:rFonts w:ascii="Arial" w:hAnsi="Arial" w:cs="Arial"/>
          <w:sz w:val="21"/>
          <w:szCs w:val="21"/>
        </w:rPr>
        <w:t xml:space="preserve">Hajjar, R., Oldekop, J. A., Cronkleton, P., Newton, P., Russell, A. J. M., &amp; Zhou, W. (2020). A global analysis of the social and environmental outcomes of community forests. </w:t>
      </w:r>
      <w:r w:rsidRPr="00410936">
        <w:rPr>
          <w:rFonts w:ascii="Arial" w:hAnsi="Arial" w:cs="Arial"/>
          <w:i/>
          <w:iCs/>
          <w:sz w:val="21"/>
          <w:szCs w:val="21"/>
          <w:lang w:val="it-IT"/>
        </w:rPr>
        <w:t>Nature Sustainability</w:t>
      </w:r>
      <w:r w:rsidRPr="00410936">
        <w:rPr>
          <w:rFonts w:ascii="Arial" w:hAnsi="Arial" w:cs="Arial"/>
          <w:sz w:val="21"/>
          <w:szCs w:val="21"/>
          <w:lang w:val="it-IT"/>
        </w:rPr>
        <w:t xml:space="preserve">, </w:t>
      </w:r>
      <w:r w:rsidRPr="00410936">
        <w:rPr>
          <w:rFonts w:ascii="Arial" w:hAnsi="Arial" w:cs="Arial"/>
          <w:i/>
          <w:iCs/>
          <w:sz w:val="21"/>
          <w:szCs w:val="21"/>
          <w:lang w:val="it-IT"/>
        </w:rPr>
        <w:t>4</w:t>
      </w:r>
      <w:r w:rsidRPr="00410936">
        <w:rPr>
          <w:rFonts w:ascii="Arial" w:hAnsi="Arial" w:cs="Arial"/>
          <w:sz w:val="21"/>
          <w:szCs w:val="21"/>
          <w:lang w:val="it-IT"/>
        </w:rPr>
        <w:t>(3), 216–224. https://doi.org/10.1038/s41893-020-00633-y</w:t>
      </w:r>
    </w:p>
    <w:p w14:paraId="4A20E1B4"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lang w:val="it-IT"/>
        </w:rPr>
        <w:t xml:space="preserve">Margono, B. A., Potapov, P. V., Turubanova, S., Stolle, F., &amp; Hansen, M. C. (2014). </w:t>
      </w:r>
      <w:r w:rsidRPr="00410936">
        <w:rPr>
          <w:rFonts w:ascii="Arial" w:hAnsi="Arial" w:cs="Arial"/>
          <w:sz w:val="21"/>
          <w:szCs w:val="21"/>
        </w:rPr>
        <w:t xml:space="preserve">Primary forest cover loss in indonesia over 2000-2012. </w:t>
      </w:r>
      <w:r w:rsidRPr="00410936">
        <w:rPr>
          <w:rFonts w:ascii="Arial" w:hAnsi="Arial" w:cs="Arial"/>
          <w:i/>
          <w:iCs/>
          <w:sz w:val="21"/>
          <w:szCs w:val="21"/>
        </w:rPr>
        <w:t>Nature Climate Change</w:t>
      </w:r>
      <w:r w:rsidRPr="00410936">
        <w:rPr>
          <w:rFonts w:ascii="Arial" w:hAnsi="Arial" w:cs="Arial"/>
          <w:sz w:val="21"/>
          <w:szCs w:val="21"/>
        </w:rPr>
        <w:t xml:space="preserve">, </w:t>
      </w:r>
      <w:r w:rsidRPr="00410936">
        <w:rPr>
          <w:rFonts w:ascii="Arial" w:hAnsi="Arial" w:cs="Arial"/>
          <w:i/>
          <w:iCs/>
          <w:sz w:val="21"/>
          <w:szCs w:val="21"/>
        </w:rPr>
        <w:t>4</w:t>
      </w:r>
      <w:r w:rsidRPr="00410936">
        <w:rPr>
          <w:rFonts w:ascii="Arial" w:hAnsi="Arial" w:cs="Arial"/>
          <w:sz w:val="21"/>
          <w:szCs w:val="21"/>
        </w:rPr>
        <w:t>(8), 730–735. https://doi.org/10.1038/nclimate2277</w:t>
      </w:r>
    </w:p>
    <w:p w14:paraId="6A7F9DCA"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McGroddy, M. E., Daufresne, T., &amp; Hedin, L. O. (2004). Scaling of C:N:P stoichiometry in forests worldwide: Implications of terrestrial redfield-type ratios. </w:t>
      </w:r>
      <w:r w:rsidRPr="00410936">
        <w:rPr>
          <w:rFonts w:ascii="Arial" w:hAnsi="Arial" w:cs="Arial"/>
          <w:i/>
          <w:iCs/>
          <w:sz w:val="21"/>
          <w:szCs w:val="21"/>
        </w:rPr>
        <w:t>Ecology</w:t>
      </w:r>
      <w:r w:rsidRPr="00410936">
        <w:rPr>
          <w:rFonts w:ascii="Arial" w:hAnsi="Arial" w:cs="Arial"/>
          <w:sz w:val="21"/>
          <w:szCs w:val="21"/>
        </w:rPr>
        <w:t xml:space="preserve">, </w:t>
      </w:r>
      <w:r w:rsidRPr="00410936">
        <w:rPr>
          <w:rFonts w:ascii="Arial" w:hAnsi="Arial" w:cs="Arial"/>
          <w:i/>
          <w:iCs/>
          <w:sz w:val="21"/>
          <w:szCs w:val="21"/>
        </w:rPr>
        <w:t>85</w:t>
      </w:r>
      <w:r w:rsidRPr="00410936">
        <w:rPr>
          <w:rFonts w:ascii="Arial" w:hAnsi="Arial" w:cs="Arial"/>
          <w:sz w:val="21"/>
          <w:szCs w:val="21"/>
        </w:rPr>
        <w:t>(9), 2390–2401.</w:t>
      </w:r>
    </w:p>
    <w:p w14:paraId="3CD541B3"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Morgans, C. L., Jago, S., Andayani, N., Linkie, M., Lo, M. G. Y., Mumbunan, S., St. John, F. A. V., Supriatna, J., Voigt, M., Winarni, N. L., Santika, T., &amp; Struebig, M. J. (2024). Improving well</w:t>
      </w:r>
      <w:r w:rsidRPr="00410936">
        <w:rPr>
          <w:rFonts w:ascii="Cambria Math" w:hAnsi="Cambria Math" w:cs="Cambria Math"/>
          <w:sz w:val="21"/>
          <w:szCs w:val="21"/>
        </w:rPr>
        <w:t>‐</w:t>
      </w:r>
      <w:r w:rsidRPr="00410936">
        <w:rPr>
          <w:rFonts w:ascii="Arial" w:hAnsi="Arial" w:cs="Arial"/>
          <w:sz w:val="21"/>
          <w:szCs w:val="21"/>
        </w:rPr>
        <w:t xml:space="preserve">being and reducing deforestation in Indonesia’s protected areas. </w:t>
      </w:r>
      <w:r w:rsidRPr="00410936">
        <w:rPr>
          <w:rFonts w:ascii="Arial" w:hAnsi="Arial" w:cs="Arial"/>
          <w:i/>
          <w:iCs/>
          <w:sz w:val="21"/>
          <w:szCs w:val="21"/>
        </w:rPr>
        <w:t>Conservation Letters</w:t>
      </w:r>
      <w:r w:rsidRPr="00410936">
        <w:rPr>
          <w:rFonts w:ascii="Arial" w:hAnsi="Arial" w:cs="Arial"/>
          <w:sz w:val="21"/>
          <w:szCs w:val="21"/>
        </w:rPr>
        <w:t xml:space="preserve">, </w:t>
      </w:r>
      <w:r w:rsidRPr="00410936">
        <w:rPr>
          <w:rFonts w:ascii="Arial" w:hAnsi="Arial" w:cs="Arial"/>
          <w:i/>
          <w:iCs/>
          <w:sz w:val="21"/>
          <w:szCs w:val="21"/>
        </w:rPr>
        <w:t>17</w:t>
      </w:r>
      <w:r w:rsidRPr="00410936">
        <w:rPr>
          <w:rFonts w:ascii="Arial" w:hAnsi="Arial" w:cs="Arial"/>
          <w:sz w:val="21"/>
          <w:szCs w:val="21"/>
        </w:rPr>
        <w:t>(3), e13010. https://doi.org/10.1111/conl.13010</w:t>
      </w:r>
    </w:p>
    <w:p w14:paraId="5C463868"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Pradhan, N., Ibáñez, I., Chhatre, A., Duddu, A., Fischer, H. W., Newton, P., Oldekop, J. A., Wilson, S. J., &amp; Agrawal, A. (2026). Advancing biodiversity through poverty solutions. </w:t>
      </w:r>
      <w:r w:rsidRPr="00410936">
        <w:rPr>
          <w:rFonts w:ascii="Arial" w:hAnsi="Arial" w:cs="Arial"/>
          <w:i/>
          <w:iCs/>
          <w:sz w:val="21"/>
          <w:szCs w:val="21"/>
        </w:rPr>
        <w:t>Nature Sustainability</w:t>
      </w:r>
      <w:r w:rsidRPr="00410936">
        <w:rPr>
          <w:rFonts w:ascii="Arial" w:hAnsi="Arial" w:cs="Arial"/>
          <w:sz w:val="21"/>
          <w:szCs w:val="21"/>
        </w:rPr>
        <w:t>. https://doi.org/10.1038/s41893-026-01816-9</w:t>
      </w:r>
    </w:p>
    <w:p w14:paraId="0CEED975"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lastRenderedPageBreak/>
        <w:t xml:space="preserve">Rosoman, G., Sheun, S. S., Opal, C., Anderson, P., &amp; Trapshah, R. (2017). The HCS Approach Toolkit: Module 4—Forest and vegetation stratification. </w:t>
      </w:r>
      <w:r w:rsidRPr="00410936">
        <w:rPr>
          <w:rFonts w:ascii="Arial" w:hAnsi="Arial" w:cs="Arial"/>
          <w:i/>
          <w:iCs/>
          <w:sz w:val="21"/>
          <w:szCs w:val="21"/>
        </w:rPr>
        <w:t>The HCS Approach Toolkit Version 2.0</w:t>
      </w:r>
      <w:r w:rsidRPr="00410936">
        <w:rPr>
          <w:rFonts w:ascii="Arial" w:hAnsi="Arial" w:cs="Arial"/>
          <w:sz w:val="21"/>
          <w:szCs w:val="21"/>
        </w:rPr>
        <w:t>, (August).</w:t>
      </w:r>
    </w:p>
    <w:p w14:paraId="421911A7"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Santika, T., Wilson, K. A., Budiharta, S., Kusworo, A., Meijaard, E., Law, E. A., Friedman, R., Hutabarat, J. A., Indrawan, T. P., St. John, F. A., &amp; others. (2019). Heterogeneous impacts of community forestry on forest conservation and poverty alleviation: Evidence from Indonesia. </w:t>
      </w:r>
      <w:r w:rsidRPr="00410936">
        <w:rPr>
          <w:rFonts w:ascii="Arial" w:hAnsi="Arial" w:cs="Arial"/>
          <w:i/>
          <w:iCs/>
          <w:sz w:val="21"/>
          <w:szCs w:val="21"/>
        </w:rPr>
        <w:t>People and Nature</w:t>
      </w:r>
      <w:r w:rsidRPr="00410936">
        <w:rPr>
          <w:rFonts w:ascii="Arial" w:hAnsi="Arial" w:cs="Arial"/>
          <w:sz w:val="21"/>
          <w:szCs w:val="21"/>
        </w:rPr>
        <w:t xml:space="preserve">, </w:t>
      </w:r>
      <w:r w:rsidRPr="00410936">
        <w:rPr>
          <w:rFonts w:ascii="Arial" w:hAnsi="Arial" w:cs="Arial"/>
          <w:i/>
          <w:iCs/>
          <w:sz w:val="21"/>
          <w:szCs w:val="21"/>
        </w:rPr>
        <w:t>1</w:t>
      </w:r>
      <w:r w:rsidRPr="00410936">
        <w:rPr>
          <w:rFonts w:ascii="Arial" w:hAnsi="Arial" w:cs="Arial"/>
          <w:sz w:val="21"/>
          <w:szCs w:val="21"/>
        </w:rPr>
        <w:t>(2), 204–219.</w:t>
      </w:r>
    </w:p>
    <w:p w14:paraId="56C71DB1"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Santoro, M., &amp; Cartus, O. (2021). ESA Biomass Climate Change Initiative (Biomass_cci): Global datasets of forest above-ground biomass for the years 2010, 2017 and 2018, v3. </w:t>
      </w:r>
      <w:r w:rsidRPr="00410936">
        <w:rPr>
          <w:rFonts w:ascii="Arial" w:hAnsi="Arial" w:cs="Arial"/>
          <w:i/>
          <w:iCs/>
          <w:sz w:val="21"/>
          <w:szCs w:val="21"/>
        </w:rPr>
        <w:t>NERC EDS Centre for Environmental Data Analysis</w:t>
      </w:r>
      <w:r w:rsidRPr="00410936">
        <w:rPr>
          <w:rFonts w:ascii="Arial" w:hAnsi="Arial" w:cs="Arial"/>
          <w:sz w:val="21"/>
          <w:szCs w:val="21"/>
        </w:rPr>
        <w:t>. https://doi.org/10.5285/5f331c418e9f4935b8eb1b836f8a91b8</w:t>
      </w:r>
    </w:p>
    <w:p w14:paraId="2FCAE9F7" w14:textId="77777777" w:rsidR="002E2BE0" w:rsidRPr="00410936" w:rsidRDefault="002E2BE0" w:rsidP="002E2BE0">
      <w:pPr>
        <w:pStyle w:val="Bibliography"/>
        <w:rPr>
          <w:rFonts w:ascii="Arial" w:hAnsi="Arial" w:cs="Arial"/>
          <w:sz w:val="21"/>
          <w:szCs w:val="21"/>
        </w:rPr>
      </w:pPr>
      <w:r w:rsidRPr="00410936">
        <w:rPr>
          <w:rFonts w:ascii="Arial" w:hAnsi="Arial" w:cs="Arial"/>
          <w:sz w:val="21"/>
          <w:szCs w:val="21"/>
        </w:rPr>
        <w:t xml:space="preserve">Vancutsem, C., Achard, F., Pekel, J. F., Vieilledent, G., Carboni, S., Simonetti, D., Gallego, J., Aragão, L. E. O. C., &amp; Nasi, R. (2021). Long-term (1990–2019) monitoring of forest cover changes in the humid tropics. </w:t>
      </w:r>
      <w:r w:rsidRPr="00410936">
        <w:rPr>
          <w:rFonts w:ascii="Arial" w:hAnsi="Arial" w:cs="Arial"/>
          <w:i/>
          <w:iCs/>
          <w:sz w:val="21"/>
          <w:szCs w:val="21"/>
        </w:rPr>
        <w:t>Science Advances</w:t>
      </w:r>
      <w:r w:rsidRPr="00410936">
        <w:rPr>
          <w:rFonts w:ascii="Arial" w:hAnsi="Arial" w:cs="Arial"/>
          <w:sz w:val="21"/>
          <w:szCs w:val="21"/>
        </w:rPr>
        <w:t xml:space="preserve">, </w:t>
      </w:r>
      <w:r w:rsidRPr="00410936">
        <w:rPr>
          <w:rFonts w:ascii="Arial" w:hAnsi="Arial" w:cs="Arial"/>
          <w:i/>
          <w:iCs/>
          <w:sz w:val="21"/>
          <w:szCs w:val="21"/>
        </w:rPr>
        <w:t>7</w:t>
      </w:r>
      <w:r w:rsidRPr="00410936">
        <w:rPr>
          <w:rFonts w:ascii="Arial" w:hAnsi="Arial" w:cs="Arial"/>
          <w:sz w:val="21"/>
          <w:szCs w:val="21"/>
        </w:rPr>
        <w:t>(10), 1–22. https://doi.org/10.1126/sciadv.abe1603</w:t>
      </w:r>
    </w:p>
    <w:p w14:paraId="6775F693" w14:textId="483B5B89" w:rsidR="00FA511E" w:rsidRPr="009A2999" w:rsidRDefault="00FA511E" w:rsidP="005370AC">
      <w:pPr>
        <w:spacing w:line="360" w:lineRule="auto"/>
        <w:ind w:left="567" w:hanging="567"/>
        <w:rPr>
          <w:rFonts w:ascii="Arial" w:hAnsi="Arial" w:cs="Arial"/>
          <w:sz w:val="22"/>
          <w:szCs w:val="22"/>
        </w:rPr>
      </w:pPr>
      <w:r w:rsidRPr="00410936">
        <w:rPr>
          <w:rFonts w:ascii="Arial" w:hAnsi="Arial" w:cs="Arial"/>
          <w:sz w:val="21"/>
          <w:szCs w:val="21"/>
        </w:rPr>
        <w:fldChar w:fldCharType="end"/>
      </w:r>
    </w:p>
    <w:sectPr w:rsidR="00FA511E" w:rsidRPr="009A29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E7628" w14:textId="77777777" w:rsidR="005E06A8" w:rsidRDefault="005E06A8" w:rsidP="00EB7FBC">
      <w:r>
        <w:separator/>
      </w:r>
    </w:p>
  </w:endnote>
  <w:endnote w:type="continuationSeparator" w:id="0">
    <w:p w14:paraId="620C42E3" w14:textId="77777777" w:rsidR="005E06A8" w:rsidRDefault="005E06A8" w:rsidP="00EB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932513"/>
      <w:docPartObj>
        <w:docPartGallery w:val="Page Numbers (Bottom of Page)"/>
        <w:docPartUnique/>
      </w:docPartObj>
    </w:sdtPr>
    <w:sdtEndPr>
      <w:rPr>
        <w:noProof/>
      </w:rPr>
    </w:sdtEndPr>
    <w:sdtContent>
      <w:p w14:paraId="58C70B78" w14:textId="6E01C3A1" w:rsidR="009A2999" w:rsidRDefault="009A29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8F721" w14:textId="77777777" w:rsidR="009A2999" w:rsidRDefault="009A2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407A8" w14:textId="77777777" w:rsidR="005E06A8" w:rsidRDefault="005E06A8" w:rsidP="00EB7FBC">
      <w:r>
        <w:separator/>
      </w:r>
    </w:p>
  </w:footnote>
  <w:footnote w:type="continuationSeparator" w:id="0">
    <w:p w14:paraId="0FD58B41" w14:textId="77777777" w:rsidR="005E06A8" w:rsidRDefault="005E06A8" w:rsidP="00EB7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A46A0"/>
    <w:multiLevelType w:val="hybridMultilevel"/>
    <w:tmpl w:val="FAA6655A"/>
    <w:lvl w:ilvl="0" w:tplc="B2E8ED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B524B5"/>
    <w:multiLevelType w:val="hybridMultilevel"/>
    <w:tmpl w:val="F1F8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B706C7"/>
    <w:multiLevelType w:val="multilevel"/>
    <w:tmpl w:val="61FEBB4E"/>
    <w:lvl w:ilvl="0">
      <w:start w:val="1"/>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5E5365BD"/>
    <w:multiLevelType w:val="multilevel"/>
    <w:tmpl w:val="92CE946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63337189"/>
    <w:multiLevelType w:val="multilevel"/>
    <w:tmpl w:val="92CE946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98E466B"/>
    <w:multiLevelType w:val="multilevel"/>
    <w:tmpl w:val="84042A94"/>
    <w:lvl w:ilvl="0">
      <w:start w:val="1"/>
      <w:numFmt w:val="decimal"/>
      <w:lvlText w:val="Section %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C042E8B"/>
    <w:multiLevelType w:val="multilevel"/>
    <w:tmpl w:val="8996A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444605">
    <w:abstractNumId w:val="5"/>
  </w:num>
  <w:num w:numId="2" w16cid:durableId="1920481187">
    <w:abstractNumId w:val="1"/>
  </w:num>
  <w:num w:numId="3" w16cid:durableId="2062820983">
    <w:abstractNumId w:val="0"/>
  </w:num>
  <w:num w:numId="4" w16cid:durableId="1709178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1123709">
    <w:abstractNumId w:val="2"/>
  </w:num>
  <w:num w:numId="6" w16cid:durableId="526452926">
    <w:abstractNumId w:val="3"/>
  </w:num>
  <w:num w:numId="7" w16cid:durableId="1641224660">
    <w:abstractNumId w:val="4"/>
  </w:num>
  <w:num w:numId="8" w16cid:durableId="20158368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1E"/>
    <w:rsid w:val="00001891"/>
    <w:rsid w:val="00007A3B"/>
    <w:rsid w:val="00007F24"/>
    <w:rsid w:val="00020019"/>
    <w:rsid w:val="000356A9"/>
    <w:rsid w:val="00042AA6"/>
    <w:rsid w:val="00042DA1"/>
    <w:rsid w:val="000431AB"/>
    <w:rsid w:val="000509A3"/>
    <w:rsid w:val="00054E3D"/>
    <w:rsid w:val="00055445"/>
    <w:rsid w:val="000571EE"/>
    <w:rsid w:val="00060A13"/>
    <w:rsid w:val="00061E15"/>
    <w:rsid w:val="00062575"/>
    <w:rsid w:val="00063F9C"/>
    <w:rsid w:val="00065225"/>
    <w:rsid w:val="000665A4"/>
    <w:rsid w:val="0007097B"/>
    <w:rsid w:val="00081560"/>
    <w:rsid w:val="00082961"/>
    <w:rsid w:val="0008650B"/>
    <w:rsid w:val="00092777"/>
    <w:rsid w:val="0009318C"/>
    <w:rsid w:val="000A3AD0"/>
    <w:rsid w:val="000B1266"/>
    <w:rsid w:val="000B68C3"/>
    <w:rsid w:val="000B6ACC"/>
    <w:rsid w:val="000D1F4F"/>
    <w:rsid w:val="000D20A9"/>
    <w:rsid w:val="000E0B52"/>
    <w:rsid w:val="000E0C99"/>
    <w:rsid w:val="000E338E"/>
    <w:rsid w:val="000E4396"/>
    <w:rsid w:val="000F040A"/>
    <w:rsid w:val="000F1086"/>
    <w:rsid w:val="000F252A"/>
    <w:rsid w:val="000F39C9"/>
    <w:rsid w:val="000F469F"/>
    <w:rsid w:val="000F6DD8"/>
    <w:rsid w:val="00101F9E"/>
    <w:rsid w:val="00110070"/>
    <w:rsid w:val="00112F08"/>
    <w:rsid w:val="001169F4"/>
    <w:rsid w:val="00117BDA"/>
    <w:rsid w:val="00121377"/>
    <w:rsid w:val="00125206"/>
    <w:rsid w:val="001261FF"/>
    <w:rsid w:val="0014150B"/>
    <w:rsid w:val="001429D3"/>
    <w:rsid w:val="0014575C"/>
    <w:rsid w:val="00153A88"/>
    <w:rsid w:val="00154228"/>
    <w:rsid w:val="001558DA"/>
    <w:rsid w:val="00163AAE"/>
    <w:rsid w:val="00164645"/>
    <w:rsid w:val="00166969"/>
    <w:rsid w:val="001709DB"/>
    <w:rsid w:val="0017717A"/>
    <w:rsid w:val="0018104F"/>
    <w:rsid w:val="00186C70"/>
    <w:rsid w:val="00187F7B"/>
    <w:rsid w:val="00195AB5"/>
    <w:rsid w:val="001970C5"/>
    <w:rsid w:val="001A3A01"/>
    <w:rsid w:val="001B2CFD"/>
    <w:rsid w:val="001B3EDB"/>
    <w:rsid w:val="001C0315"/>
    <w:rsid w:val="001C06C1"/>
    <w:rsid w:val="001C2B53"/>
    <w:rsid w:val="001C48E5"/>
    <w:rsid w:val="001C7BF0"/>
    <w:rsid w:val="001D48B4"/>
    <w:rsid w:val="001E366D"/>
    <w:rsid w:val="001E40B0"/>
    <w:rsid w:val="001F17CC"/>
    <w:rsid w:val="001F4379"/>
    <w:rsid w:val="001F5A91"/>
    <w:rsid w:val="001F6207"/>
    <w:rsid w:val="00201133"/>
    <w:rsid w:val="00202095"/>
    <w:rsid w:val="002031E9"/>
    <w:rsid w:val="00204883"/>
    <w:rsid w:val="00205F74"/>
    <w:rsid w:val="00212812"/>
    <w:rsid w:val="00213258"/>
    <w:rsid w:val="0021335C"/>
    <w:rsid w:val="00214271"/>
    <w:rsid w:val="002166F1"/>
    <w:rsid w:val="00230FC7"/>
    <w:rsid w:val="002316EB"/>
    <w:rsid w:val="00235729"/>
    <w:rsid w:val="002368F9"/>
    <w:rsid w:val="00236FDD"/>
    <w:rsid w:val="00241419"/>
    <w:rsid w:val="00243AAA"/>
    <w:rsid w:val="0024429A"/>
    <w:rsid w:val="00244F19"/>
    <w:rsid w:val="00253A54"/>
    <w:rsid w:val="002567FF"/>
    <w:rsid w:val="00256C84"/>
    <w:rsid w:val="00263381"/>
    <w:rsid w:val="002714CF"/>
    <w:rsid w:val="00271794"/>
    <w:rsid w:val="00273175"/>
    <w:rsid w:val="00273C64"/>
    <w:rsid w:val="00274B2C"/>
    <w:rsid w:val="0028401E"/>
    <w:rsid w:val="00285B79"/>
    <w:rsid w:val="00292198"/>
    <w:rsid w:val="00297A7B"/>
    <w:rsid w:val="002A1DF6"/>
    <w:rsid w:val="002A43C1"/>
    <w:rsid w:val="002A4EC7"/>
    <w:rsid w:val="002A642F"/>
    <w:rsid w:val="002A77B8"/>
    <w:rsid w:val="002B0498"/>
    <w:rsid w:val="002B0EA7"/>
    <w:rsid w:val="002B1A62"/>
    <w:rsid w:val="002B555F"/>
    <w:rsid w:val="002C0AC4"/>
    <w:rsid w:val="002C1E8E"/>
    <w:rsid w:val="002C33AB"/>
    <w:rsid w:val="002C402D"/>
    <w:rsid w:val="002C7D86"/>
    <w:rsid w:val="002E127F"/>
    <w:rsid w:val="002E17AA"/>
    <w:rsid w:val="002E2BE0"/>
    <w:rsid w:val="002E5EDB"/>
    <w:rsid w:val="002F5A95"/>
    <w:rsid w:val="002F6FE3"/>
    <w:rsid w:val="00312208"/>
    <w:rsid w:val="00312BCC"/>
    <w:rsid w:val="00326EB6"/>
    <w:rsid w:val="003316D9"/>
    <w:rsid w:val="00331CFA"/>
    <w:rsid w:val="00344102"/>
    <w:rsid w:val="00346F09"/>
    <w:rsid w:val="003551ED"/>
    <w:rsid w:val="003620D5"/>
    <w:rsid w:val="00364283"/>
    <w:rsid w:val="0036432D"/>
    <w:rsid w:val="00366030"/>
    <w:rsid w:val="00370998"/>
    <w:rsid w:val="00371BE9"/>
    <w:rsid w:val="00381CFA"/>
    <w:rsid w:val="00385ACE"/>
    <w:rsid w:val="00385B98"/>
    <w:rsid w:val="003953D0"/>
    <w:rsid w:val="0039663A"/>
    <w:rsid w:val="00396C2A"/>
    <w:rsid w:val="003A0EDD"/>
    <w:rsid w:val="003A276C"/>
    <w:rsid w:val="003A2D4A"/>
    <w:rsid w:val="003A6615"/>
    <w:rsid w:val="003B3901"/>
    <w:rsid w:val="003B534C"/>
    <w:rsid w:val="003B5E94"/>
    <w:rsid w:val="003C3E40"/>
    <w:rsid w:val="003C4E48"/>
    <w:rsid w:val="003D3B6F"/>
    <w:rsid w:val="003D3DD1"/>
    <w:rsid w:val="003D6D9B"/>
    <w:rsid w:val="003D775E"/>
    <w:rsid w:val="003E2FCF"/>
    <w:rsid w:val="003E4AD7"/>
    <w:rsid w:val="003E50AF"/>
    <w:rsid w:val="003F3FDF"/>
    <w:rsid w:val="003F6D25"/>
    <w:rsid w:val="00400DAD"/>
    <w:rsid w:val="0040204F"/>
    <w:rsid w:val="004077D6"/>
    <w:rsid w:val="00410936"/>
    <w:rsid w:val="00414CF8"/>
    <w:rsid w:val="00423C31"/>
    <w:rsid w:val="00427CE8"/>
    <w:rsid w:val="00434D2F"/>
    <w:rsid w:val="004450E4"/>
    <w:rsid w:val="0045401E"/>
    <w:rsid w:val="0045468B"/>
    <w:rsid w:val="00460CAD"/>
    <w:rsid w:val="004671C1"/>
    <w:rsid w:val="00471F0F"/>
    <w:rsid w:val="00472A14"/>
    <w:rsid w:val="00477AEB"/>
    <w:rsid w:val="00484CB1"/>
    <w:rsid w:val="0049505B"/>
    <w:rsid w:val="00497F9C"/>
    <w:rsid w:val="004A6760"/>
    <w:rsid w:val="004A700B"/>
    <w:rsid w:val="004B0016"/>
    <w:rsid w:val="004B2B1A"/>
    <w:rsid w:val="004B6DC1"/>
    <w:rsid w:val="004B6F51"/>
    <w:rsid w:val="004D018E"/>
    <w:rsid w:val="004D2725"/>
    <w:rsid w:val="004D3A13"/>
    <w:rsid w:val="004D4D8B"/>
    <w:rsid w:val="004D4FB6"/>
    <w:rsid w:val="004D51A1"/>
    <w:rsid w:val="004D6465"/>
    <w:rsid w:val="004E1E7C"/>
    <w:rsid w:val="004E2E4B"/>
    <w:rsid w:val="004E4D02"/>
    <w:rsid w:val="004E4F6C"/>
    <w:rsid w:val="004E6AAA"/>
    <w:rsid w:val="004F19E2"/>
    <w:rsid w:val="004F7737"/>
    <w:rsid w:val="0050452D"/>
    <w:rsid w:val="0051032A"/>
    <w:rsid w:val="005158D3"/>
    <w:rsid w:val="0052256A"/>
    <w:rsid w:val="0053044B"/>
    <w:rsid w:val="00530EFF"/>
    <w:rsid w:val="00532DA5"/>
    <w:rsid w:val="00532DD1"/>
    <w:rsid w:val="005370AC"/>
    <w:rsid w:val="00543EBA"/>
    <w:rsid w:val="00552EB3"/>
    <w:rsid w:val="00564215"/>
    <w:rsid w:val="005642F1"/>
    <w:rsid w:val="00571C38"/>
    <w:rsid w:val="00575074"/>
    <w:rsid w:val="0058208D"/>
    <w:rsid w:val="005841AA"/>
    <w:rsid w:val="005857B5"/>
    <w:rsid w:val="00587579"/>
    <w:rsid w:val="00596DB7"/>
    <w:rsid w:val="00597F11"/>
    <w:rsid w:val="005A1DC7"/>
    <w:rsid w:val="005A3757"/>
    <w:rsid w:val="005A4A4D"/>
    <w:rsid w:val="005A7AC3"/>
    <w:rsid w:val="005A7AE6"/>
    <w:rsid w:val="005A7C36"/>
    <w:rsid w:val="005B6B61"/>
    <w:rsid w:val="005C0AAB"/>
    <w:rsid w:val="005C6F89"/>
    <w:rsid w:val="005C7F3F"/>
    <w:rsid w:val="005D07CB"/>
    <w:rsid w:val="005D62AC"/>
    <w:rsid w:val="005E06A8"/>
    <w:rsid w:val="005E2DBB"/>
    <w:rsid w:val="005E66D9"/>
    <w:rsid w:val="00600246"/>
    <w:rsid w:val="00604ECF"/>
    <w:rsid w:val="006119EB"/>
    <w:rsid w:val="00611AE9"/>
    <w:rsid w:val="00625AA0"/>
    <w:rsid w:val="006309EF"/>
    <w:rsid w:val="00632BED"/>
    <w:rsid w:val="006333B5"/>
    <w:rsid w:val="00640D11"/>
    <w:rsid w:val="00642E80"/>
    <w:rsid w:val="0064443F"/>
    <w:rsid w:val="00647FF8"/>
    <w:rsid w:val="006603A4"/>
    <w:rsid w:val="00662B12"/>
    <w:rsid w:val="00667E44"/>
    <w:rsid w:val="006745B4"/>
    <w:rsid w:val="00683E79"/>
    <w:rsid w:val="006930D8"/>
    <w:rsid w:val="0069447E"/>
    <w:rsid w:val="006A499A"/>
    <w:rsid w:val="006A7D9D"/>
    <w:rsid w:val="006B2083"/>
    <w:rsid w:val="006B2609"/>
    <w:rsid w:val="006B797B"/>
    <w:rsid w:val="006D4D81"/>
    <w:rsid w:val="006D6CF7"/>
    <w:rsid w:val="006E1582"/>
    <w:rsid w:val="006E6A81"/>
    <w:rsid w:val="006E7F31"/>
    <w:rsid w:val="006F2C6E"/>
    <w:rsid w:val="006F6A7F"/>
    <w:rsid w:val="007037B6"/>
    <w:rsid w:val="007055D4"/>
    <w:rsid w:val="00706833"/>
    <w:rsid w:val="0071195F"/>
    <w:rsid w:val="00712568"/>
    <w:rsid w:val="00721499"/>
    <w:rsid w:val="007262BF"/>
    <w:rsid w:val="00726527"/>
    <w:rsid w:val="0073476C"/>
    <w:rsid w:val="00735B61"/>
    <w:rsid w:val="00736648"/>
    <w:rsid w:val="0074233B"/>
    <w:rsid w:val="00744E5F"/>
    <w:rsid w:val="00744EFD"/>
    <w:rsid w:val="007514EF"/>
    <w:rsid w:val="00755425"/>
    <w:rsid w:val="00757288"/>
    <w:rsid w:val="0076118A"/>
    <w:rsid w:val="00763818"/>
    <w:rsid w:val="00765468"/>
    <w:rsid w:val="007726CB"/>
    <w:rsid w:val="0078115F"/>
    <w:rsid w:val="00781C7A"/>
    <w:rsid w:val="0078227C"/>
    <w:rsid w:val="00784B38"/>
    <w:rsid w:val="00785277"/>
    <w:rsid w:val="00786054"/>
    <w:rsid w:val="00795750"/>
    <w:rsid w:val="007A19EF"/>
    <w:rsid w:val="007A3B96"/>
    <w:rsid w:val="007B0EA5"/>
    <w:rsid w:val="007B64D2"/>
    <w:rsid w:val="007C0486"/>
    <w:rsid w:val="007C7B43"/>
    <w:rsid w:val="007D181E"/>
    <w:rsid w:val="007D3F16"/>
    <w:rsid w:val="007D62D7"/>
    <w:rsid w:val="007E1162"/>
    <w:rsid w:val="007E2474"/>
    <w:rsid w:val="007F0B28"/>
    <w:rsid w:val="007F1186"/>
    <w:rsid w:val="007F201E"/>
    <w:rsid w:val="007F4AD0"/>
    <w:rsid w:val="007F5364"/>
    <w:rsid w:val="007F7704"/>
    <w:rsid w:val="008020DE"/>
    <w:rsid w:val="008036A9"/>
    <w:rsid w:val="0081514C"/>
    <w:rsid w:val="00815788"/>
    <w:rsid w:val="00816593"/>
    <w:rsid w:val="00820F57"/>
    <w:rsid w:val="00823AC0"/>
    <w:rsid w:val="00826F2A"/>
    <w:rsid w:val="008308F4"/>
    <w:rsid w:val="008338BE"/>
    <w:rsid w:val="00834966"/>
    <w:rsid w:val="00840FCB"/>
    <w:rsid w:val="00845946"/>
    <w:rsid w:val="008473A1"/>
    <w:rsid w:val="008512FE"/>
    <w:rsid w:val="0085551A"/>
    <w:rsid w:val="00865930"/>
    <w:rsid w:val="00870908"/>
    <w:rsid w:val="00875466"/>
    <w:rsid w:val="00880360"/>
    <w:rsid w:val="008816AF"/>
    <w:rsid w:val="00883B4C"/>
    <w:rsid w:val="008842B0"/>
    <w:rsid w:val="00887C0E"/>
    <w:rsid w:val="00891DA1"/>
    <w:rsid w:val="008947AF"/>
    <w:rsid w:val="00897DB5"/>
    <w:rsid w:val="008A0607"/>
    <w:rsid w:val="008C21B1"/>
    <w:rsid w:val="008C2351"/>
    <w:rsid w:val="008C6A38"/>
    <w:rsid w:val="008D0871"/>
    <w:rsid w:val="008D2B83"/>
    <w:rsid w:val="008D429C"/>
    <w:rsid w:val="008D4611"/>
    <w:rsid w:val="008D7D15"/>
    <w:rsid w:val="008E1FE6"/>
    <w:rsid w:val="008F4686"/>
    <w:rsid w:val="008F6090"/>
    <w:rsid w:val="0090302D"/>
    <w:rsid w:val="00905D80"/>
    <w:rsid w:val="009061A3"/>
    <w:rsid w:val="009125C3"/>
    <w:rsid w:val="009262E6"/>
    <w:rsid w:val="00926BD8"/>
    <w:rsid w:val="00931CB3"/>
    <w:rsid w:val="009322ED"/>
    <w:rsid w:val="009367AD"/>
    <w:rsid w:val="009477BA"/>
    <w:rsid w:val="00952FCB"/>
    <w:rsid w:val="00955251"/>
    <w:rsid w:val="00962278"/>
    <w:rsid w:val="00965278"/>
    <w:rsid w:val="009702EA"/>
    <w:rsid w:val="00974A03"/>
    <w:rsid w:val="009761A0"/>
    <w:rsid w:val="00976F1C"/>
    <w:rsid w:val="00985A56"/>
    <w:rsid w:val="00991717"/>
    <w:rsid w:val="009952BB"/>
    <w:rsid w:val="00995B4F"/>
    <w:rsid w:val="009A2999"/>
    <w:rsid w:val="009A38E8"/>
    <w:rsid w:val="009A5CFF"/>
    <w:rsid w:val="009B0235"/>
    <w:rsid w:val="009B3695"/>
    <w:rsid w:val="009B3FA9"/>
    <w:rsid w:val="009C0F0A"/>
    <w:rsid w:val="009D1CB6"/>
    <w:rsid w:val="009D692A"/>
    <w:rsid w:val="009E624C"/>
    <w:rsid w:val="009F46A6"/>
    <w:rsid w:val="009F5114"/>
    <w:rsid w:val="00A013CD"/>
    <w:rsid w:val="00A021AE"/>
    <w:rsid w:val="00A13053"/>
    <w:rsid w:val="00A21A85"/>
    <w:rsid w:val="00A22807"/>
    <w:rsid w:val="00A23F87"/>
    <w:rsid w:val="00A25391"/>
    <w:rsid w:val="00A27145"/>
    <w:rsid w:val="00A309F5"/>
    <w:rsid w:val="00A32948"/>
    <w:rsid w:val="00A43DDD"/>
    <w:rsid w:val="00A478B7"/>
    <w:rsid w:val="00A47EB7"/>
    <w:rsid w:val="00A501AB"/>
    <w:rsid w:val="00A60AE4"/>
    <w:rsid w:val="00A62769"/>
    <w:rsid w:val="00A66198"/>
    <w:rsid w:val="00A73407"/>
    <w:rsid w:val="00A75885"/>
    <w:rsid w:val="00A75BA8"/>
    <w:rsid w:val="00A84C75"/>
    <w:rsid w:val="00A94F9A"/>
    <w:rsid w:val="00A967F4"/>
    <w:rsid w:val="00AA2F7D"/>
    <w:rsid w:val="00AA37F6"/>
    <w:rsid w:val="00AA623E"/>
    <w:rsid w:val="00AB6425"/>
    <w:rsid w:val="00AB678E"/>
    <w:rsid w:val="00AC0AD0"/>
    <w:rsid w:val="00AD3166"/>
    <w:rsid w:val="00AD5877"/>
    <w:rsid w:val="00AE1144"/>
    <w:rsid w:val="00AF2616"/>
    <w:rsid w:val="00AF2ECC"/>
    <w:rsid w:val="00B12770"/>
    <w:rsid w:val="00B1533F"/>
    <w:rsid w:val="00B16D3D"/>
    <w:rsid w:val="00B406AB"/>
    <w:rsid w:val="00B4180A"/>
    <w:rsid w:val="00B41E8B"/>
    <w:rsid w:val="00B47732"/>
    <w:rsid w:val="00B512A3"/>
    <w:rsid w:val="00B51E7A"/>
    <w:rsid w:val="00B526B0"/>
    <w:rsid w:val="00B56E38"/>
    <w:rsid w:val="00B635A4"/>
    <w:rsid w:val="00B64C51"/>
    <w:rsid w:val="00B64F42"/>
    <w:rsid w:val="00B7019E"/>
    <w:rsid w:val="00B7165D"/>
    <w:rsid w:val="00B7243C"/>
    <w:rsid w:val="00B740B9"/>
    <w:rsid w:val="00B77F40"/>
    <w:rsid w:val="00B81989"/>
    <w:rsid w:val="00B8305C"/>
    <w:rsid w:val="00B93E12"/>
    <w:rsid w:val="00BA35E5"/>
    <w:rsid w:val="00BB027F"/>
    <w:rsid w:val="00BC219A"/>
    <w:rsid w:val="00BC6DC3"/>
    <w:rsid w:val="00BD47D0"/>
    <w:rsid w:val="00BE0C4A"/>
    <w:rsid w:val="00BE0EAC"/>
    <w:rsid w:val="00BE15B9"/>
    <w:rsid w:val="00BE392D"/>
    <w:rsid w:val="00BF16BF"/>
    <w:rsid w:val="00BF58A9"/>
    <w:rsid w:val="00BF694C"/>
    <w:rsid w:val="00BF7264"/>
    <w:rsid w:val="00C0310E"/>
    <w:rsid w:val="00C1176B"/>
    <w:rsid w:val="00C11D26"/>
    <w:rsid w:val="00C122A5"/>
    <w:rsid w:val="00C127DE"/>
    <w:rsid w:val="00C14991"/>
    <w:rsid w:val="00C14DB5"/>
    <w:rsid w:val="00C21A05"/>
    <w:rsid w:val="00C23F64"/>
    <w:rsid w:val="00C241D3"/>
    <w:rsid w:val="00C3014B"/>
    <w:rsid w:val="00C30494"/>
    <w:rsid w:val="00C31157"/>
    <w:rsid w:val="00C3144C"/>
    <w:rsid w:val="00C4560F"/>
    <w:rsid w:val="00C45E32"/>
    <w:rsid w:val="00C55A1B"/>
    <w:rsid w:val="00C56D10"/>
    <w:rsid w:val="00C6194D"/>
    <w:rsid w:val="00C64585"/>
    <w:rsid w:val="00C6585A"/>
    <w:rsid w:val="00C806AE"/>
    <w:rsid w:val="00C82B50"/>
    <w:rsid w:val="00C84726"/>
    <w:rsid w:val="00C85EFF"/>
    <w:rsid w:val="00C970D9"/>
    <w:rsid w:val="00C9710B"/>
    <w:rsid w:val="00C9726D"/>
    <w:rsid w:val="00CA1F51"/>
    <w:rsid w:val="00CA5E7E"/>
    <w:rsid w:val="00CB01CE"/>
    <w:rsid w:val="00CB0B9C"/>
    <w:rsid w:val="00CC6F76"/>
    <w:rsid w:val="00CD12A2"/>
    <w:rsid w:val="00CD2778"/>
    <w:rsid w:val="00CD284E"/>
    <w:rsid w:val="00CD6A9E"/>
    <w:rsid w:val="00CE7681"/>
    <w:rsid w:val="00CF23F6"/>
    <w:rsid w:val="00CF448D"/>
    <w:rsid w:val="00CF7B3A"/>
    <w:rsid w:val="00D034AF"/>
    <w:rsid w:val="00D06CC7"/>
    <w:rsid w:val="00D06D03"/>
    <w:rsid w:val="00D10736"/>
    <w:rsid w:val="00D11DA8"/>
    <w:rsid w:val="00D1213A"/>
    <w:rsid w:val="00D1404B"/>
    <w:rsid w:val="00D30271"/>
    <w:rsid w:val="00D3384D"/>
    <w:rsid w:val="00D400FB"/>
    <w:rsid w:val="00D436E6"/>
    <w:rsid w:val="00D5461F"/>
    <w:rsid w:val="00D56CCB"/>
    <w:rsid w:val="00D57C7A"/>
    <w:rsid w:val="00D61970"/>
    <w:rsid w:val="00D66C2A"/>
    <w:rsid w:val="00D67524"/>
    <w:rsid w:val="00D67ADF"/>
    <w:rsid w:val="00D72A06"/>
    <w:rsid w:val="00D73BD0"/>
    <w:rsid w:val="00D8652F"/>
    <w:rsid w:val="00D91A69"/>
    <w:rsid w:val="00D977D9"/>
    <w:rsid w:val="00DA1FD2"/>
    <w:rsid w:val="00DA3026"/>
    <w:rsid w:val="00DA4212"/>
    <w:rsid w:val="00DA4905"/>
    <w:rsid w:val="00DA6090"/>
    <w:rsid w:val="00DA724B"/>
    <w:rsid w:val="00DA7780"/>
    <w:rsid w:val="00DB16E5"/>
    <w:rsid w:val="00DB2212"/>
    <w:rsid w:val="00DB6357"/>
    <w:rsid w:val="00DC40A1"/>
    <w:rsid w:val="00DD37D5"/>
    <w:rsid w:val="00DD4C5C"/>
    <w:rsid w:val="00DD6608"/>
    <w:rsid w:val="00DD75A5"/>
    <w:rsid w:val="00DE0438"/>
    <w:rsid w:val="00DE17EE"/>
    <w:rsid w:val="00DF12B0"/>
    <w:rsid w:val="00DF1549"/>
    <w:rsid w:val="00DF640B"/>
    <w:rsid w:val="00DF6C8F"/>
    <w:rsid w:val="00E01AD3"/>
    <w:rsid w:val="00E01E32"/>
    <w:rsid w:val="00E04D6F"/>
    <w:rsid w:val="00E10ADE"/>
    <w:rsid w:val="00E1190E"/>
    <w:rsid w:val="00E15F18"/>
    <w:rsid w:val="00E1649F"/>
    <w:rsid w:val="00E20AD2"/>
    <w:rsid w:val="00E21E9B"/>
    <w:rsid w:val="00E232F5"/>
    <w:rsid w:val="00E237DC"/>
    <w:rsid w:val="00E35402"/>
    <w:rsid w:val="00E36244"/>
    <w:rsid w:val="00E36B71"/>
    <w:rsid w:val="00E42F88"/>
    <w:rsid w:val="00E4340C"/>
    <w:rsid w:val="00E437C5"/>
    <w:rsid w:val="00E43ECC"/>
    <w:rsid w:val="00E44D4A"/>
    <w:rsid w:val="00E4568E"/>
    <w:rsid w:val="00E463D1"/>
    <w:rsid w:val="00E52C11"/>
    <w:rsid w:val="00E724EB"/>
    <w:rsid w:val="00E76067"/>
    <w:rsid w:val="00E83136"/>
    <w:rsid w:val="00E85A6A"/>
    <w:rsid w:val="00E85F73"/>
    <w:rsid w:val="00E86B7F"/>
    <w:rsid w:val="00E93603"/>
    <w:rsid w:val="00E950F9"/>
    <w:rsid w:val="00EA1ED8"/>
    <w:rsid w:val="00EA4B66"/>
    <w:rsid w:val="00EB0B81"/>
    <w:rsid w:val="00EB4D3D"/>
    <w:rsid w:val="00EB5317"/>
    <w:rsid w:val="00EB7FBC"/>
    <w:rsid w:val="00EC0214"/>
    <w:rsid w:val="00EC4894"/>
    <w:rsid w:val="00ED1101"/>
    <w:rsid w:val="00ED1A26"/>
    <w:rsid w:val="00ED54F9"/>
    <w:rsid w:val="00ED5E8E"/>
    <w:rsid w:val="00EE1328"/>
    <w:rsid w:val="00EF25C1"/>
    <w:rsid w:val="00EF26C8"/>
    <w:rsid w:val="00EF2ED0"/>
    <w:rsid w:val="00EF63EC"/>
    <w:rsid w:val="00F0228B"/>
    <w:rsid w:val="00F05A14"/>
    <w:rsid w:val="00F0706F"/>
    <w:rsid w:val="00F132DC"/>
    <w:rsid w:val="00F175C3"/>
    <w:rsid w:val="00F178C4"/>
    <w:rsid w:val="00F21C99"/>
    <w:rsid w:val="00F244A7"/>
    <w:rsid w:val="00F24C59"/>
    <w:rsid w:val="00F25CBC"/>
    <w:rsid w:val="00F27C95"/>
    <w:rsid w:val="00F30830"/>
    <w:rsid w:val="00F35848"/>
    <w:rsid w:val="00F42A93"/>
    <w:rsid w:val="00F46F82"/>
    <w:rsid w:val="00F518A4"/>
    <w:rsid w:val="00F5350B"/>
    <w:rsid w:val="00F5409D"/>
    <w:rsid w:val="00F56AB9"/>
    <w:rsid w:val="00F610E2"/>
    <w:rsid w:val="00F657F1"/>
    <w:rsid w:val="00F67889"/>
    <w:rsid w:val="00F70589"/>
    <w:rsid w:val="00F727CF"/>
    <w:rsid w:val="00F74F17"/>
    <w:rsid w:val="00F7531C"/>
    <w:rsid w:val="00F7629D"/>
    <w:rsid w:val="00F817F8"/>
    <w:rsid w:val="00F835CC"/>
    <w:rsid w:val="00F83850"/>
    <w:rsid w:val="00F93331"/>
    <w:rsid w:val="00F95D1B"/>
    <w:rsid w:val="00F96EAA"/>
    <w:rsid w:val="00FA48F4"/>
    <w:rsid w:val="00FA511E"/>
    <w:rsid w:val="00FA5533"/>
    <w:rsid w:val="00FA75F8"/>
    <w:rsid w:val="00FB112D"/>
    <w:rsid w:val="00FB1938"/>
    <w:rsid w:val="00FB2E18"/>
    <w:rsid w:val="00FB5151"/>
    <w:rsid w:val="00FD0C69"/>
    <w:rsid w:val="00FD440F"/>
    <w:rsid w:val="00FD4A98"/>
    <w:rsid w:val="00FE0C01"/>
    <w:rsid w:val="00FE2E02"/>
    <w:rsid w:val="00FE74D6"/>
    <w:rsid w:val="00FF5A40"/>
    <w:rsid w:val="00FF6A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D9A41"/>
  <w15:chartTrackingRefBased/>
  <w15:docId w15:val="{52500C4E-BA56-45F1-BE63-44D2A8F4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ACE"/>
    <w:pPr>
      <w:spacing w:after="0" w:line="240" w:lineRule="auto"/>
      <w:jc w:val="both"/>
    </w:pPr>
    <w:rPr>
      <w:sz w:val="24"/>
      <w:szCs w:val="24"/>
    </w:rPr>
  </w:style>
  <w:style w:type="paragraph" w:styleId="Heading1">
    <w:name w:val="heading 1"/>
    <w:basedOn w:val="Heading2"/>
    <w:next w:val="Normal"/>
    <w:link w:val="Heading1Char"/>
    <w:uiPriority w:val="9"/>
    <w:qFormat/>
    <w:rsid w:val="00FA511E"/>
    <w:pPr>
      <w:numPr>
        <w:ilvl w:val="0"/>
        <w:numId w:val="0"/>
      </w:numPr>
      <w:outlineLvl w:val="0"/>
    </w:pPr>
  </w:style>
  <w:style w:type="paragraph" w:styleId="Heading2">
    <w:name w:val="heading 2"/>
    <w:basedOn w:val="Normal"/>
    <w:next w:val="Normal"/>
    <w:link w:val="Heading2Char"/>
    <w:uiPriority w:val="9"/>
    <w:unhideWhenUsed/>
    <w:qFormat/>
    <w:rsid w:val="00FA511E"/>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11E"/>
    <w:rPr>
      <w:rFonts w:asciiTheme="majorHAnsi" w:eastAsiaTheme="majorEastAsia" w:hAnsiTheme="majorHAnsi" w:cstheme="majorBidi"/>
      <w:color w:val="2F5496" w:themeColor="accent1" w:themeShade="BF"/>
      <w:sz w:val="26"/>
      <w:szCs w:val="26"/>
    </w:rPr>
  </w:style>
  <w:style w:type="character" w:customStyle="1" w:styleId="Heading2Char">
    <w:name w:val="Heading 2 Char"/>
    <w:basedOn w:val="DefaultParagraphFont"/>
    <w:link w:val="Heading2"/>
    <w:uiPriority w:val="9"/>
    <w:rsid w:val="00FA511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385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6EAA"/>
    <w:rPr>
      <w:sz w:val="16"/>
      <w:szCs w:val="16"/>
    </w:rPr>
  </w:style>
  <w:style w:type="paragraph" w:styleId="CommentText">
    <w:name w:val="annotation text"/>
    <w:basedOn w:val="Normal"/>
    <w:link w:val="CommentTextChar"/>
    <w:uiPriority w:val="99"/>
    <w:unhideWhenUsed/>
    <w:rsid w:val="00F96EAA"/>
    <w:rPr>
      <w:sz w:val="20"/>
      <w:szCs w:val="20"/>
    </w:rPr>
  </w:style>
  <w:style w:type="character" w:customStyle="1" w:styleId="CommentTextChar">
    <w:name w:val="Comment Text Char"/>
    <w:basedOn w:val="DefaultParagraphFont"/>
    <w:link w:val="CommentText"/>
    <w:uiPriority w:val="99"/>
    <w:rsid w:val="00F96EAA"/>
    <w:rPr>
      <w:sz w:val="20"/>
      <w:szCs w:val="20"/>
    </w:rPr>
  </w:style>
  <w:style w:type="character" w:styleId="Hyperlink">
    <w:name w:val="Hyperlink"/>
    <w:basedOn w:val="DefaultParagraphFont"/>
    <w:uiPriority w:val="99"/>
    <w:unhideWhenUsed/>
    <w:rsid w:val="00BE0C4A"/>
    <w:rPr>
      <w:color w:val="0563C1" w:themeColor="hyperlink"/>
      <w:u w:val="single"/>
    </w:rPr>
  </w:style>
  <w:style w:type="character" w:styleId="UnresolvedMention">
    <w:name w:val="Unresolved Mention"/>
    <w:basedOn w:val="DefaultParagraphFont"/>
    <w:uiPriority w:val="99"/>
    <w:semiHidden/>
    <w:unhideWhenUsed/>
    <w:rsid w:val="00BE0C4A"/>
    <w:rPr>
      <w:color w:val="605E5C"/>
      <w:shd w:val="clear" w:color="auto" w:fill="E1DFDD"/>
    </w:rPr>
  </w:style>
  <w:style w:type="paragraph" w:styleId="Revision">
    <w:name w:val="Revision"/>
    <w:hidden/>
    <w:uiPriority w:val="99"/>
    <w:semiHidden/>
    <w:rsid w:val="00931CB3"/>
    <w:pPr>
      <w:spacing w:after="0" w:line="240" w:lineRule="auto"/>
    </w:pPr>
    <w:rPr>
      <w:sz w:val="24"/>
      <w:szCs w:val="24"/>
    </w:rPr>
  </w:style>
  <w:style w:type="paragraph" w:styleId="ListParagraph">
    <w:name w:val="List Paragraph"/>
    <w:basedOn w:val="Normal"/>
    <w:uiPriority w:val="34"/>
    <w:qFormat/>
    <w:rsid w:val="009B3FA9"/>
    <w:pPr>
      <w:ind w:left="720"/>
      <w:contextualSpacing/>
    </w:pPr>
  </w:style>
  <w:style w:type="paragraph" w:styleId="CommentSubject">
    <w:name w:val="annotation subject"/>
    <w:basedOn w:val="CommentText"/>
    <w:next w:val="CommentText"/>
    <w:link w:val="CommentSubjectChar"/>
    <w:uiPriority w:val="99"/>
    <w:semiHidden/>
    <w:unhideWhenUsed/>
    <w:rsid w:val="00C11D26"/>
    <w:rPr>
      <w:b/>
      <w:bCs/>
    </w:rPr>
  </w:style>
  <w:style w:type="character" w:customStyle="1" w:styleId="CommentSubjectChar">
    <w:name w:val="Comment Subject Char"/>
    <w:basedOn w:val="CommentTextChar"/>
    <w:link w:val="CommentSubject"/>
    <w:uiPriority w:val="99"/>
    <w:semiHidden/>
    <w:rsid w:val="00C11D26"/>
    <w:rPr>
      <w:b/>
      <w:bCs/>
      <w:sz w:val="20"/>
      <w:szCs w:val="20"/>
    </w:rPr>
  </w:style>
  <w:style w:type="paragraph" w:styleId="Header">
    <w:name w:val="header"/>
    <w:basedOn w:val="Normal"/>
    <w:link w:val="HeaderChar"/>
    <w:uiPriority w:val="99"/>
    <w:unhideWhenUsed/>
    <w:rsid w:val="00EB7FBC"/>
    <w:pPr>
      <w:tabs>
        <w:tab w:val="center" w:pos="4513"/>
        <w:tab w:val="right" w:pos="9026"/>
      </w:tabs>
    </w:pPr>
  </w:style>
  <w:style w:type="character" w:customStyle="1" w:styleId="HeaderChar">
    <w:name w:val="Header Char"/>
    <w:basedOn w:val="DefaultParagraphFont"/>
    <w:link w:val="Header"/>
    <w:uiPriority w:val="99"/>
    <w:rsid w:val="00EB7FBC"/>
    <w:rPr>
      <w:sz w:val="24"/>
      <w:szCs w:val="24"/>
    </w:rPr>
  </w:style>
  <w:style w:type="paragraph" w:styleId="Footer">
    <w:name w:val="footer"/>
    <w:basedOn w:val="Normal"/>
    <w:link w:val="FooterChar"/>
    <w:uiPriority w:val="99"/>
    <w:unhideWhenUsed/>
    <w:rsid w:val="00EB7FBC"/>
    <w:pPr>
      <w:tabs>
        <w:tab w:val="center" w:pos="4513"/>
        <w:tab w:val="right" w:pos="9026"/>
      </w:tabs>
    </w:pPr>
  </w:style>
  <w:style w:type="character" w:customStyle="1" w:styleId="FooterChar">
    <w:name w:val="Footer Char"/>
    <w:basedOn w:val="DefaultParagraphFont"/>
    <w:link w:val="Footer"/>
    <w:uiPriority w:val="99"/>
    <w:rsid w:val="00EB7FBC"/>
    <w:rPr>
      <w:sz w:val="24"/>
      <w:szCs w:val="24"/>
    </w:rPr>
  </w:style>
  <w:style w:type="paragraph" w:styleId="Title">
    <w:name w:val="Title"/>
    <w:basedOn w:val="Normal"/>
    <w:next w:val="Normal"/>
    <w:link w:val="TitleChar"/>
    <w:uiPriority w:val="10"/>
    <w:qFormat/>
    <w:rsid w:val="00274B2C"/>
    <w:pPr>
      <w:spacing w:after="80"/>
      <w:contextualSpacing/>
      <w:jc w:val="left"/>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274B2C"/>
    <w:rPr>
      <w:rFonts w:asciiTheme="majorHAnsi" w:eastAsiaTheme="majorEastAsia" w:hAnsiTheme="majorHAnsi" w:cstheme="majorBidi"/>
      <w:spacing w:val="-10"/>
      <w:kern w:val="28"/>
      <w:sz w:val="56"/>
      <w:szCs w:val="56"/>
      <w:lang w:eastAsia="zh-CN"/>
      <w14:ligatures w14:val="standardContextual"/>
    </w:rPr>
  </w:style>
  <w:style w:type="paragraph" w:styleId="Bibliography">
    <w:name w:val="Bibliography"/>
    <w:basedOn w:val="Normal"/>
    <w:next w:val="Normal"/>
    <w:uiPriority w:val="37"/>
    <w:unhideWhenUsed/>
    <w:rsid w:val="00A967F4"/>
    <w:pPr>
      <w:spacing w:line="480" w:lineRule="auto"/>
      <w:ind w:left="720" w:hanging="720"/>
    </w:pPr>
  </w:style>
  <w:style w:type="character" w:styleId="FollowedHyperlink">
    <w:name w:val="FollowedHyperlink"/>
    <w:basedOn w:val="DefaultParagraphFont"/>
    <w:uiPriority w:val="99"/>
    <w:semiHidden/>
    <w:unhideWhenUsed/>
    <w:rsid w:val="001709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9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struebig@kent.ac.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prioritiz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43EE2-A9B1-49A6-8680-169EEFDF270E}">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6008</Words>
  <Characters>34246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Muenzel</dc:creator>
  <cp:keywords/>
  <dc:description/>
  <cp:lastModifiedBy>Matthew Struebig</cp:lastModifiedBy>
  <cp:revision>3</cp:revision>
  <dcterms:created xsi:type="dcterms:W3CDTF">2026-08-25T09:59:00Z</dcterms:created>
  <dcterms:modified xsi:type="dcterms:W3CDTF">2026-08-25T09:59:00Z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http://www.zotero.org/styles/conservation-biology</vt:lpwstr>
  </property>
  <property fmtid="{D5CDD505-2E9C-101B-9397-08002B2CF9AE}" pid="13" name="Mendeley Recent Style Name 5_1">
    <vt:lpwstr>Conservation Biology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http://www.zotero.org/styles/science-advances</vt:lpwstr>
  </property>
  <property fmtid="{D5CDD505-2E9C-101B-9397-08002B2CF9AE}" pid="21" name="Mendeley Recent Style Name 9_1">
    <vt:lpwstr>Science Advances</vt:lpwstr>
  </property>
  <property fmtid="{D5CDD505-2E9C-101B-9397-08002B2CF9AE}" pid="22" name="Mendeley Document_1">
    <vt:lpwstr>True</vt:lpwstr>
  </property>
  <property fmtid="{D5CDD505-2E9C-101B-9397-08002B2CF9AE}" pid="23" name="Mendeley Unique User Id_1">
    <vt:lpwstr>32e28b5d-c613-33e7-9d04-4729215c91f4</vt:lpwstr>
  </property>
  <property fmtid="{D5CDD505-2E9C-101B-9397-08002B2CF9AE}" pid="24" name="Mendeley Citation Style_1">
    <vt:lpwstr>http://www.zotero.org/styles/conservation-biology</vt:lpwstr>
  </property>
  <property fmtid="{D5CDD505-2E9C-101B-9397-08002B2CF9AE}" pid="25" name="ZOTERO_PREF_1">
    <vt:lpwstr>&lt;data data-version="3" zotero-version="9.0.6"&gt;&lt;session id="aLHtriQA"/&gt;&lt;style id="http://www.zotero.org/styles/journal-of-applied-ecology" hasBibliography="1" bibliographyStyleHasBeenSet="1"/&gt;&lt;prefs&gt;&lt;pref name="fieldType" value="Field"/&gt;&lt;pref name="automat</vt:lpwstr>
  </property>
  <property fmtid="{D5CDD505-2E9C-101B-9397-08002B2CF9AE}" pid="26" name="ZOTERO_PREF_2">
    <vt:lpwstr>icJournalAbbreviations" value="true"/&gt;&lt;/prefs&gt;&lt;/data&gt;</vt:lpwstr>
  </property>
</Properties>
</file>