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EE4D7" w14:textId="77777777" w:rsidR="00EC2326" w:rsidRDefault="00EC2326" w:rsidP="00EC2326">
      <w:pPr>
        <w:pStyle w:val="Heading1"/>
        <w:spacing w:before="100" w:beforeAutospacing="1" w:after="100" w:afterAutospacing="1" w:line="240" w:lineRule="auto"/>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Supplementary Results</w:t>
      </w:r>
    </w:p>
    <w:p w14:paraId="475DE725" w14:textId="77777777" w:rsidR="00EC2326" w:rsidRPr="00806E1E" w:rsidRDefault="00EC2326" w:rsidP="00EC2326">
      <w:pPr>
        <w:spacing w:before="100" w:beforeAutospacing="1" w:after="100" w:afterAutospacing="1" w:line="240" w:lineRule="auto"/>
        <w:outlineLvl w:val="1"/>
        <w:rPr>
          <w:b/>
          <w:bCs/>
          <w:kern w:val="0"/>
          <w:sz w:val="27"/>
          <w:szCs w:val="27"/>
          <w14:ligatures w14:val="none"/>
        </w:rPr>
      </w:pPr>
      <w:r>
        <w:rPr>
          <w:b/>
          <w:bCs/>
          <w:kern w:val="0"/>
          <w:sz w:val="27"/>
          <w:szCs w:val="27"/>
          <w14:ligatures w14:val="none"/>
        </w:rPr>
        <w:t>Benchmark Algorithm Grid Search</w:t>
      </w:r>
    </w:p>
    <w:p w14:paraId="78794483" w14:textId="77777777" w:rsidR="00EC2326" w:rsidRPr="00806E1E" w:rsidRDefault="00EC2326" w:rsidP="00EC2326">
      <w:pPr>
        <w:spacing w:before="100" w:beforeAutospacing="1" w:after="100" w:afterAutospacing="1" w:line="240" w:lineRule="auto"/>
        <w:rPr>
          <w:kern w:val="0"/>
          <w14:ligatures w14:val="none"/>
        </w:rPr>
      </w:pPr>
      <w:r>
        <w:rPr>
          <w:kern w:val="0"/>
          <w14:ligatures w14:val="none"/>
        </w:rPr>
        <w:t>To ensure robust clustering results, we performed systematic hyperparameter tuning for each algorithm using exhaustive grid search. All algorithms were evaluated on the same standardized feature matrix (225 genes × 11 features) with consistent random seeds for reproducibility.</w:t>
      </w:r>
    </w:p>
    <w:p w14:paraId="5F466021" w14:textId="77777777" w:rsidR="00EC2326" w:rsidRPr="00806E1E" w:rsidRDefault="00EC2326" w:rsidP="00EC2326">
      <w:pPr>
        <w:spacing w:before="100" w:beforeAutospacing="1" w:after="100" w:afterAutospacing="1" w:line="240" w:lineRule="auto"/>
        <w:rPr>
          <w:kern w:val="0"/>
          <w14:ligatures w14:val="none"/>
        </w:rPr>
      </w:pPr>
      <w:r>
        <w:rPr>
          <w:kern w:val="0"/>
          <w14:ligatures w14:val="none"/>
        </w:rPr>
        <w:t>To rule out the possibility that a different algorithm or hyperparameter choice could recover a stronger signal than Ward, we performed an exhaustive grid search across more than 100 algorithm/parameter combinations on the same standardized 225×5 biology-only feature matrix. The grid included Gaussian mixture models (k = 2–10 components × four covariance types, BIC/AIC selection), spectral clustering with an RBF kernel (k = 2–10 × γ ∈ {0.1, 1, 10, 100}), k-means (k = 2–10 with k-means++ initialization and 100 random restarts), HDBSCAN (min_cluster_size ∈ {2, 3, 5, 10, 15} × min_samples ∈ {2, 3, 5}), and average-linkage hierarchical clustering with correlation distance (k = 2–10). Silhouette score was used as the common comparability metric.</w:t>
      </w:r>
    </w:p>
    <w:p w14:paraId="29E2CCA6" w14:textId="77777777" w:rsidR="00EC2326" w:rsidRPr="00806E1E" w:rsidRDefault="00EC2326" w:rsidP="00EC2326">
      <w:pPr>
        <w:spacing w:before="100" w:beforeAutospacing="1" w:after="100" w:afterAutospacing="1" w:line="240" w:lineRule="auto"/>
        <w:rPr>
          <w:kern w:val="0"/>
          <w14:ligatures w14:val="none"/>
        </w:rPr>
      </w:pPr>
      <w:r>
        <w:rPr>
          <w:kern w:val="0"/>
          <w14:ligatures w14:val="none"/>
        </w:rPr>
        <w:t>No benchmark algorithm produced a partition that simultaneously (a) exceeded its feature-shuffled permutation null and (b) recovered biologically coherent groups. Spectral RBF clustering at k=2 with γ=10 achieved the highest raw silhouette across the grid (0.682 on the 11-feature comparator matrix; 0.599 on the biology-only matrix), but its sensitivity-sweep p-values range from 0.20 to 0.55 across the n=70, 225, and 632 conditions, indicating that its apparently strong structure is a kernel artifact. GMM selected k=10 components with diagonal covariance under BIC, an overfitting signature that is well documented for small-n mixture estimation on near-continuous data. HDBSCAN either labeled the majority of genes as noise (min_cluster_size ≥ 10) or collapsed to a single cluster (min_cluster_size ≤ 5) depending on the density threshold. On the biology-only matrix k-means peaked at k=4 (silhouette 0.317) and correlation-linkage hierarchical clustering at k=5 (0.257); k-means at k=4 therefore exceeds Ward’s k=3 silhouette of 0.311 on raw silhouette, and Ward’s selection rests on the permutation null rather than on silhouette magnitude.</w:t>
      </w:r>
    </w:p>
    <w:p w14:paraId="7CD1BD0A" w14:textId="77777777" w:rsidR="00EC2326" w:rsidRPr="00806E1E" w:rsidRDefault="00EC2326" w:rsidP="00EC2326">
      <w:pPr>
        <w:spacing w:before="100" w:beforeAutospacing="1" w:after="100" w:afterAutospacing="1" w:line="240" w:lineRule="auto"/>
        <w:rPr>
          <w:kern w:val="0"/>
          <w14:ligatures w14:val="none"/>
        </w:rPr>
      </w:pPr>
      <w:r>
        <w:rPr>
          <w:kern w:val="0"/>
          <w14:ligatures w14:val="none"/>
        </w:rPr>
        <w:t>Only Ward at k=3 passed the joint criterion of (a) beating its permutation null, (b) producing a balanced partition with more than one biologically interpretable subgroup, and (c) being stable under consensus clustering. We therefore carried the Ward k=3 solution forward as the discrete decomposition to characterise at this threshold, while treating it as a description of where gene density is uneven rather than as a replacement for the continuous PC1/PC2 gradient. As the threshold scan below shows, that solution is a property of q&lt;0.23 and not a threshold-independent feature of the data.</w:t>
      </w:r>
    </w:p>
    <w:p w14:paraId="154E2671" w14:textId="77777777" w:rsidR="00EC2326" w:rsidRDefault="00EC2326" w:rsidP="00EC2326">
      <w:pPr>
        <w:spacing w:before="100" w:beforeAutospacing="1" w:after="100" w:afterAutospacing="1" w:line="240" w:lineRule="auto"/>
        <w:rPr>
          <w:kern w:val="0"/>
          <w14:ligatures w14:val="none"/>
        </w:rPr>
      </w:pPr>
      <w:r>
        <w:rPr>
          <w:kern w:val="0"/>
          <w14:ligatures w14:val="none"/>
        </w:rPr>
        <w:t>This comprehensive search across more than 100 configurations supports a narrower conclusion than we first drew: at q&lt;0.23, Ward k=3 is the only configuration that both beats its feature-shuffled null and yields an interpretable partition. It is not, as the threshold scan below shows, a statistically defensible optimum in any threshold-independent sense.</w:t>
      </w:r>
    </w:p>
    <w:p w14:paraId="72256FA0" w14:textId="77777777" w:rsidR="00EC2326" w:rsidRPr="00DE1661" w:rsidRDefault="00EC2326" w:rsidP="00EC2326">
      <w:pPr>
        <w:spacing w:before="100" w:beforeAutospacing="1" w:after="100" w:afterAutospacing="1" w:line="240" w:lineRule="auto"/>
        <w:rPr>
          <w:kern w:val="0"/>
          <w14:ligatures w14:val="none"/>
        </w:rPr>
      </w:pPr>
    </w:p>
    <w:p w14:paraId="21383E45" w14:textId="77777777" w:rsidR="00EC2326" w:rsidRPr="00347BB4" w:rsidRDefault="00EC2326" w:rsidP="00EC2326">
      <w:pPr>
        <w:spacing w:before="100" w:beforeAutospacing="1" w:after="100" w:afterAutospacing="1" w:line="240" w:lineRule="auto"/>
        <w:outlineLvl w:val="2"/>
        <w:rPr>
          <w:b/>
          <w:bCs/>
          <w:kern w:val="0"/>
          <w:sz w:val="27"/>
          <w:szCs w:val="27"/>
          <w14:ligatures w14:val="none"/>
        </w:rPr>
      </w:pPr>
      <w:r>
        <w:rPr>
          <w:b/>
          <w:bCs/>
          <w:kern w:val="0"/>
          <w:sz w:val="27"/>
          <w:szCs w:val="27"/>
          <w14:ligatures w14:val="none"/>
        </w:rPr>
        <w:t>Sensitivity Analyses Across FDR Thresholds</w:t>
      </w:r>
    </w:p>
    <w:p w14:paraId="05B99B56" w14:textId="77777777" w:rsidR="00EC2326" w:rsidRPr="00A24CFC" w:rsidRDefault="00EC2326" w:rsidP="00EC2326">
      <w:pPr>
        <w:pStyle w:val="NormalWeb"/>
      </w:pPr>
      <w:r>
        <w:lastRenderedPageBreak/>
        <w:t>To test whether the Ward k=3 result depends on the particular q&lt;0.23 threshold used for gene selection, we re-ran the full biology-only + Ward + consensus + permutation pipeline at q&lt;0.15 (n=70 genes) and q&lt;0.30 (n=632 genes). The results are stable in direction. At q&lt;0.15 the constraint-dominated core and the FMRP subgroup are both preserved (core SFARI OR 8.6, p = 0.003; FMRP subgroup OR 5.1, p = 0.044), and every gene in the q&lt;0.15 core reappears in the q&lt;0.23 core. At q&lt;0.30 the constraint core and the FMRP subgroup both survive and the k=3 permutation p-value remains below 0.05, while spectral RBF silhouettes rise further without any corresponding improvement in permutation p-values—an important control result, because it demonstrates that the spectral artifact scales with n while the Ward signal does not.</w:t>
      </w:r>
    </w:p>
    <w:p w14:paraId="3C88E38C" w14:textId="77777777" w:rsidR="00EC2326" w:rsidRDefault="00EC2326" w:rsidP="00EC2326">
      <w:pPr>
        <w:pStyle w:val="NormalWeb"/>
      </w:pPr>
      <w:r>
        <w:t>The four-threshold sweep above is too coarse to establish that the k=3 result is a property of the data rather than of the threshold, so we re-ran the biology-only Ward pipeline with 100 feature-shuffled permutations at every q from 0.10 to 0.35 in steps of 0.01 (26 thresholds; Supplementary Figure S2). The pattern reported at q&lt;0.23 — k=2 failing its null while k=3 passes — occurs at 3 of the 26 thresholds (q&lt;0.23, q&lt;0.32 and q&lt;0.35), and it reverses at both immediate neighbours: at q&lt;0.22 (n=167) the k=2 silhouette is 0.4264 with p=0.010 and k=3 gives p=0.683, while at q&lt;0.24 (n=256) the k=2 silhouette is 0.3715 with p=0.010 and k=3 gives p=0.406. The mechanism is visible in the top-level split: at the 19 thresholds where k=2 exceeds its null, its cut separates a small tight group comprising 10–16% of the selected genes, whereas at q&lt;0.23 it cuts 55/170 (24%) and the more balanced cut does not clear the null. Ward k=3 exceeds its own null at 10 of the 26 thresholds and k=2 at 19, so neither partition is uniformly supported or uniformly rejected; what is not supported is the specific contrast between them on which a claim of minimal defensible structure would rest. We therefore report the q&lt;0.23 partition as a description of where gene density is uneven, and not as evidence for discrete molecular subtypes.</w:t>
      </w:r>
    </w:p>
    <w:p w14:paraId="6A8E3944" w14:textId="77777777" w:rsidR="00EC2326" w:rsidRDefault="00EC2326" w:rsidP="00EC2326">
      <w:pPr>
        <w:pStyle w:val="NormalWeb"/>
      </w:pPr>
      <w:r>
        <w:t>A second analytic choice with the same character is linkage disequilibrium. Chaining the 225 selected genes into loci at 1 Mb resolves them into 118 approximately independent regions: 39 loci contain more than one gene and account for 146 of the 225 genes (65%), the largest spanning chr8:8.6–11.8 Mb with 16 genes — the same 8p23.1 region that drives the cluster-3 pathway enrichment reported above — followed by 11 genes each at chr17:43.5–44.9 Mb (the MAPT region) and chr3:52.5–53.0 Mb (Supplementary Table S2). Re-running the pipeline on the LD-pruned set (n=118, lowest-p gene per locus) leaves the continuous structure essentially unchanged: PC1 and PC2 explain 37.4% and 26.6% of variance (81.5% for PC1–PC3, against 34.6%, 28.8% and 80.3% in the full set), SFARI genes remain significantly shifted along PC1 (p=6.3×10⁻⁴, n=20), and the constraint-defined region remains SFARI-enriched (n=37; OR 5.7, p=7.2×10⁻⁴). The discrete result does not survive in the same form: Ward k=2, which fails its null on the full set (p=0.637), exceeds it after pruning (p=0.030) alongside k=3 (p=0.015), so the k=2/k=3 contrast at q&lt;0.23 is in part a consequence of LD redundancy rather than of biology. Repeating the threshold scan on LD-pruned sets, the contrast appears at q&lt;0.17, q&lt;0.21, q&lt;0.22 and q&lt;0.25 but not at q&lt;0.23. Linkage disequilibrium is therefore a third analytic choice, alongside selection threshold and clustering algorithm, that changes which discrete decomposition appears, while leaving the continuous gradient and its gene-list positioning intact.</w:t>
      </w:r>
    </w:p>
    <w:p w14:paraId="6D37C383" w14:textId="77777777" w:rsidR="00EC2326" w:rsidRDefault="00EC2326" w:rsidP="00EC2326">
      <w:pPr>
        <w:spacing w:before="100" w:beforeAutospacing="1" w:after="100" w:afterAutospacing="1" w:line="240" w:lineRule="auto"/>
        <w:outlineLvl w:val="2"/>
        <w:rPr>
          <w:b/>
          <w:bCs/>
          <w:kern w:val="0"/>
          <w:sz w:val="27"/>
          <w:szCs w:val="27"/>
          <w14:ligatures w14:val="none"/>
        </w:rPr>
      </w:pPr>
      <w:r>
        <w:rPr>
          <w:b/>
          <w:bCs/>
          <w:noProof/>
          <w:kern w:val="0"/>
          <w:sz w:val="27"/>
          <w:szCs w:val="27"/>
        </w:rPr>
        <w:lastRenderedPageBreak/>
        <w:drawing>
          <wp:inline distT="0" distB="0" distL="0" distR="0" wp14:anchorId="4AD8D13C" wp14:editId="7ADFC289">
            <wp:extent cx="5943600" cy="3735000"/>
            <wp:effectExtent l="0" t="0" r="0" b="0"/>
            <wp:docPr id="100000099" name="Picture 99" descr="Supplementary 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67693" name="Picture 1339867693"/>
                    <pic:cNvPicPr/>
                  </pic:nvPicPr>
                  <pic:blipFill>
                    <a:blip r:embed="rId4"/>
                    <a:stretch>
                      <a:fillRect/>
                    </a:stretch>
                  </pic:blipFill>
                  <pic:spPr>
                    <a:xfrm>
                      <a:off x="0" y="0"/>
                      <a:ext cx="5943600" cy="3735000"/>
                    </a:xfrm>
                    <a:prstGeom prst="rect">
                      <a:avLst/>
                    </a:prstGeom>
                  </pic:spPr>
                </pic:pic>
              </a:graphicData>
            </a:graphic>
          </wp:inline>
        </w:drawing>
      </w:r>
    </w:p>
    <w:p w14:paraId="0F546251" w14:textId="77777777" w:rsidR="00EC2326" w:rsidRDefault="00EC2326" w:rsidP="00EC2326">
      <w:pPr>
        <w:pStyle w:val="NormalWeb"/>
      </w:pPr>
      <w:r>
        <w:rPr>
          <w:b/>
          <w:bCs/>
          <w:sz w:val="16"/>
          <w:szCs w:val="16"/>
        </w:rPr>
        <w:t>Supplementary Figure S2. Sensitivity of the Ward permutation result to the FDR selection threshold.</w:t>
      </w:r>
      <w:r>
        <w:rPr>
          <w:sz w:val="16"/>
          <w:szCs w:val="16"/>
        </w:rPr>
        <w:t xml:space="preserve"> (A) Empirical permutation p for Ward k=2 (orange) and k=3 (blue) at every q from 0.10 to 0.35 in steps of 0.01, on the biology-only five-feature matrix with 100 feature-shuffled nulls per threshold. Dashed line, α=0.05; shaded band, the q&lt;0.23 threshold used in the main analysis; circled points, the three thresholds at which k=2 fails while k=3 passes. (B) Balance of the top-level Ward split (smaller cluster ÷ n) at each threshold; bars are red where k=2 fails its null. k=2 exceeds its null when the split peels off a small tight group (10–16% of genes) and fails when the cut is more balanced, which is what occurs at q&lt;0.23 (55/170, 24%).</w:t>
      </w:r>
    </w:p>
    <w:p w14:paraId="334C7C4B" w14:textId="77777777" w:rsidR="00EC2326" w:rsidRDefault="00EC2326" w:rsidP="00EC2326">
      <w:pPr>
        <w:pStyle w:val="NormalWeb"/>
      </w:pPr>
      <w:r>
        <w:t>We also compared the biology-only feature set against an 11-feature comparator set that additionally included SFARI, FMRP, and Satterstrom binary indicators as clustering inputs. On the comparator set, spectral RBF clustering produces very high silhouettes (k=2 silhouette ≈ 0.68) because the binary gene-list features create near-perfect linear separability in the feature space: the algorithm is simply recovering a variable that was hand-placed into the input. When these indicators are removed, silhouettes collapse to values comparable to or below the biology-only Ward result (≈</w:t>
      </w:r>
      <w:r>
        <w:rPr>
          <w:rStyle w:val="HTMLCode"/>
          <w:rFonts w:ascii="Times New Roman" w:eastAsiaTheme="majorEastAsia" w:hAnsi="Times New Roman" w:cs="Times New Roman"/>
          <w:sz w:val="24"/>
          <w:szCs w:val="24"/>
        </w:rPr>
        <w:t>k=2</w:t>
      </w:r>
      <w:r>
        <w:t xml:space="preserve"> 0.31). This indicates that silhouette inflation on matrices that include binary gene-list features is driven by those features rather than by underlying biology, and that the discrete structure visible in the biology-only matrix is weaker in magnitude but statistically significant under a proper permutation null. The optimal k ranged from </w:t>
      </w:r>
      <w:r>
        <w:rPr>
          <w:rStyle w:val="HTMLCode"/>
          <w:rFonts w:ascii="Times New Roman" w:eastAsiaTheme="majorEastAsia" w:hAnsi="Times New Roman" w:cs="Times New Roman"/>
          <w:sz w:val="24"/>
          <w:szCs w:val="24"/>
        </w:rPr>
        <w:t>k=2</w:t>
      </w:r>
      <w:r>
        <w:t xml:space="preserve"> to </w:t>
      </w:r>
      <w:r>
        <w:rPr>
          <w:rStyle w:val="HTMLCode"/>
          <w:rFonts w:ascii="Times New Roman" w:eastAsiaTheme="majorEastAsia" w:hAnsi="Times New Roman" w:cs="Times New Roman"/>
          <w:sz w:val="24"/>
          <w:szCs w:val="24"/>
        </w:rPr>
        <w:t>k=4</w:t>
      </w:r>
      <w:r>
        <w:t xml:space="preserve"> depending on the feature set used. For instance, using only constraint or database features suggested an optimal </w:t>
      </w:r>
      <w:r>
        <w:rPr>
          <w:rStyle w:val="HTMLCode"/>
          <w:rFonts w:ascii="Times New Roman" w:eastAsiaTheme="majorEastAsia" w:hAnsi="Times New Roman" w:cs="Times New Roman"/>
          <w:sz w:val="24"/>
          <w:szCs w:val="24"/>
        </w:rPr>
        <w:t>k=4</w:t>
      </w:r>
      <w:r>
        <w:t>. Across all sensitivity conditions the continuous PC1/PC2 gradient is preserved, and a constraint-defined region of it is recoverable and nested across thresholds. The three-cluster decomposition placed on top of that gradient is not: as the fine-grained scan below shows, both the number of clusters and the k=2/k=3 contrast depend on the selection threshold.</w:t>
      </w:r>
    </w:p>
    <w:p w14:paraId="18490BEF" w14:textId="77777777" w:rsidR="00EC2326" w:rsidRDefault="00EC2326" w:rsidP="00EC2326">
      <w:pPr>
        <w:pStyle w:val="NormalWeb"/>
      </w:pPr>
    </w:p>
    <w:p w14:paraId="455B9CA0" w14:textId="77777777" w:rsidR="00EC2326" w:rsidRPr="00347BB4" w:rsidRDefault="00EC2326" w:rsidP="00EC2326">
      <w:pPr>
        <w:pStyle w:val="NormalWeb"/>
      </w:pPr>
    </w:p>
    <w:p w14:paraId="669486EE" w14:textId="77777777" w:rsidR="00EC2326" w:rsidRDefault="00EC2326" w:rsidP="00EC2326">
      <w:pPr>
        <w:spacing w:before="100" w:beforeAutospacing="1" w:after="100" w:afterAutospacing="1" w:line="240" w:lineRule="auto"/>
        <w:outlineLvl w:val="2"/>
        <w:rPr>
          <w:b/>
          <w:bCs/>
          <w:kern w:val="0"/>
          <w:sz w:val="27"/>
          <w:szCs w:val="27"/>
          <w14:ligatures w14:val="none"/>
        </w:rPr>
      </w:pPr>
      <w:r>
        <w:rPr>
          <w:b/>
          <w:bCs/>
          <w:kern w:val="0"/>
          <w:sz w:val="27"/>
          <w:szCs w:val="27"/>
          <w14:ligatures w14:val="none"/>
        </w:rPr>
        <w:t>Statistical Validation: Permutation, Bootstrap, and Consensus</w:t>
      </w:r>
    </w:p>
    <w:p w14:paraId="6B094C5F" w14:textId="77777777" w:rsidR="00EC2326" w:rsidRPr="00C10FB7" w:rsidRDefault="00EC2326" w:rsidP="00EC2326">
      <w:pPr>
        <w:spacing w:before="100" w:beforeAutospacing="1" w:after="100" w:afterAutospacing="1" w:line="240" w:lineRule="auto"/>
        <w:outlineLvl w:val="2"/>
        <w:rPr>
          <w:kern w:val="0"/>
          <w14:ligatures w14:val="none"/>
        </w:rPr>
      </w:pPr>
      <w:r>
        <w:rPr>
          <w:kern w:val="0"/>
          <w14:ligatures w14:val="none"/>
        </w:rPr>
        <w:lastRenderedPageBreak/>
        <w:t>We tested the statistical significance of the Ward k=3 partition under a feature-shuffling null: each of the five biology features was independently permuted across genes, Ward clustering was re-run, and the resulting silhouette was recorded. Across 200 null iterations, the observed Ward k=3 silhouette of 0.311 exceeded all 200 null silhouettes (empirical p = 0.005, computed as (0+1)/(200+1); null mean 0.264, null SD 0.019). The Ward k=2 silhouette of 0.256 did not exceed its null (null mean 0.296, null SD 0.055, p = 0.64). The significance of k=3 but not k=2 is biologically meaningful: the additional split specifically peels off the FMRP-enriched subgroup, and removing it collapses the post-hoc FMRP enrichment, demonstrating that the k=3 solution is carrying real information that the k=2 solution loses.</w:t>
      </w:r>
    </w:p>
    <w:p w14:paraId="5EC3D8A3" w14:textId="77777777" w:rsidR="00EC2326" w:rsidRPr="00C10FB7" w:rsidRDefault="00EC2326" w:rsidP="00EC2326">
      <w:pPr>
        <w:spacing w:before="100" w:beforeAutospacing="1" w:after="100" w:afterAutospacing="1" w:line="240" w:lineRule="auto"/>
        <w:outlineLvl w:val="2"/>
        <w:rPr>
          <w:kern w:val="0"/>
          <w14:ligatures w14:val="none"/>
        </w:rPr>
      </w:pPr>
      <w:r>
        <w:rPr>
          <w:kern w:val="0"/>
          <w14:ligatures w14:val="none"/>
        </w:rPr>
        <w:t xml:space="preserve">Consensus clustering (28) provides a complementary stability test. With 300 subsamples per k, the Proportion of Ambiguous Clustering (PAC) metric was 0.738 at k=2 and 0.614 at k=3, indicating that k=3 assigns genes more reproducibly across subsample draws than k=2 (Figure 2E). The k=3 solution recovers a dense high-constraint block and a smaller FMRP block, while k=2 fuses these into a single noisy block. </w:t>
      </w:r>
    </w:p>
    <w:p w14:paraId="1A5AD66F" w14:textId="77777777" w:rsidR="00EC2326" w:rsidRDefault="00EC2326" w:rsidP="00EC2326">
      <w:pPr>
        <w:spacing w:before="100" w:beforeAutospacing="1" w:after="100" w:afterAutospacing="1" w:line="240" w:lineRule="auto"/>
        <w:outlineLvl w:val="2"/>
        <w:rPr>
          <w:kern w:val="0"/>
          <w14:ligatures w14:val="none"/>
        </w:rPr>
      </w:pPr>
      <w:r>
        <w:rPr>
          <w:kern w:val="0"/>
          <w14:ligatures w14:val="none"/>
        </w:rPr>
        <w:t>Bootstrap stability analysis (1,000 iterations) showed that cluster 1 (the high-constraint core) was the most stable subgroup, with a mean Jaccard stability of approximately 0.71 across resamples. Cluster 2 (FMRP) was less stable (Jaccard ≈ 0.48) owing to its smaller size (n=20), but its biological interpretation survives because genes that move in and out of it across bootstraps are overwhelmingly other FMRP targets. Cluster 3 (remainder) showed the lowest internal stability, consistent with its definition as the non-enriched complement of clusters 1 and 2. Together, permutation, consensus and bootstrap analyses describe a partition that is internally coherent at q&lt;0.23. The constraint core is the most bootstrap-stable component, but they do not establish it as a validated discrete structure, since consensus selects no k in the range examined and the permutation contrast does not survive a change of selection threshold.</w:t>
      </w:r>
    </w:p>
    <w:p w14:paraId="29E12569" w14:textId="77777777" w:rsidR="00EC2326" w:rsidRPr="00C10FB7" w:rsidRDefault="00EC2326" w:rsidP="00EC2326">
      <w:pPr>
        <w:spacing w:before="100" w:beforeAutospacing="1" w:after="100" w:afterAutospacing="1" w:line="240" w:lineRule="auto"/>
        <w:outlineLvl w:val="2"/>
        <w:rPr>
          <w:kern w:val="0"/>
          <w14:ligatures w14:val="none"/>
        </w:rPr>
      </w:pPr>
      <w:r>
        <w:rPr>
          <w:kern w:val="0"/>
          <w14:ligatures w14:val="none"/>
        </w:rPr>
        <w:t>The dual continuous-plus-discrete view also clarifies why spectral RBF clustering can produce inflated silhouette scores on feature matrices that include binary gene-list indicators: those silhouettes arise from the interaction of the kernel width with the binary features rather than from underlying biology. Excluding such features, which is the correct thing to do when the same features will be used to interpret the clusters, reveals a weaker but genuine three-cluster structure whose significance can be tested and confirmed.</w:t>
      </w:r>
    </w:p>
    <w:p w14:paraId="3D64F2C1" w14:textId="77777777" w:rsidR="00EC2326" w:rsidRPr="00C10FB7" w:rsidRDefault="00EC2326" w:rsidP="00EC2326">
      <w:pPr>
        <w:spacing w:before="100" w:beforeAutospacing="1" w:after="100" w:afterAutospacing="1" w:line="240" w:lineRule="auto"/>
        <w:outlineLvl w:val="2"/>
        <w:rPr>
          <w:kern w:val="0"/>
          <w14:ligatures w14:val="none"/>
        </w:rPr>
      </w:pPr>
      <w:r>
        <w:rPr>
          <w:kern w:val="0"/>
          <w14:ligatures w14:val="none"/>
        </w:rPr>
        <w:t>Taken together, the continuous gradient results (PC1 and PC2 with significant positional shifts of curated ASD gene lists) and the discrete Ward k=3 results (three biologically distinct clusters with independent enrichment validation) describe the same architecture from two complementary angles. The gradient view captures how the bulk of ASD-relevant biology varies smoothly along constraint-by-expression and developmental-timing axes; the cluster view captures where that smooth variation produces density peaks of biologically coherent gene groups at the extremes of the landscape.</w:t>
      </w:r>
    </w:p>
    <w:p w14:paraId="64C1A623" w14:textId="77777777" w:rsidR="00EC2326" w:rsidRPr="00C10FB7" w:rsidRDefault="00EC2326" w:rsidP="00EC2326">
      <w:pPr>
        <w:spacing w:before="100" w:beforeAutospacing="1" w:after="100" w:afterAutospacing="1" w:line="240" w:lineRule="auto"/>
        <w:outlineLvl w:val="2"/>
        <w:rPr>
          <w:kern w:val="0"/>
          <w14:ligatures w14:val="none"/>
        </w:rPr>
      </w:pPr>
      <w:r>
        <w:rPr>
          <w:kern w:val="0"/>
          <w14:ligatures w14:val="none"/>
        </w:rPr>
        <w:t>These statistical patterns—a significant and stable Ward k=3 decomposition, a non-significant Ward k=2 baseline, a permutation-validated PC1/PC2 gradient, and independent post-hoc enrichment of curated ASD gene lists within the recovered clusters—collectively support a model in which autism-associated common-variant genes are organized as a continuous two-dimensional biological landscape that nevertheless contains a small number of biologically meaningful regional concentrations.</w:t>
      </w:r>
    </w:p>
    <w:p w14:paraId="740F6640" w14:textId="77777777" w:rsidR="00EC2326" w:rsidRPr="00347BB4" w:rsidRDefault="00EC2326" w:rsidP="00EC2326">
      <w:pPr>
        <w:spacing w:before="100" w:beforeAutospacing="1" w:after="100" w:afterAutospacing="1" w:line="240" w:lineRule="auto"/>
        <w:outlineLvl w:val="2"/>
        <w:rPr>
          <w:b/>
          <w:bCs/>
          <w:kern w:val="0"/>
          <w:sz w:val="27"/>
          <w:szCs w:val="27"/>
          <w14:ligatures w14:val="none"/>
        </w:rPr>
      </w:pPr>
      <w:r>
        <w:rPr>
          <w:b/>
          <w:bCs/>
          <w:kern w:val="0"/>
          <w:sz w:val="27"/>
          <w:szCs w:val="27"/>
          <w14:ligatures w14:val="none"/>
        </w:rPr>
        <w:lastRenderedPageBreak/>
        <w:t>Biological Pathway Analysis</w:t>
      </w:r>
    </w:p>
    <w:p w14:paraId="0DD2A7C7" w14:textId="77777777" w:rsidR="00EC2326" w:rsidRPr="00E300E2" w:rsidRDefault="00EC2326" w:rsidP="00EC2326">
      <w:pPr>
        <w:spacing w:before="100" w:beforeAutospacing="1" w:after="100" w:afterAutospacing="1" w:line="240" w:lineRule="auto"/>
        <w:outlineLvl w:val="2"/>
        <w:rPr>
          <w:kern w:val="0"/>
          <w14:ligatures w14:val="none"/>
        </w:rPr>
      </w:pPr>
      <w:r>
        <w:rPr>
          <w:kern w:val="0"/>
          <w14:ligatures w14:val="none"/>
        </w:rPr>
        <w:t>The cluster-level g:Profiler pathway analysis reported above (see “Pathway Enrichment of the Ward Clusters” and Figure 8) supports this model directly: against the strict 225-gene background only hsa-miR-513a-5p reaches g:SCS p&lt;0.05 in the high-constraint core, and no term survives in C2 or C3. Against the whole-genome background, C1 is anchored on negative regulation of cellular process, nucleoplasm, AT-rich DNA binding, E2F-1 motif, and miR-548 targeting; C2 shows nominal TCA-cycle hits driven by SDHA and MDH1; and C3’s apparent 8p23.1 enrichment is an LD/MAGMA-window artifact. The absence of strong cluster-specific pathway signal against the within-selection background, combined with the strong curated-list enrichment in C1, supports a model in which common-variant autism risk is distributed across many pathways that share a common constraint and expression profile, rather than segregating into functionally distinct modules.</w:t>
      </w:r>
    </w:p>
    <w:p w14:paraId="657B40F4" w14:textId="77777777" w:rsidR="00EC2326" w:rsidRDefault="00EC2326" w:rsidP="00EC2326">
      <w:r>
        <w:rPr>
          <w:b/>
        </w:rPr>
        <w:t xml:space="preserve">Supplemental Methods </w:t>
      </w:r>
    </w:p>
    <w:p w14:paraId="4477AB4E" w14:textId="77777777" w:rsidR="00EC2326" w:rsidRDefault="00EC2326" w:rsidP="00EC2326">
      <w:r>
        <w:t>Gene boundaries were defined using NCBI gene definitions (build 37/hg19) with extended regulatory windows (35 kb upstream, 10 kb downstream). This annotation included 18,439 genes, of which 18,423 contained SNPs present in both the GWAS summary statistics and the reference panel. SNP identifiers were harmonized between the iPSYCH-PGC summary statistics (dbSNP v147–150) and the 1000 Genomes Phase 3 reference panel (dbSNP v138–142). Position-based and rsID-merge harmonization matched 86.6% of GWAS records (7,888,100 SNPs), corresponding to 34.8% of the 22,665,064 SNPs in the reference panel. The SNPwise-mean model was used for gene-level statistics. For multiple-testing correction, we used Benjamini–Hochberg false-discovery control across the full set of 18,423 tested genes (scipy.stats.false_discovery_control), reporting q-values rather than Bonferroni-adjusted p-values; this is the same FDR framework employed by Litman et al. (23) and is the appropriate correction when selecting a gene set for downstream multivariate analysis.</w:t>
      </w:r>
    </w:p>
    <w:p w14:paraId="3DF3A0EF" w14:textId="77777777" w:rsidR="00EC2326" w:rsidRDefault="00EC2326" w:rsidP="00EC2326">
      <w:r>
        <w:t xml:space="preserve">We performed clustering in two layers. The primary analysis used Ward hierarchical clustering (36), an agglomerative method that builds a hierarchy by repeatedly merging the pair of clusters whose merger produces the smallest increase in total within-cluster variance (using squared Euclidean distance). It was chosen for six reasons that together make it the most statistically defensible choice for this particular problem. First, Ward’s optimization criterion—minimize the within-cluster sum of squared deviations at each merge—is the natural distance geometry for a standardized, continuous feature matrix. Because all five biology features (pLI, cell-type specificity, prenatal bias, peak expression age, mean expression) were z-scored to unit variance before clustering, squared Euclidean distance in the standardized space is equivalent (up to a constant) to standardized Mahalanobis distance under an identity covariance prior, which is the same distance that defines the PCA geometry used for the continuous-gradient analysis. Using the same distance metric for both the gradient (PC1–PC2) and the discrete (Ward) decomposition ensures that the two views are directly comparable rather than defined on different geometries. Second, Ward produces compact, approximately convex clusters, which is the kind of structure that standardized continuous features can realistically produce. Density-based methods (HDBSCAN) and kernel-based methods (spectral RBF) are designed to recover clusters of arbitrary shape, </w:t>
      </w:r>
      <w:r>
        <w:lastRenderedPageBreak/>
        <w:t>which is a feature when the data contain genuine non-convex manifolds, but a liability when the data are a smooth 2D gradient with density variation, because these algorithms will find “cluster” structure in the density tails that is indistinguishable from random structure in shuffled nulls—a property we confirmed empirically and which is the central reason spectral RBF produced an apparently strong silhouette (0.55–0.68) with permutation p-values that never dropped below 0.13 across four sensitivity conditions. Third, Ward is deterministic given the input matrix: unlike k-means (initialization-dependent), GMM (EM-initialization-dependent), and spectral clustering (eigenvector-sign-dependent), Ward produces a single, reproducible hierarchy for a given feature matrix, which is what makes permutation and consensus testing meaningful—each of the 200 feature-shuffled null datasets and each of the 300 consensus subsamples yields a single, comparable Ward solution with no averaging over random seeds. Fourth, Ward is hierarchical rather than partition-based, so it does not require the analyst to commit to a cluster count k in advance; we obtained the full dendrogram once and then extracted flat partitions at every k from 2 to 10, letting the data and the permutation null select k rather than fitting a separate model per k. This is particularly important when the underlying architecture is suspected to be gradient-like, because a hierarchical solution can report “no k beats the null” gracefully, while partition-based methods always return a partition at whatever k is requested. Fifth, Ward’s well-known tendency to produce balanced clusters of comparable size is an asset rather than a nuisance in this setting: we are explicitly looking for a small number of biologically coherent subgroups that collectively cover the selected gene set, not for one dominant cluster and a long tail of singletons, and Ward’s balance property discourages spurious micro-clusters driven by a handful of outlying genes. Sixth, Ward linkage has a long and well-characterized track record in genomics and neuroimaging for small-to-moderate sample sizes (n ≈ 10²–10³) with a handful of continuous features, which is the exact regime we are working in (n = 225 genes, five features); alternative methods designed for larger n or sparser feature spaces (HDBSCAN, GMM with many components) tend to overfit or collapse in this regime, as our benchmark grid search confirmed. Because Ward could in principle be outperformed by an algorithm better matched to some hidden structure, we additionally ran five benchmark algorithms with exhaustive grid-searches over their respective hyperparameters, detailed below. All algorithms were applied to the same standardized 225×5 feature matrix with fixed random seeds.</w:t>
      </w:r>
    </w:p>
    <w:p w14:paraId="4671C33F" w14:textId="77777777" w:rsidR="00EC2326" w:rsidRDefault="00EC2326" w:rsidP="00EC2326">
      <w:r>
        <w:t xml:space="preserve">Ward hierarchical clustering (primary): Hierarchical agglomerative clustering was performed using Ward’s variance-minimizing linkage criterion (36), as implemented in scikit-learn (38) via AgglomerativeClustering with linkage=“ward”, which corresponds to the Ward.D2 algorithm of Murtagh and Legendre (37). Ward linkage was computed on the standardized feature matrix and flat partitions were extracted for k=2…10. The optimal k was evaluated using silhouette scores, Davies–Bouldin index, Calinski–Harabasz index, and permutation significance testing. As benchmarks we also ran k-means (k=2…10, k-means++ with 100 random starts), Gaussian mixture models (k=2…10, four covariance types, BIC/AIC selection), spectral clustering with RBF kernel (k=2…10, γ ∈ {0.1, 1, 10, 100}), HDBSCAN (min_cluster_size ∈ {2,3,5,10,15}, min_samples ∈ {2,3,5}), and correlation-distance hierarchical clustering with average linkage—totalling more than 100 distinct </w:t>
      </w:r>
      <w:r>
        <w:lastRenderedPageBreak/>
        <w:t>algorithm/parameter combinations. The silhouette score was used as the common comparability metric.</w:t>
      </w:r>
    </w:p>
    <w:p w14:paraId="155C1A3C" w14:textId="77777777" w:rsidR="00EC2326" w:rsidRDefault="00EC2326" w:rsidP="00EC2326">
      <w:r>
        <w:t>Consensus clustering (stability): To quantify the stability of Ward partitions, we implemented the Monti et al. (28) consensus clustering procedure. For each k ∈ {2,…,8} we drew 300 random subsamples comprising 80% of the genes, ran Ward linkage on each subsample, and accumulated a consensus matrix C of pairwise co-assignment frequencies across iterations (with denominators tracking pairwise co-sampling). We computed the Proportion of Ambiguous Clustering (PAC) statistic—the fraction of off-diagonal consensus values falling strictly between 0.1 and 0.9—as a summary of partition instability, with lower values indicating more stable solutions. Consensus heatmaps for each k were visually inspected for block structure.</w:t>
      </w:r>
    </w:p>
    <w:p w14:paraId="09673B2E" w14:textId="77777777" w:rsidR="00EC2326" w:rsidRDefault="00EC2326" w:rsidP="00EC2326">
      <w:r>
        <w:t>Permutation significance testing: For each candidate k we generated 200 null datasets by independently shuffling each feature column across genes, re-ran Ward clustering on each null matrix, and recorded the resulting silhouette score. Empirical p-values were computed as the fraction of null silhouettes greater than or equal to the observed silhouette. This null preserves the marginal distribution of each feature while destroying joint structure, and is a standard approach for testing whether observed clustering reflects genuine multivariate structure beyond univariate heterogeneity (39).</w:t>
      </w:r>
    </w:p>
    <w:p w14:paraId="5855FCD8" w14:textId="77777777" w:rsidR="00EC2326" w:rsidRDefault="00EC2326" w:rsidP="00EC2326">
      <w:r>
        <w:t>Post-hoc gradient and enrichment analysis: To separate continuous from discrete structure we additionally fit a principal component analysis to the standardized 225×5 feature matrix and examined the first two components as candidate biological gradient axes. For each PC we computed Spearman rank correlations with each biology feature (to interpret the axis) and Mann–Whitney U tests comparing the PC scores of genes belonging to SFARI, FMRP, and Satterstrom lists to the remaining genes (to test whether the curated lists occupy systematically different regions of the gradient). Cluster-level enrichment of each gene list was tested with one-sided Fisher’s exact tests on 2×2 tables for every (cluster, list) pair at k=2 and k=3. Because the clustering features contain no gene-list information, these post-hoc tests are independent of the cluster construction and provide unbiased validation.</w:t>
      </w:r>
    </w:p>
    <w:p w14:paraId="75D1DFF4" w14:textId="77777777" w:rsidR="00EC2326" w:rsidRDefault="00EC2326" w:rsidP="00EC2326">
      <w:r>
        <w:t>Silhouette Score: Measures, using squared Euclidean distance, how close each gene is to other members of its own cluster compared to members of the nearest neighboring cluster, ranging from -1 to 1, with higher values indicating better-defined clusters.</w:t>
      </w:r>
    </w:p>
    <w:p w14:paraId="0F898CA7" w14:textId="77777777" w:rsidR="00EC2326" w:rsidRDefault="00EC2326" w:rsidP="00EC2326">
      <w:r>
        <w:t>Davies-Bouldin Index: Evaluates the ratio of within-cluster to between-cluster distances, with lower values indicating better separation.</w:t>
      </w:r>
    </w:p>
    <w:p w14:paraId="2AE5A3A2" w14:textId="77777777" w:rsidR="00EC2326" w:rsidRDefault="00EC2326" w:rsidP="00EC2326">
      <w:r>
        <w:t>Calinski-Harabasz Index: Assesses the ratio of between-cluster to within-cluster variance, with higher values suggesting better-defined clusters.</w:t>
      </w:r>
    </w:p>
    <w:p w14:paraId="46C343D6" w14:textId="77777777" w:rsidR="00EC2326" w:rsidRDefault="00EC2326" w:rsidP="00EC2326">
      <w:r>
        <w:t>Principal Component Analysis (PCA) was performed on the standardized 225×5 biology-only feature matrix (pLI, cell-type specificity, prenatal bias, peak expression age, mean expression). PC1 and PC2 together captured the dominant axes of biological variation and were used for all downstream gradient and clustering analyses.</w:t>
      </w:r>
    </w:p>
    <w:p w14:paraId="4C0E353E" w14:textId="77777777" w:rsidR="00EC2326" w:rsidRDefault="00EC2326" w:rsidP="00EC2326">
      <w:r>
        <w:lastRenderedPageBreak/>
        <w:t>For visualization, genes were projected onto the first two principal components of the biology-only feature matrix (Figure 1A). SFARI and FMRP targets were overlaid on the PC1–PC2 plane to evaluate continuous gradient positioning relative to the overall gene cloud (Figure 1B–F).</w:t>
      </w:r>
    </w:p>
    <w:p w14:paraId="581D76D2" w14:textId="77777777" w:rsidR="00EC2326" w:rsidRDefault="00EC2326" w:rsidP="00EC2326">
      <w:r>
        <w:t>To test whether observed clustering patterns could arise by chance, we performed permutation tests. Feature values were randomly shuffled across genes 200 times, and clustering metrics were recalculated. Empirical p-values were computed as the proportion of permutations yielding equal or better clustering metrics than observed data. Additionally, we tested for enrichment of biological pathways and Gene Ontology terms within the identified clusters using g:Profiler with g:SCS multiple-testing correction; Fisher's exact tests were used only for curated gene-list enrichment.</w:t>
      </w:r>
    </w:p>
    <w:p w14:paraId="7D643452" w14:textId="77777777" w:rsidR="00EC2326" w:rsidRDefault="00EC2326" w:rsidP="00EC2326">
      <w:r>
        <w:rPr>
          <w:b/>
        </w:rPr>
        <w:t>Supplemental Results</w:t>
      </w:r>
    </w:p>
    <w:p w14:paraId="08382C6C" w14:textId="77777777" w:rsidR="00EC2326" w:rsidRDefault="00EC2326" w:rsidP="00EC2326">
      <w:r>
        <w:t>We then asked whether the curated autism gene lists occupy systematically different regions of this biology-only gradient using Mann–Whitney U tests. SFARI genes (n=28 within the q-selected set) were significantly shifted along PC1 (mean PC1 = +0.91 vs. −0.13 for non-SFARI; p = 3.6×10⁻⁵) but not along PC2. FMRP targets (n=17) were shifted on both PC1 (+1.19 vs. −0.10; p = 5.9×10⁻⁵) and PC2 (+1.33 vs. −0.11; p = 4.4×10⁻³), consistent with FMRP regulation of translation in postnatally active, broadly expressed neurons. The Satterstrom rare-variant set was too small within this common-variant–selected cohort (n=1) to support a meaningful univariate test. These results establish that the curated gene lists—never used as clustering features—nonetheless occupy statistically distinct regions of the continuous biology-only PC landscape, providing independent evidence that PC1 and PC2 are genuine ASD-relevant axes.</w:t>
      </w:r>
    </w:p>
    <w:p w14:paraId="6E0CDDCF" w14:textId="77777777" w:rsidR="00EC2326" w:rsidRDefault="00EC2326" w:rsidP="00EC2326">
      <w:r>
        <w:t>The PC1–PC2 embedding showed a continuous 2D cloud in which the high-constraint, broadly expressed region forms a dense lobe distinct from the gene-list-depleted remainder, but without the kind of sharp gap that would indicate truly separable molecular subtypes. Having established the continuous gradient view, we next asked whether a minimal discrete decomposition could be recovered on top of it, using Ward hierarchical clustering with consensus stability analysis and permutation significance testing.</w:t>
      </w:r>
    </w:p>
    <w:p w14:paraId="7EA63F56" w14:textId="77777777" w:rsidR="00EC2326" w:rsidRDefault="00EC2326" w:rsidP="00EC2326">
      <w:r>
        <w:t>Full details of permutation testing (200 feature-shuffled nulls), bootstrap stability analysis (1,000 resamples, mean Jaccard ≈ 0.71 for the high-constraint core), and Monti consensus clustering (300 subsamples per k, PAC = 0.614 at k=3) are provided in Supplementary Results.</w:t>
      </w:r>
    </w:p>
    <w:p w14:paraId="40A9B8AD" w14:textId="77777777" w:rsidR="00E023F9" w:rsidRDefault="00E023F9"/>
    <w:sectPr w:rsidR="00E023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326"/>
    <w:rsid w:val="000C4033"/>
    <w:rsid w:val="00173ED8"/>
    <w:rsid w:val="002F50B1"/>
    <w:rsid w:val="004B42CB"/>
    <w:rsid w:val="005F2B46"/>
    <w:rsid w:val="006E1731"/>
    <w:rsid w:val="00866D74"/>
    <w:rsid w:val="00882A73"/>
    <w:rsid w:val="00906905"/>
    <w:rsid w:val="0095305D"/>
    <w:rsid w:val="00AC1AF8"/>
    <w:rsid w:val="00B10170"/>
    <w:rsid w:val="00B260B7"/>
    <w:rsid w:val="00B85331"/>
    <w:rsid w:val="00C94D66"/>
    <w:rsid w:val="00DE7E69"/>
    <w:rsid w:val="00E023F9"/>
    <w:rsid w:val="00EC232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7D843"/>
  <w15:chartTrackingRefBased/>
  <w15:docId w15:val="{A3756445-9A91-4A5D-85AD-4CC29BBAA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326"/>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EC2326"/>
    <w:pPr>
      <w:keepNext/>
      <w:keepLines/>
      <w:spacing w:before="360" w:after="80"/>
      <w:outlineLvl w:val="0"/>
    </w:pPr>
    <w:rPr>
      <w:rFonts w:asciiTheme="majorHAnsi" w:eastAsiaTheme="majorEastAsia" w:hAnsiTheme="majorHAnsi" w:cstheme="majorBidi"/>
      <w:color w:val="0F4761" w:themeColor="accent1" w:themeShade="BF"/>
      <w:sz w:val="40"/>
      <w:szCs w:val="40"/>
      <w:lang w:val="en-IN"/>
    </w:rPr>
  </w:style>
  <w:style w:type="paragraph" w:styleId="Heading2">
    <w:name w:val="heading 2"/>
    <w:basedOn w:val="Normal"/>
    <w:next w:val="Normal"/>
    <w:link w:val="Heading2Char"/>
    <w:uiPriority w:val="9"/>
    <w:semiHidden/>
    <w:unhideWhenUsed/>
    <w:qFormat/>
    <w:rsid w:val="00EC2326"/>
    <w:pPr>
      <w:keepNext/>
      <w:keepLines/>
      <w:spacing w:before="160" w:after="80"/>
      <w:outlineLvl w:val="1"/>
    </w:pPr>
    <w:rPr>
      <w:rFonts w:asciiTheme="majorHAnsi" w:eastAsiaTheme="majorEastAsia" w:hAnsiTheme="majorHAnsi" w:cstheme="majorBidi"/>
      <w:color w:val="0F4761" w:themeColor="accent1" w:themeShade="BF"/>
      <w:sz w:val="32"/>
      <w:szCs w:val="32"/>
      <w:lang w:val="en-IN"/>
    </w:rPr>
  </w:style>
  <w:style w:type="paragraph" w:styleId="Heading3">
    <w:name w:val="heading 3"/>
    <w:basedOn w:val="Normal"/>
    <w:next w:val="Normal"/>
    <w:link w:val="Heading3Char"/>
    <w:uiPriority w:val="9"/>
    <w:semiHidden/>
    <w:unhideWhenUsed/>
    <w:qFormat/>
    <w:rsid w:val="00EC2326"/>
    <w:pPr>
      <w:keepNext/>
      <w:keepLines/>
      <w:spacing w:before="160" w:after="80"/>
      <w:outlineLvl w:val="2"/>
    </w:pPr>
    <w:rPr>
      <w:rFonts w:asciiTheme="minorHAnsi" w:eastAsiaTheme="majorEastAsia" w:hAnsiTheme="minorHAnsi" w:cstheme="majorBidi"/>
      <w:color w:val="0F4761" w:themeColor="accent1" w:themeShade="BF"/>
      <w:sz w:val="28"/>
      <w:szCs w:val="28"/>
      <w:lang w:val="en-IN"/>
    </w:rPr>
  </w:style>
  <w:style w:type="paragraph" w:styleId="Heading4">
    <w:name w:val="heading 4"/>
    <w:basedOn w:val="Normal"/>
    <w:next w:val="Normal"/>
    <w:link w:val="Heading4Char"/>
    <w:uiPriority w:val="9"/>
    <w:semiHidden/>
    <w:unhideWhenUsed/>
    <w:qFormat/>
    <w:rsid w:val="00EC2326"/>
    <w:pPr>
      <w:keepNext/>
      <w:keepLines/>
      <w:spacing w:before="80" w:after="40"/>
      <w:outlineLvl w:val="3"/>
    </w:pPr>
    <w:rPr>
      <w:rFonts w:asciiTheme="minorHAnsi" w:eastAsiaTheme="majorEastAsia" w:hAnsiTheme="minorHAnsi" w:cstheme="majorBidi"/>
      <w:i/>
      <w:iCs/>
      <w:color w:val="0F4761" w:themeColor="accent1" w:themeShade="BF"/>
      <w:lang w:val="en-IN"/>
    </w:rPr>
  </w:style>
  <w:style w:type="paragraph" w:styleId="Heading5">
    <w:name w:val="heading 5"/>
    <w:basedOn w:val="Normal"/>
    <w:next w:val="Normal"/>
    <w:link w:val="Heading5Char"/>
    <w:uiPriority w:val="9"/>
    <w:semiHidden/>
    <w:unhideWhenUsed/>
    <w:qFormat/>
    <w:rsid w:val="00EC2326"/>
    <w:pPr>
      <w:keepNext/>
      <w:keepLines/>
      <w:spacing w:before="80" w:after="40"/>
      <w:outlineLvl w:val="4"/>
    </w:pPr>
    <w:rPr>
      <w:rFonts w:asciiTheme="minorHAnsi" w:eastAsiaTheme="majorEastAsia" w:hAnsiTheme="minorHAnsi" w:cstheme="majorBidi"/>
      <w:color w:val="0F4761" w:themeColor="accent1" w:themeShade="BF"/>
      <w:lang w:val="en-IN"/>
    </w:rPr>
  </w:style>
  <w:style w:type="paragraph" w:styleId="Heading6">
    <w:name w:val="heading 6"/>
    <w:basedOn w:val="Normal"/>
    <w:next w:val="Normal"/>
    <w:link w:val="Heading6Char"/>
    <w:uiPriority w:val="9"/>
    <w:semiHidden/>
    <w:unhideWhenUsed/>
    <w:qFormat/>
    <w:rsid w:val="00EC2326"/>
    <w:pPr>
      <w:keepNext/>
      <w:keepLines/>
      <w:spacing w:before="40" w:after="0"/>
      <w:outlineLvl w:val="5"/>
    </w:pPr>
    <w:rPr>
      <w:rFonts w:asciiTheme="minorHAnsi" w:eastAsiaTheme="majorEastAsia" w:hAnsiTheme="minorHAnsi" w:cstheme="majorBidi"/>
      <w:i/>
      <w:iCs/>
      <w:color w:val="595959" w:themeColor="text1" w:themeTint="A6"/>
      <w:lang w:val="en-IN"/>
    </w:rPr>
  </w:style>
  <w:style w:type="paragraph" w:styleId="Heading7">
    <w:name w:val="heading 7"/>
    <w:basedOn w:val="Normal"/>
    <w:next w:val="Normal"/>
    <w:link w:val="Heading7Char"/>
    <w:uiPriority w:val="9"/>
    <w:semiHidden/>
    <w:unhideWhenUsed/>
    <w:qFormat/>
    <w:rsid w:val="00EC2326"/>
    <w:pPr>
      <w:keepNext/>
      <w:keepLines/>
      <w:spacing w:before="40" w:after="0"/>
      <w:outlineLvl w:val="6"/>
    </w:pPr>
    <w:rPr>
      <w:rFonts w:asciiTheme="minorHAnsi" w:eastAsiaTheme="majorEastAsia" w:hAnsiTheme="minorHAnsi" w:cstheme="majorBidi"/>
      <w:color w:val="595959" w:themeColor="text1" w:themeTint="A6"/>
      <w:lang w:val="en-IN"/>
    </w:rPr>
  </w:style>
  <w:style w:type="paragraph" w:styleId="Heading8">
    <w:name w:val="heading 8"/>
    <w:basedOn w:val="Normal"/>
    <w:next w:val="Normal"/>
    <w:link w:val="Heading8Char"/>
    <w:uiPriority w:val="9"/>
    <w:semiHidden/>
    <w:unhideWhenUsed/>
    <w:qFormat/>
    <w:rsid w:val="00EC2326"/>
    <w:pPr>
      <w:keepNext/>
      <w:keepLines/>
      <w:spacing w:after="0"/>
      <w:outlineLvl w:val="7"/>
    </w:pPr>
    <w:rPr>
      <w:rFonts w:asciiTheme="minorHAnsi" w:eastAsiaTheme="majorEastAsia" w:hAnsiTheme="minorHAnsi" w:cstheme="majorBidi"/>
      <w:i/>
      <w:iCs/>
      <w:color w:val="272727" w:themeColor="text1" w:themeTint="D8"/>
      <w:lang w:val="en-IN"/>
    </w:rPr>
  </w:style>
  <w:style w:type="paragraph" w:styleId="Heading9">
    <w:name w:val="heading 9"/>
    <w:basedOn w:val="Normal"/>
    <w:next w:val="Normal"/>
    <w:link w:val="Heading9Char"/>
    <w:uiPriority w:val="9"/>
    <w:semiHidden/>
    <w:unhideWhenUsed/>
    <w:qFormat/>
    <w:rsid w:val="00EC2326"/>
    <w:pPr>
      <w:keepNext/>
      <w:keepLines/>
      <w:spacing w:after="0"/>
      <w:outlineLvl w:val="8"/>
    </w:pPr>
    <w:rPr>
      <w:rFonts w:asciiTheme="minorHAnsi" w:eastAsiaTheme="majorEastAsia" w:hAnsiTheme="minorHAnsi" w:cstheme="majorBidi"/>
      <w:color w:val="272727" w:themeColor="text1" w:themeTint="D8"/>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3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23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23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23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23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2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2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2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2326"/>
    <w:rPr>
      <w:rFonts w:eastAsiaTheme="majorEastAsia" w:cstheme="majorBidi"/>
      <w:color w:val="272727" w:themeColor="text1" w:themeTint="D8"/>
    </w:rPr>
  </w:style>
  <w:style w:type="paragraph" w:styleId="Title">
    <w:name w:val="Title"/>
    <w:basedOn w:val="Normal"/>
    <w:next w:val="Normal"/>
    <w:link w:val="TitleChar"/>
    <w:uiPriority w:val="10"/>
    <w:qFormat/>
    <w:rsid w:val="00EC2326"/>
    <w:pPr>
      <w:spacing w:after="80" w:line="240" w:lineRule="auto"/>
      <w:contextualSpacing/>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EC2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2326"/>
    <w:pPr>
      <w:numPr>
        <w:ilvl w:val="1"/>
      </w:numPr>
    </w:pPr>
    <w:rPr>
      <w:rFonts w:asciiTheme="minorHAnsi" w:eastAsiaTheme="majorEastAsia" w:hAnsiTheme="minorHAnsi" w:cstheme="majorBidi"/>
      <w:color w:val="595959" w:themeColor="text1" w:themeTint="A6"/>
      <w:spacing w:val="15"/>
      <w:sz w:val="28"/>
      <w:szCs w:val="28"/>
      <w:lang w:val="en-IN"/>
    </w:rPr>
  </w:style>
  <w:style w:type="character" w:customStyle="1" w:styleId="SubtitleChar">
    <w:name w:val="Subtitle Char"/>
    <w:basedOn w:val="DefaultParagraphFont"/>
    <w:link w:val="Subtitle"/>
    <w:uiPriority w:val="11"/>
    <w:rsid w:val="00EC2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2326"/>
    <w:pPr>
      <w:spacing w:before="160"/>
      <w:jc w:val="center"/>
    </w:pPr>
    <w:rPr>
      <w:rFonts w:asciiTheme="minorHAnsi" w:eastAsiaTheme="minorHAnsi" w:hAnsiTheme="minorHAnsi" w:cstheme="minorBidi"/>
      <w:i/>
      <w:iCs/>
      <w:color w:val="404040" w:themeColor="text1" w:themeTint="BF"/>
      <w:lang w:val="en-IN"/>
    </w:rPr>
  </w:style>
  <w:style w:type="character" w:customStyle="1" w:styleId="QuoteChar">
    <w:name w:val="Quote Char"/>
    <w:basedOn w:val="DefaultParagraphFont"/>
    <w:link w:val="Quote"/>
    <w:uiPriority w:val="29"/>
    <w:rsid w:val="00EC2326"/>
    <w:rPr>
      <w:i/>
      <w:iCs/>
      <w:color w:val="404040" w:themeColor="text1" w:themeTint="BF"/>
    </w:rPr>
  </w:style>
  <w:style w:type="paragraph" w:styleId="ListParagraph">
    <w:name w:val="List Paragraph"/>
    <w:basedOn w:val="Normal"/>
    <w:uiPriority w:val="34"/>
    <w:qFormat/>
    <w:rsid w:val="00EC2326"/>
    <w:pPr>
      <w:ind w:left="720"/>
      <w:contextualSpacing/>
    </w:pPr>
    <w:rPr>
      <w:rFonts w:asciiTheme="minorHAnsi" w:eastAsiaTheme="minorHAnsi" w:hAnsiTheme="minorHAnsi" w:cstheme="minorBidi"/>
      <w:lang w:val="en-IN"/>
    </w:rPr>
  </w:style>
  <w:style w:type="character" w:styleId="IntenseEmphasis">
    <w:name w:val="Intense Emphasis"/>
    <w:basedOn w:val="DefaultParagraphFont"/>
    <w:uiPriority w:val="21"/>
    <w:qFormat/>
    <w:rsid w:val="00EC2326"/>
    <w:rPr>
      <w:i/>
      <w:iCs/>
      <w:color w:val="0F4761" w:themeColor="accent1" w:themeShade="BF"/>
    </w:rPr>
  </w:style>
  <w:style w:type="paragraph" w:styleId="IntenseQuote">
    <w:name w:val="Intense Quote"/>
    <w:basedOn w:val="Normal"/>
    <w:next w:val="Normal"/>
    <w:link w:val="IntenseQuoteChar"/>
    <w:uiPriority w:val="30"/>
    <w:qFormat/>
    <w:rsid w:val="00EC232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lang w:val="en-IN"/>
    </w:rPr>
  </w:style>
  <w:style w:type="character" w:customStyle="1" w:styleId="IntenseQuoteChar">
    <w:name w:val="Intense Quote Char"/>
    <w:basedOn w:val="DefaultParagraphFont"/>
    <w:link w:val="IntenseQuote"/>
    <w:uiPriority w:val="30"/>
    <w:rsid w:val="00EC2326"/>
    <w:rPr>
      <w:i/>
      <w:iCs/>
      <w:color w:val="0F4761" w:themeColor="accent1" w:themeShade="BF"/>
    </w:rPr>
  </w:style>
  <w:style w:type="character" w:styleId="IntenseReference">
    <w:name w:val="Intense Reference"/>
    <w:basedOn w:val="DefaultParagraphFont"/>
    <w:uiPriority w:val="32"/>
    <w:qFormat/>
    <w:rsid w:val="00EC2326"/>
    <w:rPr>
      <w:b/>
      <w:bCs/>
      <w:smallCaps/>
      <w:color w:val="0F4761" w:themeColor="accent1" w:themeShade="BF"/>
      <w:spacing w:val="5"/>
    </w:rPr>
  </w:style>
  <w:style w:type="paragraph" w:styleId="NormalWeb">
    <w:name w:val="Normal (Web)"/>
    <w:basedOn w:val="Normal"/>
    <w:uiPriority w:val="99"/>
    <w:unhideWhenUsed/>
    <w:rsid w:val="00EC2326"/>
    <w:pPr>
      <w:spacing w:before="100" w:beforeAutospacing="1" w:after="100" w:afterAutospacing="1" w:line="240" w:lineRule="auto"/>
    </w:pPr>
    <w:rPr>
      <w:kern w:val="0"/>
      <w14:ligatures w14:val="none"/>
    </w:rPr>
  </w:style>
  <w:style w:type="character" w:styleId="HTMLCode">
    <w:name w:val="HTML Code"/>
    <w:basedOn w:val="DefaultParagraphFont"/>
    <w:uiPriority w:val="99"/>
    <w:semiHidden/>
    <w:unhideWhenUsed/>
    <w:rsid w:val="00EC2326"/>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3881</Words>
  <Characters>22126</Characters>
  <Application>Microsoft Office Word</Application>
  <DocSecurity>0</DocSecurity>
  <Lines>184</Lines>
  <Paragraphs>51</Paragraphs>
  <ScaleCrop>false</ScaleCrop>
  <Company/>
  <LinksUpToDate>false</LinksUpToDate>
  <CharactersWithSpaces>25956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2026-09-09T08:03:00Z</dcterms:created>
  <dcterms:modified xsi:type="dcterms:W3CDTF">2026-09-09T08:03:00Z</dcterms:modified>
</cp:coreProperties>
</file>