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A2E72C" w14:textId="790101FC" w:rsidR="00AF3437" w:rsidRDefault="00E3223B" w:rsidP="002F11FA">
      <w:pPr>
        <w:pStyle w:val="Heading1"/>
      </w:pPr>
      <w:r w:rsidRPr="00E3223B">
        <w:t>Supplementary material</w:t>
      </w:r>
      <w:r w:rsidR="00EA590D">
        <w:rPr>
          <w:rFonts w:hint="eastAsia"/>
        </w:rPr>
        <w:t>s</w:t>
      </w:r>
    </w:p>
    <w:p w14:paraId="466349FF" w14:textId="4AC22B04" w:rsidR="00ED1175" w:rsidRPr="00ED1175" w:rsidRDefault="00ED1175" w:rsidP="000C1D69">
      <w:pPr>
        <w:pStyle w:val="Heading2"/>
      </w:pPr>
      <w:r w:rsidRPr="00ED1175">
        <w:t>S1</w:t>
      </w:r>
      <w:r w:rsidR="00185176">
        <w:t xml:space="preserve">. </w:t>
      </w:r>
      <w:r w:rsidRPr="00ED1175">
        <w:t>Complementary Analysis in Experiment 1</w:t>
      </w:r>
    </w:p>
    <w:p w14:paraId="250DE227" w14:textId="2DBF0E93" w:rsidR="00A65819" w:rsidRDefault="001C0EE3" w:rsidP="001C0EE3">
      <w:pPr>
        <w:spacing w:after="120" w:line="360" w:lineRule="auto"/>
      </w:pPr>
      <w:r>
        <w:rPr>
          <w:rFonts w:eastAsia="Times New Roman" w:cs="Times New Roman"/>
          <w:szCs w:val="24"/>
        </w:rPr>
        <w:t>As a complementary analysis, we estimated d´, meta-d´, and the m-ratio at all three levels of control using conventional signal detection theory (SDT) and maximum likelihood estimation (MLE), to confirm whether the results at the 50% level of control were consistent with the hierarchical Bayesian estimates, and to characterize the 60% and 70% levels of control, where hierarchical Bayesian modeling was not feasible (Figures S2–S4). After applying the exclusion criteria for this analysis, 33 participants remained for d´ and 31 participants remained for meta-d´ and the m-ratio. At the 50% level of control, the results agreed with the hierarchical Bayesian analysis. The d´ was higher in the voluntary than in the involuntary condition (mean</w:t>
      </w:r>
      <w:r>
        <w:rPr>
          <w:rFonts w:eastAsia="Times New Roman" w:cs="Times New Roman"/>
          <w:szCs w:val="24"/>
          <w:vertAlign w:val="subscript"/>
        </w:rPr>
        <w:t>vol</w:t>
      </w:r>
      <w:r>
        <w:rPr>
          <w:rFonts w:eastAsia="Times New Roman" w:cs="Times New Roman"/>
          <w:szCs w:val="24"/>
        </w:rPr>
        <w:t xml:space="preserve"> = 1.89; mean</w:t>
      </w:r>
      <w:r>
        <w:rPr>
          <w:rFonts w:eastAsia="Times New Roman" w:cs="Times New Roman"/>
          <w:szCs w:val="24"/>
          <w:vertAlign w:val="subscript"/>
        </w:rPr>
        <w:t>invol</w:t>
      </w:r>
      <w:r>
        <w:rPr>
          <w:rFonts w:eastAsia="Times New Roman" w:cs="Times New Roman"/>
          <w:szCs w:val="24"/>
        </w:rPr>
        <w:t xml:space="preserve"> = 1.49), as in the credible difference found in the main analysis, whereas neither meta-d´ (mean</w:t>
      </w:r>
      <w:r>
        <w:rPr>
          <w:rFonts w:eastAsia="Times New Roman" w:cs="Times New Roman"/>
          <w:szCs w:val="24"/>
          <w:vertAlign w:val="subscript"/>
        </w:rPr>
        <w:t>vol</w:t>
      </w:r>
      <w:r>
        <w:rPr>
          <w:rFonts w:eastAsia="Times New Roman" w:cs="Times New Roman"/>
          <w:szCs w:val="24"/>
        </w:rPr>
        <w:t xml:space="preserve"> = 1.35; mean</w:t>
      </w:r>
      <w:r>
        <w:rPr>
          <w:rFonts w:eastAsia="Times New Roman" w:cs="Times New Roman"/>
          <w:szCs w:val="24"/>
          <w:vertAlign w:val="subscript"/>
        </w:rPr>
        <w:t>invol</w:t>
      </w:r>
      <w:r>
        <w:rPr>
          <w:rFonts w:eastAsia="Times New Roman" w:cs="Times New Roman"/>
          <w:szCs w:val="24"/>
        </w:rPr>
        <w:t xml:space="preserve"> = 1.42) nor the m-ratio differed credibly between conditions, again consistent with the main analysis.</w:t>
      </w:r>
    </w:p>
    <w:p w14:paraId="77B33F6E" w14:textId="18CC9101" w:rsidR="001C0EE3" w:rsidRDefault="001C0EE3" w:rsidP="001C0EE3">
      <w:pPr>
        <w:spacing w:after="120" w:line="360" w:lineRule="auto"/>
      </w:pPr>
      <w:r>
        <w:tab/>
      </w:r>
      <w:r>
        <w:rPr>
          <w:rFonts w:eastAsia="Times New Roman" w:cs="Times New Roman"/>
          <w:szCs w:val="24"/>
        </w:rPr>
        <w:t>For each measure, we conducted a two-way repeated-measures ANOVA with movement condition (voluntary, involuntary) and level of control (50%, 60%, 70%) as within-participant factors. For all three measures, the interaction between movement condition and control level was not significant (d</w:t>
      </w:r>
      <w:r w:rsidR="0007323D">
        <w:rPr>
          <w:rFonts w:eastAsia="Times New Roman" w:cs="Times New Roman"/>
          <w:szCs w:val="24"/>
        </w:rPr>
        <w:t>´</w:t>
      </w:r>
      <w:r>
        <w:rPr>
          <w:rFonts w:eastAsia="Times New Roman" w:cs="Times New Roman"/>
          <w:szCs w:val="24"/>
        </w:rPr>
        <w:t xml:space="preserve">: </w:t>
      </w:r>
      <w:r w:rsidRPr="00A50EA0">
        <w:rPr>
          <w:rFonts w:eastAsia="Times New Roman" w:cs="Times New Roman"/>
          <w:i/>
          <w:iCs/>
          <w:szCs w:val="24"/>
        </w:rPr>
        <w:t>p</w:t>
      </w:r>
      <w:r>
        <w:rPr>
          <w:rFonts w:eastAsia="Times New Roman" w:cs="Times New Roman"/>
          <w:szCs w:val="24"/>
        </w:rPr>
        <w:t xml:space="preserve"> = .848; meta-d´: </w:t>
      </w:r>
      <w:r w:rsidRPr="00A50EA0">
        <w:rPr>
          <w:rFonts w:eastAsia="Times New Roman" w:cs="Times New Roman"/>
          <w:i/>
          <w:iCs/>
          <w:szCs w:val="24"/>
        </w:rPr>
        <w:t>p</w:t>
      </w:r>
      <w:r>
        <w:rPr>
          <w:rFonts w:eastAsia="Times New Roman" w:cs="Times New Roman"/>
          <w:szCs w:val="24"/>
        </w:rPr>
        <w:t xml:space="preserve"> = .177; m-ratio: </w:t>
      </w:r>
      <w:r w:rsidRPr="00A50EA0">
        <w:rPr>
          <w:rFonts w:eastAsia="Times New Roman" w:cs="Times New Roman"/>
          <w:i/>
          <w:iCs/>
          <w:szCs w:val="24"/>
        </w:rPr>
        <w:t>p</w:t>
      </w:r>
      <w:r>
        <w:rPr>
          <w:rFonts w:eastAsia="Times New Roman" w:cs="Times New Roman"/>
          <w:szCs w:val="24"/>
        </w:rPr>
        <w:t xml:space="preserve"> = .118), indicating that the difference between the voluntary and involuntary conditions did not depend on the control level. The main effect of movement condition was significant for both d</w:t>
      </w:r>
      <w:r w:rsidR="00AD4889">
        <w:rPr>
          <w:rFonts w:eastAsia="Times New Roman" w:cs="Times New Roman"/>
          <w:szCs w:val="24"/>
        </w:rPr>
        <w:t>´</w:t>
      </w:r>
      <w:r>
        <w:rPr>
          <w:rFonts w:eastAsia="Times New Roman" w:cs="Times New Roman"/>
          <w:szCs w:val="24"/>
        </w:rPr>
        <w:t xml:space="preserve"> (</w:t>
      </w:r>
      <w:proofErr w:type="gramStart"/>
      <w:r w:rsidRPr="00AD4889">
        <w:rPr>
          <w:rFonts w:eastAsia="Times New Roman" w:cs="Times New Roman"/>
          <w:i/>
          <w:iCs/>
          <w:szCs w:val="24"/>
        </w:rPr>
        <w:t>F</w:t>
      </w:r>
      <w:r>
        <w:rPr>
          <w:rFonts w:eastAsia="Times New Roman" w:cs="Times New Roman"/>
          <w:szCs w:val="24"/>
        </w:rPr>
        <w:t>(</w:t>
      </w:r>
      <w:proofErr w:type="gramEnd"/>
      <w:r>
        <w:rPr>
          <w:rFonts w:eastAsia="Times New Roman" w:cs="Times New Roman"/>
          <w:szCs w:val="24"/>
        </w:rPr>
        <w:t xml:space="preserve">1, 32) = 12.63, </w:t>
      </w:r>
      <w:r w:rsidRPr="001972DB">
        <w:rPr>
          <w:rFonts w:eastAsia="Times New Roman" w:cs="Times New Roman"/>
          <w:i/>
          <w:iCs/>
          <w:szCs w:val="24"/>
        </w:rPr>
        <w:t>p</w:t>
      </w:r>
      <w:r>
        <w:rPr>
          <w:rFonts w:eastAsia="Times New Roman" w:cs="Times New Roman"/>
          <w:szCs w:val="24"/>
        </w:rPr>
        <w:t xml:space="preserve"> = .001, </w:t>
      </w:r>
      <w:r w:rsidRPr="001972DB">
        <w:rPr>
          <w:rFonts w:eastAsia="Times New Roman" w:cs="Times New Roman"/>
          <w:i/>
          <w:iCs/>
          <w:szCs w:val="24"/>
        </w:rPr>
        <w:t>η</w:t>
      </w:r>
      <w:r>
        <w:rPr>
          <w:rFonts w:eastAsia="Times New Roman" w:cs="Times New Roman"/>
          <w:szCs w:val="24"/>
        </w:rPr>
        <w:t>² = .063) and meta-d´ (</w:t>
      </w:r>
      <w:proofErr w:type="gramStart"/>
      <w:r w:rsidRPr="001972DB">
        <w:rPr>
          <w:rFonts w:eastAsia="Times New Roman" w:cs="Times New Roman"/>
          <w:i/>
          <w:iCs/>
          <w:szCs w:val="24"/>
        </w:rPr>
        <w:t>F</w:t>
      </w:r>
      <w:r>
        <w:rPr>
          <w:rFonts w:eastAsia="Times New Roman" w:cs="Times New Roman"/>
          <w:szCs w:val="24"/>
        </w:rPr>
        <w:t>(</w:t>
      </w:r>
      <w:proofErr w:type="gramEnd"/>
      <w:r>
        <w:rPr>
          <w:rFonts w:eastAsia="Times New Roman" w:cs="Times New Roman"/>
          <w:szCs w:val="24"/>
        </w:rPr>
        <w:t xml:space="preserve">1, 30) = 6.98, </w:t>
      </w:r>
      <w:r w:rsidRPr="001972DB">
        <w:rPr>
          <w:rFonts w:eastAsia="Times New Roman" w:cs="Times New Roman"/>
          <w:i/>
          <w:iCs/>
          <w:szCs w:val="24"/>
        </w:rPr>
        <w:t>p</w:t>
      </w:r>
      <w:r>
        <w:rPr>
          <w:rFonts w:eastAsia="Times New Roman" w:cs="Times New Roman"/>
          <w:szCs w:val="24"/>
        </w:rPr>
        <w:t xml:space="preserve"> = .013, </w:t>
      </w:r>
      <w:r w:rsidRPr="001972DB">
        <w:rPr>
          <w:rFonts w:eastAsia="Times New Roman" w:cs="Times New Roman"/>
          <w:i/>
          <w:iCs/>
          <w:szCs w:val="24"/>
        </w:rPr>
        <w:t>η</w:t>
      </w:r>
      <w:r>
        <w:rPr>
          <w:rFonts w:eastAsia="Times New Roman" w:cs="Times New Roman"/>
          <w:szCs w:val="24"/>
        </w:rPr>
        <w:t>² = .024), with higher values in the voluntary than in the involuntary condition, whereas it was not significant for the m-ratio (</w:t>
      </w:r>
      <w:proofErr w:type="gramStart"/>
      <w:r w:rsidRPr="00A279FF">
        <w:rPr>
          <w:rFonts w:eastAsia="Times New Roman" w:cs="Times New Roman"/>
          <w:i/>
          <w:iCs/>
          <w:szCs w:val="24"/>
        </w:rPr>
        <w:t>F</w:t>
      </w:r>
      <w:r>
        <w:rPr>
          <w:rFonts w:eastAsia="Times New Roman" w:cs="Times New Roman"/>
          <w:szCs w:val="24"/>
        </w:rPr>
        <w:t>(</w:t>
      </w:r>
      <w:proofErr w:type="gramEnd"/>
      <w:r>
        <w:rPr>
          <w:rFonts w:eastAsia="Times New Roman" w:cs="Times New Roman"/>
          <w:szCs w:val="24"/>
        </w:rPr>
        <w:t xml:space="preserve">1, 30) = 1.00, </w:t>
      </w:r>
      <w:r w:rsidRPr="00346F3F">
        <w:rPr>
          <w:rFonts w:eastAsia="Times New Roman" w:cs="Times New Roman"/>
          <w:i/>
          <w:iCs/>
          <w:szCs w:val="24"/>
        </w:rPr>
        <w:t>p</w:t>
      </w:r>
      <w:r>
        <w:rPr>
          <w:rFonts w:eastAsia="Times New Roman" w:cs="Times New Roman"/>
          <w:szCs w:val="24"/>
        </w:rPr>
        <w:t xml:space="preserve"> = .326). Thus, the voluntary advantage in perceptual and metacognitive sensitivity was consistent across </w:t>
      </w:r>
      <w:r>
        <w:rPr>
          <w:rFonts w:eastAsia="Times New Roman" w:cs="Times New Roman"/>
          <w:szCs w:val="24"/>
        </w:rPr>
        <w:lastRenderedPageBreak/>
        <w:t>levels of control rather than driven by a particular level.</w:t>
      </w:r>
    </w:p>
    <w:p w14:paraId="4A9BAD01" w14:textId="77777777" w:rsidR="00721612" w:rsidRDefault="001C0EE3" w:rsidP="001C0EE3">
      <w:pPr>
        <w:spacing w:after="120" w:line="360" w:lineRule="auto"/>
      </w:pPr>
      <w:r>
        <w:tab/>
      </w:r>
      <w:r>
        <w:rPr>
          <w:rFonts w:eastAsia="Times New Roman" w:cs="Times New Roman"/>
          <w:szCs w:val="24"/>
        </w:rPr>
        <w:t>Regarding the main effect of control level, there was a strong main effect on d´ (</w:t>
      </w:r>
      <w:proofErr w:type="gramStart"/>
      <w:r w:rsidRPr="003074EB">
        <w:rPr>
          <w:rFonts w:eastAsia="Times New Roman" w:cs="Times New Roman"/>
          <w:i/>
          <w:iCs/>
          <w:szCs w:val="24"/>
        </w:rPr>
        <w:t>F</w:t>
      </w:r>
      <w:r>
        <w:rPr>
          <w:rFonts w:eastAsia="Times New Roman" w:cs="Times New Roman"/>
          <w:szCs w:val="24"/>
        </w:rPr>
        <w:t>(</w:t>
      </w:r>
      <w:proofErr w:type="gramEnd"/>
      <w:r>
        <w:rPr>
          <w:rFonts w:eastAsia="Times New Roman" w:cs="Times New Roman"/>
          <w:szCs w:val="24"/>
        </w:rPr>
        <w:t xml:space="preserve">1.49, 47.61) = 251.82, </w:t>
      </w:r>
      <w:r w:rsidRPr="000D11D7">
        <w:rPr>
          <w:rFonts w:eastAsia="Times New Roman" w:cs="Times New Roman"/>
          <w:i/>
          <w:iCs/>
          <w:szCs w:val="24"/>
        </w:rPr>
        <w:t>p</w:t>
      </w:r>
      <w:r>
        <w:rPr>
          <w:rFonts w:eastAsia="Times New Roman" w:cs="Times New Roman"/>
          <w:szCs w:val="24"/>
        </w:rPr>
        <w:t xml:space="preserve"> &lt; .001, </w:t>
      </w:r>
      <w:r w:rsidRPr="00964AAB">
        <w:rPr>
          <w:rFonts w:eastAsia="Times New Roman" w:cs="Times New Roman"/>
          <w:i/>
          <w:iCs/>
          <w:szCs w:val="24"/>
        </w:rPr>
        <w:t>η</w:t>
      </w:r>
      <w:r>
        <w:rPr>
          <w:rFonts w:eastAsia="Times New Roman" w:cs="Times New Roman"/>
          <w:szCs w:val="24"/>
        </w:rPr>
        <w:t>² = .622) and meta-d´ (</w:t>
      </w:r>
      <w:proofErr w:type="gramStart"/>
      <w:r w:rsidRPr="00105333">
        <w:rPr>
          <w:rFonts w:eastAsia="Times New Roman" w:cs="Times New Roman"/>
          <w:i/>
          <w:iCs/>
          <w:szCs w:val="24"/>
        </w:rPr>
        <w:t>F</w:t>
      </w:r>
      <w:r>
        <w:rPr>
          <w:rFonts w:eastAsia="Times New Roman" w:cs="Times New Roman"/>
          <w:szCs w:val="24"/>
        </w:rPr>
        <w:t>(</w:t>
      </w:r>
      <w:proofErr w:type="gramEnd"/>
      <w:r>
        <w:rPr>
          <w:rFonts w:eastAsia="Times New Roman" w:cs="Times New Roman"/>
          <w:szCs w:val="24"/>
        </w:rPr>
        <w:t xml:space="preserve">1.52, 45.68) = 53.11, </w:t>
      </w:r>
      <w:r w:rsidRPr="003F2E6B">
        <w:rPr>
          <w:rFonts w:eastAsia="Times New Roman" w:cs="Times New Roman"/>
          <w:i/>
          <w:iCs/>
          <w:szCs w:val="24"/>
        </w:rPr>
        <w:t>p</w:t>
      </w:r>
      <w:r>
        <w:rPr>
          <w:rFonts w:eastAsia="Times New Roman" w:cs="Times New Roman"/>
          <w:szCs w:val="24"/>
        </w:rPr>
        <w:t xml:space="preserve"> &lt; .001, </w:t>
      </w:r>
      <w:r w:rsidRPr="00E955F0">
        <w:rPr>
          <w:rFonts w:eastAsia="Times New Roman" w:cs="Times New Roman"/>
          <w:i/>
          <w:iCs/>
          <w:szCs w:val="24"/>
        </w:rPr>
        <w:t>η</w:t>
      </w:r>
      <w:r>
        <w:rPr>
          <w:rFonts w:eastAsia="Times New Roman" w:cs="Times New Roman"/>
          <w:szCs w:val="24"/>
        </w:rPr>
        <w:t>² = .227). Both measures increased markedly from the 50% to the higher control levels. For d´, the means rose across all levels of control in both the voluntary (1.89, 3.70, 4.01 at 50%, 60%, 70%) and involuntary (1.49, 3.37, 3.60 at 50%, 60%, 70%) conditions. For the m-ratio, the main effect of control level was significant but small (</w:t>
      </w:r>
      <w:proofErr w:type="gramStart"/>
      <w:r w:rsidRPr="00DC6D8B">
        <w:rPr>
          <w:rFonts w:eastAsia="Times New Roman" w:cs="Times New Roman"/>
          <w:i/>
          <w:iCs/>
          <w:szCs w:val="24"/>
        </w:rPr>
        <w:t>F</w:t>
      </w:r>
      <w:r>
        <w:rPr>
          <w:rFonts w:eastAsia="Times New Roman" w:cs="Times New Roman"/>
          <w:szCs w:val="24"/>
        </w:rPr>
        <w:t>(</w:t>
      </w:r>
      <w:proofErr w:type="gramEnd"/>
      <w:r>
        <w:rPr>
          <w:rFonts w:eastAsia="Times New Roman" w:cs="Times New Roman"/>
          <w:szCs w:val="24"/>
        </w:rPr>
        <w:t xml:space="preserve">1.13, 33.91) = 4.77, </w:t>
      </w:r>
      <w:r w:rsidRPr="00C3195E">
        <w:rPr>
          <w:rFonts w:eastAsia="Times New Roman" w:cs="Times New Roman"/>
          <w:i/>
          <w:iCs/>
          <w:szCs w:val="24"/>
        </w:rPr>
        <w:t>p</w:t>
      </w:r>
      <w:r>
        <w:rPr>
          <w:rFonts w:eastAsia="Times New Roman" w:cs="Times New Roman"/>
          <w:szCs w:val="24"/>
        </w:rPr>
        <w:t xml:space="preserve"> = .032, </w:t>
      </w:r>
      <w:r w:rsidRPr="00C3195E">
        <w:rPr>
          <w:rFonts w:eastAsia="Times New Roman" w:cs="Times New Roman"/>
          <w:i/>
          <w:iCs/>
          <w:szCs w:val="24"/>
        </w:rPr>
        <w:t>η</w:t>
      </w:r>
      <w:r>
        <w:rPr>
          <w:rFonts w:eastAsia="Times New Roman" w:cs="Times New Roman"/>
          <w:szCs w:val="24"/>
        </w:rPr>
        <w:t>² = .045). This near-ceiling performance in d´ and meta-d´ at the 60% and 70% levels, together with the high hit rates and low false-alarm rates shown in Figure S1, is consistent with the unstable hierarchical Bayesian estimation at these levels.</w:t>
      </w:r>
    </w:p>
    <w:p w14:paraId="4637EC90" w14:textId="27B44A86" w:rsidR="001C0EE3" w:rsidRDefault="001C0EE3" w:rsidP="00721612">
      <w:pPr>
        <w:spacing w:after="120" w:line="360" w:lineRule="auto"/>
        <w:ind w:firstLine="840"/>
      </w:pPr>
      <w:r>
        <w:rPr>
          <w:rFonts w:eastAsia="Times New Roman" w:cs="Times New Roman"/>
          <w:szCs w:val="24"/>
        </w:rPr>
        <w:t>We then compared the voluntary and involuntary conditions at each level of control. Because the interaction was not significant, these comparisons are reported as descriptive follow-ups to characterize the direction of the effect at each level. For d´, the voluntary condition showed higher sensitivity than the involuntary condition at the 60% (</w:t>
      </w:r>
      <w:proofErr w:type="gramStart"/>
      <w:r w:rsidRPr="00945806">
        <w:rPr>
          <w:rFonts w:eastAsia="Times New Roman" w:cs="Times New Roman"/>
          <w:i/>
          <w:iCs/>
          <w:szCs w:val="24"/>
        </w:rPr>
        <w:t>t</w:t>
      </w:r>
      <w:r>
        <w:rPr>
          <w:rFonts w:eastAsia="Times New Roman" w:cs="Times New Roman"/>
          <w:szCs w:val="24"/>
        </w:rPr>
        <w:t>(</w:t>
      </w:r>
      <w:proofErr w:type="gramEnd"/>
      <w:r>
        <w:rPr>
          <w:rFonts w:eastAsia="Times New Roman" w:cs="Times New Roman"/>
          <w:szCs w:val="24"/>
        </w:rPr>
        <w:t xml:space="preserve">32) = 2.12, </w:t>
      </w:r>
      <w:r w:rsidRPr="00945806">
        <w:rPr>
          <w:rFonts w:eastAsia="Times New Roman" w:cs="Times New Roman"/>
          <w:i/>
          <w:iCs/>
          <w:szCs w:val="24"/>
        </w:rPr>
        <w:t>p</w:t>
      </w:r>
      <w:r>
        <w:rPr>
          <w:rFonts w:eastAsia="Times New Roman" w:cs="Times New Roman"/>
          <w:szCs w:val="24"/>
        </w:rPr>
        <w:t xml:space="preserve"> = .042) and 70% (</w:t>
      </w:r>
      <w:proofErr w:type="gramStart"/>
      <w:r w:rsidRPr="00945806">
        <w:rPr>
          <w:rFonts w:eastAsia="Times New Roman" w:cs="Times New Roman"/>
          <w:i/>
          <w:iCs/>
          <w:szCs w:val="24"/>
        </w:rPr>
        <w:t>t</w:t>
      </w:r>
      <w:r>
        <w:rPr>
          <w:rFonts w:eastAsia="Times New Roman" w:cs="Times New Roman"/>
          <w:szCs w:val="24"/>
        </w:rPr>
        <w:t>(</w:t>
      </w:r>
      <w:proofErr w:type="gramEnd"/>
      <w:r>
        <w:rPr>
          <w:rFonts w:eastAsia="Times New Roman" w:cs="Times New Roman"/>
          <w:szCs w:val="24"/>
        </w:rPr>
        <w:t xml:space="preserve">32) = 3.07, </w:t>
      </w:r>
      <w:r w:rsidRPr="00945806">
        <w:rPr>
          <w:rFonts w:eastAsia="Times New Roman" w:cs="Times New Roman"/>
          <w:i/>
          <w:iCs/>
          <w:szCs w:val="24"/>
        </w:rPr>
        <w:t>p</w:t>
      </w:r>
      <w:r>
        <w:rPr>
          <w:rFonts w:eastAsia="Times New Roman" w:cs="Times New Roman"/>
          <w:szCs w:val="24"/>
        </w:rPr>
        <w:t xml:space="preserve"> = .004) control levels, with the same direction at the 50% level not reaching significance (</w:t>
      </w:r>
      <w:proofErr w:type="gramStart"/>
      <w:r w:rsidRPr="00945806">
        <w:rPr>
          <w:rFonts w:eastAsia="Times New Roman" w:cs="Times New Roman"/>
          <w:i/>
          <w:iCs/>
          <w:szCs w:val="24"/>
        </w:rPr>
        <w:t>t</w:t>
      </w:r>
      <w:r>
        <w:rPr>
          <w:rFonts w:eastAsia="Times New Roman" w:cs="Times New Roman"/>
          <w:szCs w:val="24"/>
        </w:rPr>
        <w:t>(</w:t>
      </w:r>
      <w:proofErr w:type="gramEnd"/>
      <w:r>
        <w:rPr>
          <w:rFonts w:eastAsia="Times New Roman" w:cs="Times New Roman"/>
          <w:szCs w:val="24"/>
        </w:rPr>
        <w:t xml:space="preserve">32) = 1.74, </w:t>
      </w:r>
      <w:r w:rsidRPr="00945806">
        <w:rPr>
          <w:rFonts w:eastAsia="Times New Roman" w:cs="Times New Roman"/>
          <w:i/>
          <w:iCs/>
          <w:szCs w:val="24"/>
        </w:rPr>
        <w:t>p</w:t>
      </w:r>
      <w:r>
        <w:rPr>
          <w:rFonts w:eastAsia="Times New Roman" w:cs="Times New Roman"/>
          <w:szCs w:val="24"/>
        </w:rPr>
        <w:t xml:space="preserve"> = .091). For meta-d´, the voluntary advantage was significant at the 70% level (</w:t>
      </w:r>
      <w:proofErr w:type="gramStart"/>
      <w:r w:rsidRPr="00945806">
        <w:rPr>
          <w:rFonts w:eastAsia="Times New Roman" w:cs="Times New Roman"/>
          <w:i/>
          <w:iCs/>
          <w:szCs w:val="24"/>
        </w:rPr>
        <w:t>t</w:t>
      </w:r>
      <w:r>
        <w:rPr>
          <w:rFonts w:eastAsia="Times New Roman" w:cs="Times New Roman"/>
          <w:szCs w:val="24"/>
        </w:rPr>
        <w:t>(</w:t>
      </w:r>
      <w:proofErr w:type="gramEnd"/>
      <w:r>
        <w:rPr>
          <w:rFonts w:eastAsia="Times New Roman" w:cs="Times New Roman"/>
          <w:szCs w:val="24"/>
        </w:rPr>
        <w:t xml:space="preserve">30) = 2.58, </w:t>
      </w:r>
      <w:r w:rsidRPr="00945806">
        <w:rPr>
          <w:rFonts w:eastAsia="Times New Roman" w:cs="Times New Roman"/>
          <w:i/>
          <w:iCs/>
          <w:szCs w:val="24"/>
        </w:rPr>
        <w:t>p</w:t>
      </w:r>
      <w:r>
        <w:rPr>
          <w:rFonts w:eastAsia="Times New Roman" w:cs="Times New Roman"/>
          <w:szCs w:val="24"/>
        </w:rPr>
        <w:t xml:space="preserve"> = .015), but not at the 50% (</w:t>
      </w:r>
      <w:proofErr w:type="gramStart"/>
      <w:r w:rsidRPr="00945806">
        <w:rPr>
          <w:rFonts w:eastAsia="Times New Roman" w:cs="Times New Roman"/>
          <w:i/>
          <w:iCs/>
          <w:szCs w:val="24"/>
        </w:rPr>
        <w:t>t</w:t>
      </w:r>
      <w:r>
        <w:rPr>
          <w:rFonts w:eastAsia="Times New Roman" w:cs="Times New Roman"/>
          <w:szCs w:val="24"/>
        </w:rPr>
        <w:t>(</w:t>
      </w:r>
      <w:proofErr w:type="gramEnd"/>
      <w:r>
        <w:rPr>
          <w:rFonts w:eastAsia="Times New Roman" w:cs="Times New Roman"/>
          <w:szCs w:val="24"/>
        </w:rPr>
        <w:t xml:space="preserve">30) = 0.01, </w:t>
      </w:r>
      <w:r w:rsidRPr="00945806">
        <w:rPr>
          <w:rFonts w:eastAsia="Times New Roman" w:cs="Times New Roman"/>
          <w:i/>
          <w:iCs/>
          <w:szCs w:val="24"/>
        </w:rPr>
        <w:t>p</w:t>
      </w:r>
      <w:r>
        <w:rPr>
          <w:rFonts w:eastAsia="Times New Roman" w:cs="Times New Roman"/>
          <w:szCs w:val="24"/>
        </w:rPr>
        <w:t xml:space="preserve"> = .991) or 60% (</w:t>
      </w:r>
      <w:proofErr w:type="gramStart"/>
      <w:r w:rsidRPr="00945806">
        <w:rPr>
          <w:rFonts w:eastAsia="Times New Roman" w:cs="Times New Roman"/>
          <w:i/>
          <w:iCs/>
          <w:szCs w:val="24"/>
        </w:rPr>
        <w:t>t</w:t>
      </w:r>
      <w:r>
        <w:rPr>
          <w:rFonts w:eastAsia="Times New Roman" w:cs="Times New Roman"/>
          <w:szCs w:val="24"/>
        </w:rPr>
        <w:t>(</w:t>
      </w:r>
      <w:proofErr w:type="gramEnd"/>
      <w:r>
        <w:rPr>
          <w:rFonts w:eastAsia="Times New Roman" w:cs="Times New Roman"/>
          <w:szCs w:val="24"/>
        </w:rPr>
        <w:t xml:space="preserve">30) = 1.49, </w:t>
      </w:r>
      <w:r w:rsidRPr="00945806">
        <w:rPr>
          <w:rFonts w:eastAsia="Times New Roman" w:cs="Times New Roman"/>
          <w:i/>
          <w:iCs/>
          <w:szCs w:val="24"/>
        </w:rPr>
        <w:t>p</w:t>
      </w:r>
      <w:r>
        <w:rPr>
          <w:rFonts w:eastAsia="Times New Roman" w:cs="Times New Roman"/>
          <w:szCs w:val="24"/>
        </w:rPr>
        <w:t xml:space="preserve"> = .147) levels. For the m-ratio, no comparison reached significance at any control level (all </w:t>
      </w:r>
      <w:r w:rsidRPr="00945806">
        <w:rPr>
          <w:rFonts w:eastAsia="Times New Roman" w:cs="Times New Roman"/>
          <w:i/>
          <w:iCs/>
          <w:szCs w:val="24"/>
        </w:rPr>
        <w:t>p</w:t>
      </w:r>
      <w:r>
        <w:rPr>
          <w:rFonts w:eastAsia="Times New Roman" w:cs="Times New Roman"/>
          <w:szCs w:val="24"/>
        </w:rPr>
        <w:t xml:space="preserve"> &gt; .12). Thus, the voluntary advantage in d´ was evident at the higher levels of control and consistent in direction across all levels, whereas the metacognitive measures showed a comparable advantage only in meta-d´ at the 70% level.</w:t>
      </w:r>
    </w:p>
    <w:p w14:paraId="34FE79CD" w14:textId="68AC67FD" w:rsidR="00F910C6" w:rsidRDefault="00F910C6" w:rsidP="00F910C6">
      <w:pPr>
        <w:spacing w:after="120" w:line="360" w:lineRule="auto"/>
      </w:pPr>
      <w:r>
        <w:tab/>
      </w:r>
      <w:r>
        <w:rPr>
          <w:rFonts w:eastAsia="Times New Roman" w:cs="Times New Roman"/>
          <w:szCs w:val="24"/>
        </w:rPr>
        <w:t xml:space="preserve">Finally, we examined the across-participant correlations between the voluntary </w:t>
      </w:r>
      <w:r>
        <w:rPr>
          <w:rFonts w:eastAsia="Times New Roman" w:cs="Times New Roman"/>
          <w:szCs w:val="24"/>
        </w:rPr>
        <w:lastRenderedPageBreak/>
        <w:t>and involuntary conditions in the SDT and MLE estimates. The between-condition consistency tended to increase with level of control. Correlations in d´ remained weak at all levels (</w:t>
      </w:r>
      <w:r w:rsidRPr="00945806">
        <w:rPr>
          <w:rFonts w:eastAsia="Times New Roman" w:cs="Times New Roman"/>
          <w:i/>
          <w:iCs/>
          <w:szCs w:val="24"/>
        </w:rPr>
        <w:t>r</w:t>
      </w:r>
      <w:r>
        <w:rPr>
          <w:rFonts w:eastAsia="Times New Roman" w:cs="Times New Roman"/>
          <w:szCs w:val="24"/>
        </w:rPr>
        <w:t xml:space="preserve"> = </w:t>
      </w:r>
      <w:r w:rsidR="00304873">
        <w:rPr>
          <w:rFonts w:eastAsia="Times New Roman" w:cs="Times New Roman"/>
          <w:szCs w:val="24"/>
        </w:rPr>
        <w:t>-</w:t>
      </w:r>
      <w:r>
        <w:rPr>
          <w:rFonts w:eastAsia="Times New Roman" w:cs="Times New Roman"/>
          <w:szCs w:val="24"/>
        </w:rPr>
        <w:t>0.01, 0.16, 0.10 at 50%, 60%, 70%), whereas correlations in meta-d´ (</w:t>
      </w:r>
      <w:r w:rsidRPr="00945806">
        <w:rPr>
          <w:rFonts w:eastAsia="Times New Roman" w:cs="Times New Roman"/>
          <w:i/>
          <w:iCs/>
          <w:szCs w:val="24"/>
        </w:rPr>
        <w:t>r</w:t>
      </w:r>
      <w:r>
        <w:rPr>
          <w:rFonts w:eastAsia="Times New Roman" w:cs="Times New Roman"/>
          <w:szCs w:val="24"/>
        </w:rPr>
        <w:t xml:space="preserve"> = 0.30, 0.31, 0.47 at 50%, 60%, 70%) and the m-ratio (</w:t>
      </w:r>
      <w:r w:rsidRPr="006F3D1F">
        <w:rPr>
          <w:rFonts w:eastAsia="Times New Roman" w:cs="Times New Roman"/>
          <w:i/>
          <w:iCs/>
          <w:szCs w:val="24"/>
        </w:rPr>
        <w:t>r</w:t>
      </w:r>
      <w:r>
        <w:rPr>
          <w:rFonts w:eastAsia="Times New Roman" w:cs="Times New Roman"/>
          <w:szCs w:val="24"/>
        </w:rPr>
        <w:t xml:space="preserve"> = </w:t>
      </w:r>
      <w:r w:rsidR="00B94059">
        <w:rPr>
          <w:rFonts w:eastAsia="Times New Roman" w:cs="Times New Roman"/>
          <w:szCs w:val="24"/>
        </w:rPr>
        <w:t>-</w:t>
      </w:r>
      <w:r>
        <w:rPr>
          <w:rFonts w:eastAsia="Times New Roman" w:cs="Times New Roman"/>
          <w:szCs w:val="24"/>
        </w:rPr>
        <w:t>0.03, 0.05, 0.45 at 50%, 60%, 70%) increased with control level, becoming strongest at the 70% level. These correlations based on SDT and MLE were generally weaker than the corresponding hierarchical Bayesian estimates for two reasons. First, each SDT and MLE estimate was computed independently and carries trial-level noise that attenuates the correlation, whereas the hierarchical model pools information across participants and estimates the correlation after this noise is reduced. Second, the SDT and MLE analysis excluded participants with non-positive d´ or non-converging meta-d´, whereas the main analysis retained all participants except for one who was excluded based on accuracy.</w:t>
      </w:r>
    </w:p>
    <w:p w14:paraId="3026220C" w14:textId="21937149" w:rsidR="00A65819" w:rsidRPr="00ED1175" w:rsidRDefault="00A65819" w:rsidP="00ED1175"/>
    <w:p w14:paraId="6C34FA56" w14:textId="77777777" w:rsidR="001417DF" w:rsidRDefault="004E2C64" w:rsidP="001417DF">
      <w:pPr>
        <w:keepNext/>
        <w:widowControl/>
        <w:jc w:val="left"/>
      </w:pPr>
      <w:r>
        <w:rPr>
          <w:rFonts w:cs="Times New Roman"/>
          <w:i/>
          <w:iCs/>
          <w:noProof/>
          <w:color w:val="000000" w:themeColor="text1"/>
          <w:sz w:val="21"/>
          <w:szCs w:val="21"/>
        </w:rPr>
        <w:lastRenderedPageBreak/>
        <w:drawing>
          <wp:inline distT="0" distB="0" distL="0" distR="0" wp14:anchorId="44139C5A" wp14:editId="043DB7F2">
            <wp:extent cx="5356860" cy="4591595"/>
            <wp:effectExtent l="0" t="0" r="2540" b="6350"/>
            <wp:docPr id="19309791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979192"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374697" cy="4606884"/>
                    </a:xfrm>
                    <a:prstGeom prst="rect">
                      <a:avLst/>
                    </a:prstGeom>
                  </pic:spPr>
                </pic:pic>
              </a:graphicData>
            </a:graphic>
          </wp:inline>
        </w:drawing>
      </w:r>
    </w:p>
    <w:p w14:paraId="6E1E6E07" w14:textId="1C3E21AC" w:rsidR="00240423" w:rsidRPr="00B92A05" w:rsidRDefault="001417DF" w:rsidP="00B92A05">
      <w:pPr>
        <w:pStyle w:val="Caption"/>
        <w:spacing w:line="360" w:lineRule="auto"/>
        <w:jc w:val="left"/>
        <w:rPr>
          <w:i w:val="0"/>
          <w:iCs w:val="0"/>
          <w:color w:val="000000" w:themeColor="text1"/>
          <w:sz w:val="24"/>
          <w:szCs w:val="24"/>
        </w:rPr>
      </w:pPr>
      <w:bookmarkStart w:id="0" w:name="_Ref216083196"/>
      <w:r w:rsidRPr="001417DF">
        <w:rPr>
          <w:b/>
          <w:bCs/>
          <w:i w:val="0"/>
          <w:iCs w:val="0"/>
          <w:color w:val="000000" w:themeColor="text1"/>
          <w:sz w:val="24"/>
          <w:szCs w:val="24"/>
        </w:rPr>
        <w:t>Figure S</w:t>
      </w:r>
      <w:r w:rsidRPr="001417DF">
        <w:rPr>
          <w:b/>
          <w:bCs/>
          <w:i w:val="0"/>
          <w:iCs w:val="0"/>
          <w:color w:val="000000" w:themeColor="text1"/>
          <w:sz w:val="24"/>
          <w:szCs w:val="24"/>
        </w:rPr>
        <w:fldChar w:fldCharType="begin"/>
      </w:r>
      <w:r w:rsidRPr="001417DF">
        <w:rPr>
          <w:b/>
          <w:bCs/>
          <w:i w:val="0"/>
          <w:iCs w:val="0"/>
          <w:color w:val="000000" w:themeColor="text1"/>
          <w:sz w:val="24"/>
          <w:szCs w:val="24"/>
        </w:rPr>
        <w:instrText xml:space="preserve"> SEQ Figure_S \* ARABIC </w:instrText>
      </w:r>
      <w:r w:rsidRPr="001417DF">
        <w:rPr>
          <w:b/>
          <w:bCs/>
          <w:i w:val="0"/>
          <w:iCs w:val="0"/>
          <w:color w:val="000000" w:themeColor="text1"/>
          <w:sz w:val="24"/>
          <w:szCs w:val="24"/>
        </w:rPr>
        <w:fldChar w:fldCharType="separate"/>
      </w:r>
      <w:r w:rsidR="00B825C5">
        <w:rPr>
          <w:b/>
          <w:bCs/>
          <w:i w:val="0"/>
          <w:iCs w:val="0"/>
          <w:noProof/>
          <w:color w:val="000000" w:themeColor="text1"/>
          <w:sz w:val="24"/>
          <w:szCs w:val="24"/>
        </w:rPr>
        <w:t>1</w:t>
      </w:r>
      <w:r w:rsidRPr="001417DF">
        <w:rPr>
          <w:b/>
          <w:bCs/>
          <w:i w:val="0"/>
          <w:iCs w:val="0"/>
          <w:color w:val="000000" w:themeColor="text1"/>
          <w:sz w:val="24"/>
          <w:szCs w:val="24"/>
        </w:rPr>
        <w:fldChar w:fldCharType="end"/>
      </w:r>
      <w:bookmarkEnd w:id="0"/>
      <w:r w:rsidRPr="001417DF">
        <w:rPr>
          <w:b/>
          <w:bCs/>
          <w:i w:val="0"/>
          <w:iCs w:val="0"/>
          <w:color w:val="000000" w:themeColor="text1"/>
          <w:sz w:val="24"/>
          <w:szCs w:val="24"/>
        </w:rPr>
        <w:t xml:space="preserve">. </w:t>
      </w:r>
      <w:r w:rsidR="0062587B">
        <w:rPr>
          <w:i w:val="0"/>
          <w:iCs w:val="0"/>
          <w:color w:val="000000" w:themeColor="text1"/>
          <w:sz w:val="24"/>
          <w:szCs w:val="24"/>
        </w:rPr>
        <w:t>Confidence frequency, hit and false-alarm-rate frequency, and ROC space for hit and false-alarm rates</w:t>
      </w:r>
      <w:r w:rsidR="00304605">
        <w:rPr>
          <w:i w:val="0"/>
          <w:iCs w:val="0"/>
          <w:color w:val="000000" w:themeColor="text1"/>
          <w:sz w:val="24"/>
          <w:szCs w:val="24"/>
        </w:rPr>
        <w:t xml:space="preserve"> in Experiment 1</w:t>
      </w:r>
      <w:r w:rsidR="00837E78" w:rsidRPr="006236E6">
        <w:rPr>
          <w:i w:val="0"/>
          <w:iCs w:val="0"/>
          <w:color w:val="000000" w:themeColor="text1"/>
          <w:sz w:val="24"/>
          <w:szCs w:val="24"/>
        </w:rPr>
        <w:t>. Panel (</w:t>
      </w:r>
      <w:r w:rsidR="000D7D42">
        <w:rPr>
          <w:i w:val="0"/>
          <w:iCs w:val="0"/>
          <w:color w:val="000000" w:themeColor="text1"/>
          <w:sz w:val="24"/>
          <w:szCs w:val="24"/>
        </w:rPr>
        <w:t>A</w:t>
      </w:r>
      <w:r w:rsidR="00837E78" w:rsidRPr="006236E6">
        <w:rPr>
          <w:i w:val="0"/>
          <w:iCs w:val="0"/>
          <w:color w:val="000000" w:themeColor="text1"/>
          <w:sz w:val="24"/>
          <w:szCs w:val="24"/>
        </w:rPr>
        <w:t xml:space="preserve">) shows the distribution of confidence ratings at each level of control. </w:t>
      </w:r>
      <w:r w:rsidR="0062587B">
        <w:rPr>
          <w:i w:val="0"/>
          <w:iCs w:val="0"/>
          <w:color w:val="000000" w:themeColor="text1"/>
          <w:sz w:val="24"/>
          <w:szCs w:val="24"/>
        </w:rPr>
        <w:t>At the 60% and 70% levels of control</w:t>
      </w:r>
      <w:r w:rsidR="00837E78" w:rsidRPr="006236E6">
        <w:rPr>
          <w:i w:val="0"/>
          <w:iCs w:val="0"/>
          <w:color w:val="000000" w:themeColor="text1"/>
          <w:sz w:val="24"/>
          <w:szCs w:val="24"/>
        </w:rPr>
        <w:t xml:space="preserve">, participants were able to detect the target (a visual stimulus containing a self-motion component) under both voluntary and involuntary movement conditions, resulting in a bias toward high confidence. In contrast, </w:t>
      </w:r>
      <w:r w:rsidR="0062587B">
        <w:rPr>
          <w:i w:val="0"/>
          <w:iCs w:val="0"/>
          <w:color w:val="000000" w:themeColor="text1"/>
          <w:sz w:val="24"/>
          <w:szCs w:val="24"/>
        </w:rPr>
        <w:t>at the 50% level of control</w:t>
      </w:r>
      <w:r w:rsidR="00837E78" w:rsidRPr="006236E6">
        <w:rPr>
          <w:i w:val="0"/>
          <w:iCs w:val="0"/>
          <w:color w:val="000000" w:themeColor="text1"/>
          <w:sz w:val="24"/>
          <w:szCs w:val="24"/>
        </w:rPr>
        <w:t xml:space="preserve">, discrimination became difficult in both conditions, resulting in no bias in confidence and </w:t>
      </w:r>
      <w:r w:rsidR="0062587B">
        <w:rPr>
          <w:i w:val="0"/>
          <w:iCs w:val="0"/>
          <w:color w:val="000000" w:themeColor="text1"/>
          <w:sz w:val="24"/>
          <w:szCs w:val="24"/>
        </w:rPr>
        <w:t>a broader dispersion of responses</w:t>
      </w:r>
      <w:r w:rsidR="00837E78" w:rsidRPr="006236E6">
        <w:rPr>
          <w:i w:val="0"/>
          <w:iCs w:val="0"/>
          <w:color w:val="000000" w:themeColor="text1"/>
          <w:sz w:val="24"/>
          <w:szCs w:val="24"/>
        </w:rPr>
        <w:t>. Panel (</w:t>
      </w:r>
      <w:r w:rsidR="000D7D42">
        <w:rPr>
          <w:i w:val="0"/>
          <w:iCs w:val="0"/>
          <w:color w:val="000000" w:themeColor="text1"/>
          <w:sz w:val="24"/>
          <w:szCs w:val="24"/>
        </w:rPr>
        <w:t>B)</w:t>
      </w:r>
      <w:r w:rsidR="00837E78" w:rsidRPr="006236E6">
        <w:rPr>
          <w:i w:val="0"/>
          <w:iCs w:val="0"/>
          <w:color w:val="000000" w:themeColor="text1"/>
          <w:sz w:val="24"/>
          <w:szCs w:val="24"/>
        </w:rPr>
        <w:t xml:space="preserve"> shows the frequency of hits and false alarms for the voluntary and involuntary conditions at each level of control. While participants were able to distinguish the target almost perfectly </w:t>
      </w:r>
      <w:r w:rsidR="00995665">
        <w:rPr>
          <w:i w:val="0"/>
          <w:iCs w:val="0"/>
          <w:color w:val="000000" w:themeColor="text1"/>
          <w:sz w:val="24"/>
          <w:szCs w:val="24"/>
        </w:rPr>
        <w:t>at</w:t>
      </w:r>
      <w:r w:rsidR="0062587B">
        <w:rPr>
          <w:i w:val="0"/>
          <w:iCs w:val="0"/>
          <w:color w:val="000000" w:themeColor="text1"/>
          <w:sz w:val="24"/>
          <w:szCs w:val="24"/>
        </w:rPr>
        <w:t xml:space="preserve"> the 60% and 70% levels of control</w:t>
      </w:r>
      <w:r w:rsidR="00837E78" w:rsidRPr="006236E6">
        <w:rPr>
          <w:i w:val="0"/>
          <w:iCs w:val="0"/>
          <w:color w:val="000000" w:themeColor="text1"/>
          <w:sz w:val="24"/>
          <w:szCs w:val="24"/>
        </w:rPr>
        <w:t xml:space="preserve">, the </w:t>
      </w:r>
      <w:r w:rsidR="00837E78" w:rsidRPr="006236E6">
        <w:rPr>
          <w:i w:val="0"/>
          <w:iCs w:val="0"/>
          <w:color w:val="000000" w:themeColor="text1"/>
          <w:sz w:val="24"/>
          <w:szCs w:val="24"/>
        </w:rPr>
        <w:lastRenderedPageBreak/>
        <w:t>false alarm rate increased at the 50% level of control. Panel (</w:t>
      </w:r>
      <w:r w:rsidR="00BA5E9B">
        <w:rPr>
          <w:i w:val="0"/>
          <w:iCs w:val="0"/>
          <w:color w:val="000000" w:themeColor="text1"/>
          <w:sz w:val="24"/>
          <w:szCs w:val="24"/>
        </w:rPr>
        <w:t>C</w:t>
      </w:r>
      <w:r w:rsidR="00837E78" w:rsidRPr="006236E6">
        <w:rPr>
          <w:i w:val="0"/>
          <w:iCs w:val="0"/>
          <w:color w:val="000000" w:themeColor="text1"/>
          <w:sz w:val="24"/>
          <w:szCs w:val="24"/>
        </w:rPr>
        <w:t xml:space="preserve">) is a ROC space plot showing the relationship between hits and false alarms for each participant, condition, and level of control, along with their averages. </w:t>
      </w:r>
      <w:r w:rsidR="0062587B">
        <w:rPr>
          <w:i w:val="0"/>
          <w:iCs w:val="0"/>
          <w:color w:val="000000" w:themeColor="text1"/>
          <w:sz w:val="24"/>
          <w:szCs w:val="24"/>
        </w:rPr>
        <w:t>At the 60% and 70% levels of control</w:t>
      </w:r>
      <w:r w:rsidR="00837E78" w:rsidRPr="006236E6">
        <w:rPr>
          <w:i w:val="0"/>
          <w:iCs w:val="0"/>
          <w:color w:val="000000" w:themeColor="text1"/>
          <w:sz w:val="24"/>
          <w:szCs w:val="24"/>
        </w:rPr>
        <w:t xml:space="preserve">, </w:t>
      </w:r>
      <w:r w:rsidR="0062587B">
        <w:rPr>
          <w:i w:val="0"/>
          <w:iCs w:val="0"/>
          <w:color w:val="000000" w:themeColor="text1"/>
          <w:sz w:val="24"/>
          <w:szCs w:val="24"/>
        </w:rPr>
        <w:t xml:space="preserve">the data </w:t>
      </w:r>
      <w:r w:rsidR="00EA590D">
        <w:rPr>
          <w:rFonts w:hint="eastAsia"/>
          <w:i w:val="0"/>
          <w:iCs w:val="0"/>
          <w:color w:val="000000" w:themeColor="text1"/>
          <w:sz w:val="24"/>
          <w:szCs w:val="24"/>
        </w:rPr>
        <w:t>were</w:t>
      </w:r>
      <w:r w:rsidR="0062587B">
        <w:rPr>
          <w:i w:val="0"/>
          <w:iCs w:val="0"/>
          <w:color w:val="000000" w:themeColor="text1"/>
          <w:sz w:val="24"/>
          <w:szCs w:val="24"/>
        </w:rPr>
        <w:t xml:space="preserve"> biased toward hits</w:t>
      </w:r>
      <w:r w:rsidR="00837E78" w:rsidRPr="006236E6">
        <w:rPr>
          <w:i w:val="0"/>
          <w:iCs w:val="0"/>
          <w:color w:val="000000" w:themeColor="text1"/>
          <w:sz w:val="24"/>
          <w:szCs w:val="24"/>
        </w:rPr>
        <w:t xml:space="preserve">, indicating that targets were detected with high accuracy. In contrast, </w:t>
      </w:r>
      <w:r w:rsidR="0062587B">
        <w:rPr>
          <w:i w:val="0"/>
          <w:iCs w:val="0"/>
          <w:color w:val="000000" w:themeColor="text1"/>
          <w:sz w:val="24"/>
          <w:szCs w:val="24"/>
        </w:rPr>
        <w:t>at the 50% level of control, target detection became more difficult and the proportion of false alarms increased</w:t>
      </w:r>
      <w:r w:rsidR="00837E78" w:rsidRPr="006236E6">
        <w:rPr>
          <w:i w:val="0"/>
          <w:iCs w:val="0"/>
          <w:color w:val="000000" w:themeColor="text1"/>
          <w:sz w:val="24"/>
          <w:szCs w:val="24"/>
        </w:rPr>
        <w:t xml:space="preserve">. These results indicate that </w:t>
      </w:r>
      <w:r w:rsidR="0062587B">
        <w:rPr>
          <w:i w:val="0"/>
          <w:iCs w:val="0"/>
          <w:color w:val="000000" w:themeColor="text1"/>
          <w:sz w:val="24"/>
          <w:szCs w:val="24"/>
        </w:rPr>
        <w:t>under the 60% and 70% control-level conditions</w:t>
      </w:r>
      <w:r w:rsidR="00837E78" w:rsidRPr="006236E6">
        <w:rPr>
          <w:i w:val="0"/>
          <w:iCs w:val="0"/>
          <w:color w:val="000000" w:themeColor="text1"/>
          <w:sz w:val="24"/>
          <w:szCs w:val="24"/>
        </w:rPr>
        <w:t xml:space="preserve">, there are many empty cells when estimating metacognitive sensitivity and metacognitive efficiency. Therefore, in Experiment 1, hierarchical Bayesian modeling was used to estimate metacognitive indices only under </w:t>
      </w:r>
      <w:r w:rsidR="0062587B">
        <w:rPr>
          <w:i w:val="0"/>
          <w:iCs w:val="0"/>
          <w:color w:val="000000" w:themeColor="text1"/>
          <w:sz w:val="24"/>
          <w:szCs w:val="24"/>
        </w:rPr>
        <w:t>the 50% control-level condition</w:t>
      </w:r>
      <w:r w:rsidR="00837E78" w:rsidRPr="006236E6">
        <w:rPr>
          <w:i w:val="0"/>
          <w:iCs w:val="0"/>
          <w:color w:val="000000" w:themeColor="text1"/>
          <w:sz w:val="24"/>
          <w:szCs w:val="24"/>
        </w:rPr>
        <w:t>.</w:t>
      </w:r>
    </w:p>
    <w:p w14:paraId="438E8C42" w14:textId="77777777" w:rsidR="001417DF" w:rsidRDefault="00204404" w:rsidP="001417DF">
      <w:pPr>
        <w:pStyle w:val="Caption"/>
        <w:keepNext/>
        <w:spacing w:line="360" w:lineRule="auto"/>
        <w:jc w:val="left"/>
      </w:pPr>
      <w:r>
        <w:rPr>
          <w:rFonts w:cs="Times New Roman"/>
          <w:color w:val="000000" w:themeColor="text1"/>
          <w:szCs w:val="24"/>
        </w:rPr>
        <w:br w:type="page"/>
      </w:r>
      <w:r>
        <w:rPr>
          <w:rFonts w:cs="Times New Roman"/>
          <w:noProof/>
          <w:color w:val="000000" w:themeColor="text1"/>
          <w:szCs w:val="24"/>
        </w:rPr>
        <w:lastRenderedPageBreak/>
        <w:drawing>
          <wp:inline distT="0" distB="0" distL="0" distR="0" wp14:anchorId="47A35419" wp14:editId="6FCA20A2">
            <wp:extent cx="5400040" cy="2532119"/>
            <wp:effectExtent l="0" t="0" r="0" b="0"/>
            <wp:docPr id="159691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9122" name="Picture 5"/>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00040" cy="2532119"/>
                    </a:xfrm>
                    <a:prstGeom prst="rect">
                      <a:avLst/>
                    </a:prstGeom>
                  </pic:spPr>
                </pic:pic>
              </a:graphicData>
            </a:graphic>
          </wp:inline>
        </w:drawing>
      </w:r>
    </w:p>
    <w:p w14:paraId="7116E706" w14:textId="4957FCA3" w:rsidR="00204404" w:rsidRPr="00E7746E" w:rsidRDefault="001417DF" w:rsidP="00E7746E">
      <w:pPr>
        <w:pStyle w:val="Caption"/>
        <w:spacing w:line="360" w:lineRule="auto"/>
        <w:jc w:val="left"/>
      </w:pPr>
      <w:bookmarkStart w:id="1" w:name="_Ref216040099"/>
      <w:r w:rsidRPr="00E7746E">
        <w:rPr>
          <w:b/>
          <w:bCs/>
          <w:i w:val="0"/>
          <w:iCs w:val="0"/>
          <w:color w:val="000000" w:themeColor="text1"/>
          <w:sz w:val="24"/>
          <w:szCs w:val="24"/>
        </w:rPr>
        <w:t>Figure S</w:t>
      </w:r>
      <w:r w:rsidRPr="00E7746E">
        <w:rPr>
          <w:b/>
          <w:bCs/>
          <w:i w:val="0"/>
          <w:iCs w:val="0"/>
          <w:color w:val="000000" w:themeColor="text1"/>
          <w:sz w:val="24"/>
          <w:szCs w:val="24"/>
        </w:rPr>
        <w:fldChar w:fldCharType="begin"/>
      </w:r>
      <w:r w:rsidRPr="00E7746E">
        <w:rPr>
          <w:b/>
          <w:bCs/>
          <w:i w:val="0"/>
          <w:iCs w:val="0"/>
          <w:color w:val="000000" w:themeColor="text1"/>
          <w:sz w:val="24"/>
          <w:szCs w:val="24"/>
        </w:rPr>
        <w:instrText xml:space="preserve"> SEQ Figure_S \* ARABIC </w:instrText>
      </w:r>
      <w:r w:rsidRPr="00E7746E">
        <w:rPr>
          <w:b/>
          <w:bCs/>
          <w:i w:val="0"/>
          <w:iCs w:val="0"/>
          <w:color w:val="000000" w:themeColor="text1"/>
          <w:sz w:val="24"/>
          <w:szCs w:val="24"/>
        </w:rPr>
        <w:fldChar w:fldCharType="separate"/>
      </w:r>
      <w:r w:rsidR="00B825C5">
        <w:rPr>
          <w:b/>
          <w:bCs/>
          <w:i w:val="0"/>
          <w:iCs w:val="0"/>
          <w:noProof/>
          <w:color w:val="000000" w:themeColor="text1"/>
          <w:sz w:val="24"/>
          <w:szCs w:val="24"/>
        </w:rPr>
        <w:t>2</w:t>
      </w:r>
      <w:r w:rsidRPr="00E7746E">
        <w:rPr>
          <w:b/>
          <w:bCs/>
          <w:i w:val="0"/>
          <w:iCs w:val="0"/>
          <w:color w:val="000000" w:themeColor="text1"/>
          <w:sz w:val="24"/>
          <w:szCs w:val="24"/>
        </w:rPr>
        <w:fldChar w:fldCharType="end"/>
      </w:r>
      <w:bookmarkEnd w:id="1"/>
      <w:r w:rsidR="00E7746E" w:rsidRPr="00E7746E">
        <w:rPr>
          <w:b/>
          <w:bCs/>
          <w:i w:val="0"/>
          <w:iCs w:val="0"/>
          <w:color w:val="000000" w:themeColor="text1"/>
          <w:sz w:val="24"/>
          <w:szCs w:val="24"/>
        </w:rPr>
        <w:t>.</w:t>
      </w:r>
      <w:r w:rsidR="00AB5340">
        <w:rPr>
          <w:b/>
          <w:bCs/>
          <w:i w:val="0"/>
          <w:iCs w:val="0"/>
          <w:color w:val="000000" w:themeColor="text1"/>
          <w:sz w:val="24"/>
          <w:szCs w:val="24"/>
        </w:rPr>
        <w:t xml:space="preserve"> </w:t>
      </w:r>
      <w:r w:rsidR="00AB5340">
        <w:rPr>
          <w:i w:val="0"/>
          <w:iCs w:val="0"/>
          <w:color w:val="000000" w:themeColor="text1"/>
          <w:sz w:val="24"/>
          <w:szCs w:val="24"/>
        </w:rPr>
        <w:t>Post-hoc comparisons (voluntary vs. involuntary) for d´, meta-d´, and m-ratio at the 50% level of control</w:t>
      </w:r>
      <w:r w:rsidR="004B4E39">
        <w:rPr>
          <w:i w:val="0"/>
          <w:iCs w:val="0"/>
          <w:color w:val="000000" w:themeColor="text1"/>
          <w:sz w:val="24"/>
          <w:szCs w:val="24"/>
        </w:rPr>
        <w:t xml:space="preserve"> in Experiment 1</w:t>
      </w:r>
      <w:r w:rsidR="00AB5340">
        <w:rPr>
          <w:i w:val="0"/>
          <w:iCs w:val="0"/>
          <w:color w:val="000000" w:themeColor="text1"/>
          <w:sz w:val="24"/>
          <w:szCs w:val="24"/>
        </w:rPr>
        <w:t xml:space="preserve">. Estimates were obtained using signal detection theory (SDT) and maximum likelihood estimation (MLE). </w:t>
      </w:r>
      <w:r w:rsidR="00355950">
        <w:rPr>
          <w:i w:val="0"/>
          <w:iCs w:val="0"/>
          <w:color w:val="000000" w:themeColor="text1"/>
          <w:sz w:val="24"/>
          <w:szCs w:val="24"/>
        </w:rPr>
        <w:t xml:space="preserve">There </w:t>
      </w:r>
      <w:r w:rsidR="007439DB">
        <w:rPr>
          <w:i w:val="0"/>
          <w:iCs w:val="0"/>
          <w:color w:val="000000" w:themeColor="text1"/>
          <w:sz w:val="24"/>
          <w:szCs w:val="24"/>
        </w:rPr>
        <w:t>was</w:t>
      </w:r>
      <w:r w:rsidR="00355950">
        <w:rPr>
          <w:i w:val="0"/>
          <w:iCs w:val="0"/>
          <w:color w:val="000000" w:themeColor="text1"/>
          <w:sz w:val="24"/>
          <w:szCs w:val="24"/>
        </w:rPr>
        <w:t xml:space="preserve"> no significant difference in d´ (</w:t>
      </w:r>
      <w:proofErr w:type="gramStart"/>
      <w:r w:rsidR="00713D96" w:rsidRPr="00533D80">
        <w:rPr>
          <w:color w:val="000000" w:themeColor="text1"/>
          <w:sz w:val="24"/>
          <w:szCs w:val="24"/>
        </w:rPr>
        <w:t>t</w:t>
      </w:r>
      <w:r w:rsidR="00713D96">
        <w:rPr>
          <w:i w:val="0"/>
          <w:iCs w:val="0"/>
          <w:color w:val="000000" w:themeColor="text1"/>
          <w:sz w:val="24"/>
          <w:szCs w:val="24"/>
        </w:rPr>
        <w:t>(</w:t>
      </w:r>
      <w:proofErr w:type="gramEnd"/>
      <w:r w:rsidR="00713D96">
        <w:rPr>
          <w:i w:val="0"/>
          <w:iCs w:val="0"/>
          <w:color w:val="000000" w:themeColor="text1"/>
          <w:sz w:val="24"/>
          <w:szCs w:val="24"/>
        </w:rPr>
        <w:t xml:space="preserve">32) = 1.74, </w:t>
      </w:r>
      <w:r w:rsidR="00713D96" w:rsidRPr="00533D80">
        <w:rPr>
          <w:color w:val="000000" w:themeColor="text1"/>
          <w:sz w:val="24"/>
          <w:szCs w:val="24"/>
        </w:rPr>
        <w:t>p</w:t>
      </w:r>
      <w:r w:rsidR="00713D96">
        <w:rPr>
          <w:i w:val="0"/>
          <w:iCs w:val="0"/>
          <w:color w:val="000000" w:themeColor="text1"/>
          <w:sz w:val="24"/>
          <w:szCs w:val="24"/>
        </w:rPr>
        <w:t xml:space="preserve"> = .091</w:t>
      </w:r>
      <w:r w:rsidR="00355950">
        <w:rPr>
          <w:i w:val="0"/>
          <w:iCs w:val="0"/>
          <w:color w:val="000000" w:themeColor="text1"/>
          <w:sz w:val="24"/>
          <w:szCs w:val="24"/>
        </w:rPr>
        <w:t>)</w:t>
      </w:r>
      <w:r w:rsidR="00713D96">
        <w:rPr>
          <w:i w:val="0"/>
          <w:iCs w:val="0"/>
          <w:color w:val="000000" w:themeColor="text1"/>
          <w:sz w:val="24"/>
          <w:szCs w:val="24"/>
        </w:rPr>
        <w:t>, meta-d´ (</w:t>
      </w:r>
      <w:proofErr w:type="gramStart"/>
      <w:r w:rsidR="00713D96" w:rsidRPr="00533D80">
        <w:rPr>
          <w:color w:val="000000" w:themeColor="text1"/>
          <w:sz w:val="24"/>
          <w:szCs w:val="24"/>
        </w:rPr>
        <w:t>t</w:t>
      </w:r>
      <w:r w:rsidR="00713D96">
        <w:rPr>
          <w:i w:val="0"/>
          <w:iCs w:val="0"/>
          <w:color w:val="000000" w:themeColor="text1"/>
          <w:sz w:val="24"/>
          <w:szCs w:val="24"/>
        </w:rPr>
        <w:t>(</w:t>
      </w:r>
      <w:proofErr w:type="gramEnd"/>
      <w:r w:rsidR="00713D96">
        <w:rPr>
          <w:i w:val="0"/>
          <w:iCs w:val="0"/>
          <w:color w:val="000000" w:themeColor="text1"/>
          <w:sz w:val="24"/>
          <w:szCs w:val="24"/>
        </w:rPr>
        <w:t xml:space="preserve">30) = 0.01, </w:t>
      </w:r>
      <w:r w:rsidR="00713D96" w:rsidRPr="00533D80">
        <w:rPr>
          <w:color w:val="000000" w:themeColor="text1"/>
          <w:sz w:val="24"/>
          <w:szCs w:val="24"/>
        </w:rPr>
        <w:t>p</w:t>
      </w:r>
      <w:r w:rsidR="00713D96">
        <w:rPr>
          <w:i w:val="0"/>
          <w:iCs w:val="0"/>
          <w:color w:val="000000" w:themeColor="text1"/>
          <w:sz w:val="24"/>
          <w:szCs w:val="24"/>
        </w:rPr>
        <w:t xml:space="preserve"> = .991), and m-ratio (</w:t>
      </w:r>
      <w:proofErr w:type="gramStart"/>
      <w:r w:rsidR="00713D96" w:rsidRPr="00533D80">
        <w:rPr>
          <w:color w:val="000000" w:themeColor="text1"/>
          <w:sz w:val="24"/>
          <w:szCs w:val="24"/>
        </w:rPr>
        <w:t>t</w:t>
      </w:r>
      <w:r w:rsidR="00713D96">
        <w:rPr>
          <w:i w:val="0"/>
          <w:iCs w:val="0"/>
          <w:color w:val="000000" w:themeColor="text1"/>
          <w:sz w:val="24"/>
          <w:szCs w:val="24"/>
        </w:rPr>
        <w:t>(</w:t>
      </w:r>
      <w:proofErr w:type="gramEnd"/>
      <w:r w:rsidR="00713D96">
        <w:rPr>
          <w:i w:val="0"/>
          <w:iCs w:val="0"/>
          <w:color w:val="000000" w:themeColor="text1"/>
          <w:sz w:val="24"/>
          <w:szCs w:val="24"/>
        </w:rPr>
        <w:t xml:space="preserve">30) = -1.60, </w:t>
      </w:r>
      <w:r w:rsidR="00713D96" w:rsidRPr="00533D80">
        <w:rPr>
          <w:color w:val="000000" w:themeColor="text1"/>
          <w:sz w:val="24"/>
          <w:szCs w:val="24"/>
        </w:rPr>
        <w:t>p</w:t>
      </w:r>
      <w:r w:rsidR="00713D96">
        <w:rPr>
          <w:i w:val="0"/>
          <w:iCs w:val="0"/>
          <w:color w:val="000000" w:themeColor="text1"/>
          <w:sz w:val="24"/>
          <w:szCs w:val="24"/>
        </w:rPr>
        <w:t xml:space="preserve"> = .120). </w:t>
      </w:r>
      <w:r w:rsidR="00C133FD">
        <w:rPr>
          <w:i w:val="0"/>
          <w:iCs w:val="0"/>
          <w:color w:val="000000" w:themeColor="text1"/>
          <w:sz w:val="24"/>
          <w:szCs w:val="24"/>
        </w:rPr>
        <w:t xml:space="preserve">Regarding the </w:t>
      </w:r>
      <w:r w:rsidR="0062587B">
        <w:rPr>
          <w:i w:val="0"/>
          <w:iCs w:val="0"/>
          <w:color w:val="000000" w:themeColor="text1"/>
          <w:sz w:val="24"/>
          <w:szCs w:val="24"/>
        </w:rPr>
        <w:t>correlations between the two conditions for each metric</w:t>
      </w:r>
      <w:r w:rsidR="00C133FD">
        <w:rPr>
          <w:i w:val="0"/>
          <w:iCs w:val="0"/>
          <w:color w:val="000000" w:themeColor="text1"/>
          <w:sz w:val="24"/>
          <w:szCs w:val="24"/>
        </w:rPr>
        <w:t>, no significant correlations were observed in d´</w:t>
      </w:r>
      <w:r w:rsidR="00533D80">
        <w:rPr>
          <w:i w:val="0"/>
          <w:iCs w:val="0"/>
          <w:color w:val="000000" w:themeColor="text1"/>
          <w:sz w:val="24"/>
          <w:szCs w:val="24"/>
        </w:rPr>
        <w:t xml:space="preserve"> (</w:t>
      </w:r>
      <w:r w:rsidR="00533D80" w:rsidRPr="00533D80">
        <w:rPr>
          <w:color w:val="000000" w:themeColor="text1"/>
          <w:sz w:val="24"/>
          <w:szCs w:val="24"/>
        </w:rPr>
        <w:t>r</w:t>
      </w:r>
      <w:r w:rsidR="00533D80">
        <w:rPr>
          <w:i w:val="0"/>
          <w:iCs w:val="0"/>
          <w:color w:val="000000" w:themeColor="text1"/>
          <w:sz w:val="24"/>
          <w:szCs w:val="24"/>
        </w:rPr>
        <w:t xml:space="preserve"> = -0.01, </w:t>
      </w:r>
      <w:r w:rsidR="00533D80" w:rsidRPr="00533D80">
        <w:rPr>
          <w:color w:val="000000" w:themeColor="text1"/>
          <w:sz w:val="24"/>
          <w:szCs w:val="24"/>
        </w:rPr>
        <w:t>p</w:t>
      </w:r>
      <w:r w:rsidR="00533D80">
        <w:rPr>
          <w:i w:val="0"/>
          <w:iCs w:val="0"/>
          <w:color w:val="000000" w:themeColor="text1"/>
          <w:sz w:val="24"/>
          <w:szCs w:val="24"/>
        </w:rPr>
        <w:t xml:space="preserve"> = .946)</w:t>
      </w:r>
      <w:r w:rsidR="00C133FD">
        <w:rPr>
          <w:i w:val="0"/>
          <w:iCs w:val="0"/>
          <w:color w:val="000000" w:themeColor="text1"/>
          <w:sz w:val="24"/>
          <w:szCs w:val="24"/>
        </w:rPr>
        <w:t>, meta-d´</w:t>
      </w:r>
      <w:r w:rsidR="00533D80">
        <w:rPr>
          <w:i w:val="0"/>
          <w:iCs w:val="0"/>
          <w:color w:val="000000" w:themeColor="text1"/>
          <w:sz w:val="24"/>
          <w:szCs w:val="24"/>
        </w:rPr>
        <w:t xml:space="preserve"> (</w:t>
      </w:r>
      <w:r w:rsidR="00533D80" w:rsidRPr="00533D80">
        <w:rPr>
          <w:color w:val="000000" w:themeColor="text1"/>
          <w:sz w:val="24"/>
          <w:szCs w:val="24"/>
        </w:rPr>
        <w:t>r</w:t>
      </w:r>
      <w:r w:rsidR="00533D80">
        <w:rPr>
          <w:i w:val="0"/>
          <w:iCs w:val="0"/>
          <w:color w:val="000000" w:themeColor="text1"/>
          <w:sz w:val="24"/>
          <w:szCs w:val="24"/>
        </w:rPr>
        <w:t xml:space="preserve"> = 0.30, </w:t>
      </w:r>
      <w:r w:rsidR="00533D80" w:rsidRPr="00533D80">
        <w:rPr>
          <w:color w:val="000000" w:themeColor="text1"/>
          <w:sz w:val="24"/>
          <w:szCs w:val="24"/>
        </w:rPr>
        <w:t>p</w:t>
      </w:r>
      <w:r w:rsidR="00533D80">
        <w:rPr>
          <w:i w:val="0"/>
          <w:iCs w:val="0"/>
          <w:color w:val="000000" w:themeColor="text1"/>
          <w:sz w:val="24"/>
          <w:szCs w:val="24"/>
        </w:rPr>
        <w:t xml:space="preserve"> = .097)</w:t>
      </w:r>
      <w:r w:rsidR="00C133FD">
        <w:rPr>
          <w:i w:val="0"/>
          <w:iCs w:val="0"/>
          <w:color w:val="000000" w:themeColor="text1"/>
          <w:sz w:val="24"/>
          <w:szCs w:val="24"/>
        </w:rPr>
        <w:t>, and m-ratio</w:t>
      </w:r>
      <w:r w:rsidR="00533D80">
        <w:rPr>
          <w:i w:val="0"/>
          <w:iCs w:val="0"/>
          <w:color w:val="000000" w:themeColor="text1"/>
          <w:sz w:val="24"/>
          <w:szCs w:val="24"/>
        </w:rPr>
        <w:t xml:space="preserve"> (</w:t>
      </w:r>
      <w:r w:rsidR="00533D80" w:rsidRPr="00533D80">
        <w:rPr>
          <w:color w:val="000000" w:themeColor="text1"/>
          <w:sz w:val="24"/>
          <w:szCs w:val="24"/>
        </w:rPr>
        <w:t>r</w:t>
      </w:r>
      <w:r w:rsidR="00533D80">
        <w:rPr>
          <w:i w:val="0"/>
          <w:iCs w:val="0"/>
          <w:color w:val="000000" w:themeColor="text1"/>
          <w:sz w:val="24"/>
          <w:szCs w:val="24"/>
        </w:rPr>
        <w:t xml:space="preserve"> = -0.03, </w:t>
      </w:r>
      <w:r w:rsidR="00533D80" w:rsidRPr="00533D80">
        <w:rPr>
          <w:color w:val="000000" w:themeColor="text1"/>
          <w:sz w:val="24"/>
          <w:szCs w:val="24"/>
        </w:rPr>
        <w:t>p</w:t>
      </w:r>
      <w:r w:rsidR="00533D80">
        <w:rPr>
          <w:i w:val="0"/>
          <w:iCs w:val="0"/>
          <w:color w:val="000000" w:themeColor="text1"/>
          <w:sz w:val="24"/>
          <w:szCs w:val="24"/>
        </w:rPr>
        <w:t xml:space="preserve"> = .890)</w:t>
      </w:r>
      <w:r w:rsidR="00C133FD">
        <w:rPr>
          <w:i w:val="0"/>
          <w:iCs w:val="0"/>
          <w:color w:val="000000" w:themeColor="text1"/>
          <w:sz w:val="24"/>
          <w:szCs w:val="24"/>
        </w:rPr>
        <w:t xml:space="preserve">. </w:t>
      </w:r>
    </w:p>
    <w:p w14:paraId="51D1F4FA" w14:textId="77777777" w:rsidR="00E63630" w:rsidRDefault="00204404" w:rsidP="00E63630">
      <w:pPr>
        <w:keepNext/>
        <w:widowControl/>
        <w:jc w:val="left"/>
      </w:pPr>
      <w:r>
        <w:rPr>
          <w:rFonts w:cs="Times New Roman"/>
          <w:color w:val="000000" w:themeColor="text1"/>
          <w:szCs w:val="24"/>
        </w:rPr>
        <w:br w:type="page"/>
      </w:r>
      <w:r w:rsidR="00443B25">
        <w:rPr>
          <w:rFonts w:cs="Times New Roman"/>
          <w:noProof/>
          <w:color w:val="000000" w:themeColor="text1"/>
          <w:szCs w:val="24"/>
        </w:rPr>
        <w:lastRenderedPageBreak/>
        <w:drawing>
          <wp:inline distT="0" distB="0" distL="0" distR="0" wp14:anchorId="0776450F" wp14:editId="217629CB">
            <wp:extent cx="5399857" cy="2532033"/>
            <wp:effectExtent l="0" t="0" r="0" b="0"/>
            <wp:docPr id="3998211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821105"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99857" cy="2532033"/>
                    </a:xfrm>
                    <a:prstGeom prst="rect">
                      <a:avLst/>
                    </a:prstGeom>
                  </pic:spPr>
                </pic:pic>
              </a:graphicData>
            </a:graphic>
          </wp:inline>
        </w:drawing>
      </w:r>
    </w:p>
    <w:p w14:paraId="0B98ADD6" w14:textId="27052777" w:rsidR="007439DB" w:rsidRPr="00167053" w:rsidRDefault="00E63630" w:rsidP="00775F63">
      <w:pPr>
        <w:pStyle w:val="Caption"/>
        <w:spacing w:line="360" w:lineRule="auto"/>
        <w:jc w:val="left"/>
        <w:rPr>
          <w:i w:val="0"/>
          <w:iCs w:val="0"/>
          <w:color w:val="000000" w:themeColor="text1"/>
          <w:sz w:val="24"/>
          <w:szCs w:val="24"/>
        </w:rPr>
      </w:pPr>
      <w:bookmarkStart w:id="2" w:name="_Ref216087370"/>
      <w:r w:rsidRPr="00E63630">
        <w:rPr>
          <w:b/>
          <w:bCs/>
          <w:i w:val="0"/>
          <w:iCs w:val="0"/>
          <w:color w:val="000000" w:themeColor="text1"/>
          <w:sz w:val="24"/>
          <w:szCs w:val="24"/>
        </w:rPr>
        <w:t>Figure S</w:t>
      </w:r>
      <w:r w:rsidRPr="00E63630">
        <w:rPr>
          <w:b/>
          <w:bCs/>
          <w:i w:val="0"/>
          <w:iCs w:val="0"/>
          <w:color w:val="000000" w:themeColor="text1"/>
          <w:sz w:val="24"/>
          <w:szCs w:val="24"/>
        </w:rPr>
        <w:fldChar w:fldCharType="begin"/>
      </w:r>
      <w:r w:rsidRPr="00E63630">
        <w:rPr>
          <w:b/>
          <w:bCs/>
          <w:i w:val="0"/>
          <w:iCs w:val="0"/>
          <w:color w:val="000000" w:themeColor="text1"/>
          <w:sz w:val="24"/>
          <w:szCs w:val="24"/>
        </w:rPr>
        <w:instrText xml:space="preserve"> SEQ Figure_S \* ARABIC </w:instrText>
      </w:r>
      <w:r w:rsidRPr="00E63630">
        <w:rPr>
          <w:b/>
          <w:bCs/>
          <w:i w:val="0"/>
          <w:iCs w:val="0"/>
          <w:color w:val="000000" w:themeColor="text1"/>
          <w:sz w:val="24"/>
          <w:szCs w:val="24"/>
        </w:rPr>
        <w:fldChar w:fldCharType="separate"/>
      </w:r>
      <w:r w:rsidR="00B825C5">
        <w:rPr>
          <w:b/>
          <w:bCs/>
          <w:i w:val="0"/>
          <w:iCs w:val="0"/>
          <w:noProof/>
          <w:color w:val="000000" w:themeColor="text1"/>
          <w:sz w:val="24"/>
          <w:szCs w:val="24"/>
        </w:rPr>
        <w:t>3</w:t>
      </w:r>
      <w:r w:rsidRPr="00E63630">
        <w:rPr>
          <w:b/>
          <w:bCs/>
          <w:i w:val="0"/>
          <w:iCs w:val="0"/>
          <w:color w:val="000000" w:themeColor="text1"/>
          <w:sz w:val="24"/>
          <w:szCs w:val="24"/>
        </w:rPr>
        <w:fldChar w:fldCharType="end"/>
      </w:r>
      <w:bookmarkEnd w:id="2"/>
      <w:r w:rsidRPr="00E63630">
        <w:rPr>
          <w:b/>
          <w:bCs/>
          <w:i w:val="0"/>
          <w:iCs w:val="0"/>
          <w:color w:val="000000" w:themeColor="text1"/>
          <w:sz w:val="24"/>
          <w:szCs w:val="24"/>
        </w:rPr>
        <w:t>.</w:t>
      </w:r>
      <w:r w:rsidR="00CD59D4">
        <w:rPr>
          <w:i w:val="0"/>
          <w:iCs w:val="0"/>
          <w:color w:val="000000" w:themeColor="text1"/>
          <w:sz w:val="24"/>
          <w:szCs w:val="24"/>
        </w:rPr>
        <w:t xml:space="preserve"> </w:t>
      </w:r>
      <w:r w:rsidR="00CB123E" w:rsidRPr="00CB123E">
        <w:rPr>
          <w:i w:val="0"/>
          <w:iCs w:val="0"/>
          <w:color w:val="000000" w:themeColor="text1"/>
          <w:sz w:val="24"/>
          <w:szCs w:val="24"/>
        </w:rPr>
        <w:t>Post-hoc comparisons (voluntary vs. involuntary) for d´, meta-d´, and the m-ratio at the 60% level of control in Experiment 1. At this control level, d´ was significantly higher in the voluntary than in the involuntary condition (</w:t>
      </w:r>
      <w:proofErr w:type="gramStart"/>
      <w:r w:rsidR="00CB123E" w:rsidRPr="00735ED4">
        <w:rPr>
          <w:color w:val="000000" w:themeColor="text1"/>
          <w:sz w:val="24"/>
          <w:szCs w:val="24"/>
        </w:rPr>
        <w:t>t</w:t>
      </w:r>
      <w:r w:rsidR="00CB123E" w:rsidRPr="00CB123E">
        <w:rPr>
          <w:i w:val="0"/>
          <w:iCs w:val="0"/>
          <w:color w:val="000000" w:themeColor="text1"/>
          <w:sz w:val="24"/>
          <w:szCs w:val="24"/>
        </w:rPr>
        <w:t>(</w:t>
      </w:r>
      <w:proofErr w:type="gramEnd"/>
      <w:r w:rsidR="00CB123E" w:rsidRPr="00CB123E">
        <w:rPr>
          <w:i w:val="0"/>
          <w:iCs w:val="0"/>
          <w:color w:val="000000" w:themeColor="text1"/>
          <w:sz w:val="24"/>
          <w:szCs w:val="24"/>
        </w:rPr>
        <w:t xml:space="preserve">32) = 2.12, </w:t>
      </w:r>
      <w:r w:rsidR="00CB123E" w:rsidRPr="00735ED4">
        <w:rPr>
          <w:color w:val="000000" w:themeColor="text1"/>
          <w:sz w:val="24"/>
          <w:szCs w:val="24"/>
        </w:rPr>
        <w:t>p</w:t>
      </w:r>
      <w:r w:rsidR="00CB123E" w:rsidRPr="00CB123E">
        <w:rPr>
          <w:i w:val="0"/>
          <w:iCs w:val="0"/>
          <w:color w:val="000000" w:themeColor="text1"/>
          <w:sz w:val="24"/>
          <w:szCs w:val="24"/>
        </w:rPr>
        <w:t xml:space="preserve"> = .042), whereas meta-d´ (</w:t>
      </w:r>
      <w:proofErr w:type="gramStart"/>
      <w:r w:rsidR="00CB123E" w:rsidRPr="00735ED4">
        <w:rPr>
          <w:color w:val="000000" w:themeColor="text1"/>
          <w:sz w:val="24"/>
          <w:szCs w:val="24"/>
        </w:rPr>
        <w:t>t</w:t>
      </w:r>
      <w:r w:rsidR="00CB123E" w:rsidRPr="00CB123E">
        <w:rPr>
          <w:i w:val="0"/>
          <w:iCs w:val="0"/>
          <w:color w:val="000000" w:themeColor="text1"/>
          <w:sz w:val="24"/>
          <w:szCs w:val="24"/>
        </w:rPr>
        <w:t>(</w:t>
      </w:r>
      <w:proofErr w:type="gramEnd"/>
      <w:r w:rsidR="00CB123E" w:rsidRPr="00CB123E">
        <w:rPr>
          <w:i w:val="0"/>
          <w:iCs w:val="0"/>
          <w:color w:val="000000" w:themeColor="text1"/>
          <w:sz w:val="24"/>
          <w:szCs w:val="24"/>
        </w:rPr>
        <w:t xml:space="preserve">30) = 1.49, </w:t>
      </w:r>
      <w:r w:rsidR="00CB123E" w:rsidRPr="00735ED4">
        <w:rPr>
          <w:color w:val="000000" w:themeColor="text1"/>
          <w:sz w:val="24"/>
          <w:szCs w:val="24"/>
        </w:rPr>
        <w:t>p</w:t>
      </w:r>
      <w:r w:rsidR="00CB123E" w:rsidRPr="00CB123E">
        <w:rPr>
          <w:i w:val="0"/>
          <w:iCs w:val="0"/>
          <w:color w:val="000000" w:themeColor="text1"/>
          <w:sz w:val="24"/>
          <w:szCs w:val="24"/>
        </w:rPr>
        <w:t xml:space="preserve"> = .147) and the m-ratio (</w:t>
      </w:r>
      <w:proofErr w:type="gramStart"/>
      <w:r w:rsidR="00CB123E" w:rsidRPr="00735ED4">
        <w:rPr>
          <w:color w:val="000000" w:themeColor="text1"/>
          <w:sz w:val="24"/>
          <w:szCs w:val="24"/>
        </w:rPr>
        <w:t>t</w:t>
      </w:r>
      <w:r w:rsidR="00CB123E" w:rsidRPr="00CB123E">
        <w:rPr>
          <w:i w:val="0"/>
          <w:iCs w:val="0"/>
          <w:color w:val="000000" w:themeColor="text1"/>
          <w:sz w:val="24"/>
          <w:szCs w:val="24"/>
        </w:rPr>
        <w:t>(</w:t>
      </w:r>
      <w:proofErr w:type="gramEnd"/>
      <w:r w:rsidR="00CB123E" w:rsidRPr="00CB123E">
        <w:rPr>
          <w:i w:val="0"/>
          <w:iCs w:val="0"/>
          <w:color w:val="000000" w:themeColor="text1"/>
          <w:sz w:val="24"/>
          <w:szCs w:val="24"/>
        </w:rPr>
        <w:t xml:space="preserve">30) = 0.53, </w:t>
      </w:r>
      <w:r w:rsidR="00CB123E" w:rsidRPr="00735ED4">
        <w:rPr>
          <w:color w:val="000000" w:themeColor="text1"/>
          <w:sz w:val="24"/>
          <w:szCs w:val="24"/>
        </w:rPr>
        <w:t>p</w:t>
      </w:r>
      <w:r w:rsidR="00CB123E" w:rsidRPr="00CB123E">
        <w:rPr>
          <w:i w:val="0"/>
          <w:iCs w:val="0"/>
          <w:color w:val="000000" w:themeColor="text1"/>
          <w:sz w:val="24"/>
          <w:szCs w:val="24"/>
        </w:rPr>
        <w:t xml:space="preserve"> = .599) did not differ significantly between conditions. We also examined the across-participant correlations between the voluntary and involuntary conditions for each measure. The voluntary and involuntary conditions were not significantly correlated for d´ (</w:t>
      </w:r>
      <w:r w:rsidR="00CB123E" w:rsidRPr="00A63A0C">
        <w:rPr>
          <w:color w:val="000000" w:themeColor="text1"/>
          <w:sz w:val="24"/>
          <w:szCs w:val="24"/>
        </w:rPr>
        <w:t>r</w:t>
      </w:r>
      <w:r w:rsidR="00CB123E" w:rsidRPr="00A63A0C">
        <w:rPr>
          <w:i w:val="0"/>
          <w:iCs w:val="0"/>
          <w:color w:val="000000" w:themeColor="text1"/>
          <w:sz w:val="24"/>
          <w:szCs w:val="24"/>
        </w:rPr>
        <w:t xml:space="preserve"> </w:t>
      </w:r>
      <w:r w:rsidR="00CB123E" w:rsidRPr="00CB123E">
        <w:rPr>
          <w:i w:val="0"/>
          <w:iCs w:val="0"/>
          <w:color w:val="000000" w:themeColor="text1"/>
          <w:sz w:val="24"/>
          <w:szCs w:val="24"/>
        </w:rPr>
        <w:t xml:space="preserve">= 0.16, </w:t>
      </w:r>
      <w:r w:rsidR="00CB123E" w:rsidRPr="00A63A0C">
        <w:rPr>
          <w:color w:val="000000" w:themeColor="text1"/>
          <w:sz w:val="24"/>
          <w:szCs w:val="24"/>
        </w:rPr>
        <w:t>p</w:t>
      </w:r>
      <w:r w:rsidR="00CB123E" w:rsidRPr="00CB123E">
        <w:rPr>
          <w:i w:val="0"/>
          <w:iCs w:val="0"/>
          <w:color w:val="000000" w:themeColor="text1"/>
          <w:sz w:val="24"/>
          <w:szCs w:val="24"/>
        </w:rPr>
        <w:t xml:space="preserve"> = .379), meta-d´ (</w:t>
      </w:r>
      <w:r w:rsidR="00CB123E" w:rsidRPr="00A63A0C">
        <w:rPr>
          <w:color w:val="000000" w:themeColor="text1"/>
          <w:sz w:val="24"/>
          <w:szCs w:val="24"/>
        </w:rPr>
        <w:t>r</w:t>
      </w:r>
      <w:r w:rsidR="00CB123E" w:rsidRPr="00CB123E">
        <w:rPr>
          <w:i w:val="0"/>
          <w:iCs w:val="0"/>
          <w:color w:val="000000" w:themeColor="text1"/>
          <w:sz w:val="24"/>
          <w:szCs w:val="24"/>
        </w:rPr>
        <w:t xml:space="preserve"> = 0.31, </w:t>
      </w:r>
      <w:r w:rsidR="00CB123E" w:rsidRPr="00A63A0C">
        <w:rPr>
          <w:color w:val="000000" w:themeColor="text1"/>
          <w:sz w:val="24"/>
          <w:szCs w:val="24"/>
        </w:rPr>
        <w:t>p</w:t>
      </w:r>
      <w:r w:rsidR="00CB123E" w:rsidRPr="00CB123E">
        <w:rPr>
          <w:i w:val="0"/>
          <w:iCs w:val="0"/>
          <w:color w:val="000000" w:themeColor="text1"/>
          <w:sz w:val="24"/>
          <w:szCs w:val="24"/>
        </w:rPr>
        <w:t xml:space="preserve"> = .061), or the m-ratio (</w:t>
      </w:r>
      <w:r w:rsidR="00CB123E" w:rsidRPr="00A63A0C">
        <w:rPr>
          <w:color w:val="000000" w:themeColor="text1"/>
          <w:sz w:val="24"/>
          <w:szCs w:val="24"/>
        </w:rPr>
        <w:t>r</w:t>
      </w:r>
      <w:r w:rsidR="00CB123E" w:rsidRPr="00CB123E">
        <w:rPr>
          <w:i w:val="0"/>
          <w:iCs w:val="0"/>
          <w:color w:val="000000" w:themeColor="text1"/>
          <w:sz w:val="24"/>
          <w:szCs w:val="24"/>
        </w:rPr>
        <w:t xml:space="preserve"> = 0.05, </w:t>
      </w:r>
      <w:r w:rsidR="00CB123E" w:rsidRPr="00A63A0C">
        <w:rPr>
          <w:color w:val="000000" w:themeColor="text1"/>
          <w:sz w:val="24"/>
          <w:szCs w:val="24"/>
        </w:rPr>
        <w:t>p</w:t>
      </w:r>
      <w:r w:rsidR="00CB123E" w:rsidRPr="00CB123E">
        <w:rPr>
          <w:i w:val="0"/>
          <w:iCs w:val="0"/>
          <w:color w:val="000000" w:themeColor="text1"/>
          <w:sz w:val="24"/>
          <w:szCs w:val="24"/>
        </w:rPr>
        <w:t xml:space="preserve"> = .767).</w:t>
      </w:r>
    </w:p>
    <w:p w14:paraId="1BBB2788" w14:textId="6DE07D3E" w:rsidR="00C00362" w:rsidRDefault="00C00362">
      <w:pPr>
        <w:widowControl/>
        <w:jc w:val="left"/>
        <w:rPr>
          <w:rFonts w:cs="Times New Roman"/>
          <w:color w:val="000000" w:themeColor="text1"/>
          <w:szCs w:val="24"/>
        </w:rPr>
      </w:pPr>
      <w:r>
        <w:rPr>
          <w:rFonts w:cs="Times New Roman"/>
          <w:color w:val="000000" w:themeColor="text1"/>
          <w:szCs w:val="24"/>
        </w:rPr>
        <w:br w:type="page"/>
      </w:r>
    </w:p>
    <w:p w14:paraId="112B8283" w14:textId="77777777" w:rsidR="00B913FE" w:rsidRDefault="00C00362" w:rsidP="00B913FE">
      <w:pPr>
        <w:keepNext/>
        <w:widowControl/>
        <w:jc w:val="left"/>
      </w:pPr>
      <w:r>
        <w:rPr>
          <w:rFonts w:cs="Times New Roman"/>
          <w:noProof/>
          <w:color w:val="000000" w:themeColor="text1"/>
          <w:szCs w:val="24"/>
        </w:rPr>
        <w:lastRenderedPageBreak/>
        <w:drawing>
          <wp:inline distT="0" distB="0" distL="0" distR="0" wp14:anchorId="5D511CFC" wp14:editId="4E9F2182">
            <wp:extent cx="5399857" cy="2532033"/>
            <wp:effectExtent l="0" t="0" r="0" b="0"/>
            <wp:docPr id="8525681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568196"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399857" cy="2532033"/>
                    </a:xfrm>
                    <a:prstGeom prst="rect">
                      <a:avLst/>
                    </a:prstGeom>
                  </pic:spPr>
                </pic:pic>
              </a:graphicData>
            </a:graphic>
          </wp:inline>
        </w:drawing>
      </w:r>
    </w:p>
    <w:p w14:paraId="62A9B2D8" w14:textId="77777777" w:rsidR="0006223E" w:rsidRDefault="00B913FE" w:rsidP="0006223E">
      <w:pPr>
        <w:spacing w:after="120" w:line="360" w:lineRule="auto"/>
      </w:pPr>
      <w:bookmarkStart w:id="3" w:name="_Ref216087373"/>
      <w:r w:rsidRPr="00B913FE">
        <w:rPr>
          <w:b/>
          <w:bCs/>
          <w:color w:val="000000" w:themeColor="text1"/>
          <w:szCs w:val="24"/>
        </w:rPr>
        <w:t>Figure S</w:t>
      </w:r>
      <w:r w:rsidRPr="00B913FE">
        <w:rPr>
          <w:b/>
          <w:bCs/>
          <w:i/>
          <w:iCs/>
          <w:color w:val="000000" w:themeColor="text1"/>
          <w:szCs w:val="24"/>
        </w:rPr>
        <w:fldChar w:fldCharType="begin"/>
      </w:r>
      <w:r w:rsidRPr="00B913FE">
        <w:rPr>
          <w:b/>
          <w:bCs/>
          <w:color w:val="000000" w:themeColor="text1"/>
          <w:szCs w:val="24"/>
        </w:rPr>
        <w:instrText xml:space="preserve"> SEQ Figure_S \* ARABIC </w:instrText>
      </w:r>
      <w:r w:rsidRPr="00B913FE">
        <w:rPr>
          <w:b/>
          <w:bCs/>
          <w:i/>
          <w:iCs/>
          <w:color w:val="000000" w:themeColor="text1"/>
          <w:szCs w:val="24"/>
        </w:rPr>
        <w:fldChar w:fldCharType="separate"/>
      </w:r>
      <w:r w:rsidR="00B825C5">
        <w:rPr>
          <w:b/>
          <w:bCs/>
          <w:noProof/>
          <w:color w:val="000000" w:themeColor="text1"/>
          <w:szCs w:val="24"/>
        </w:rPr>
        <w:t>4</w:t>
      </w:r>
      <w:r w:rsidRPr="00B913FE">
        <w:rPr>
          <w:b/>
          <w:bCs/>
          <w:i/>
          <w:iCs/>
          <w:color w:val="000000" w:themeColor="text1"/>
          <w:szCs w:val="24"/>
        </w:rPr>
        <w:fldChar w:fldCharType="end"/>
      </w:r>
      <w:bookmarkEnd w:id="3"/>
      <w:r w:rsidRPr="00B913FE">
        <w:rPr>
          <w:b/>
          <w:bCs/>
          <w:color w:val="000000" w:themeColor="text1"/>
          <w:szCs w:val="24"/>
        </w:rPr>
        <w:t xml:space="preserve">. </w:t>
      </w:r>
      <w:r w:rsidR="0006223E">
        <w:rPr>
          <w:rFonts w:eastAsia="Times New Roman" w:cs="Times New Roman"/>
          <w:szCs w:val="24"/>
        </w:rPr>
        <w:t>Post-hoc comparisons (voluntary vs. involuntary) for d´, meta-d´, and the m-ratio at the 70% level of control in Experiment 1. The voluntary condition showed significantly higher values than the involuntary condition for d´ (</w:t>
      </w:r>
      <w:proofErr w:type="gramStart"/>
      <w:r w:rsidR="0006223E" w:rsidRPr="000802FE">
        <w:rPr>
          <w:rFonts w:eastAsia="Times New Roman" w:cs="Times New Roman"/>
          <w:i/>
          <w:iCs/>
          <w:szCs w:val="24"/>
        </w:rPr>
        <w:t>t</w:t>
      </w:r>
      <w:r w:rsidR="0006223E">
        <w:rPr>
          <w:rFonts w:eastAsia="Times New Roman" w:cs="Times New Roman"/>
          <w:szCs w:val="24"/>
        </w:rPr>
        <w:t>(</w:t>
      </w:r>
      <w:proofErr w:type="gramEnd"/>
      <w:r w:rsidR="0006223E">
        <w:rPr>
          <w:rFonts w:eastAsia="Times New Roman" w:cs="Times New Roman"/>
          <w:szCs w:val="24"/>
        </w:rPr>
        <w:t xml:space="preserve">32) = 3.07, </w:t>
      </w:r>
      <w:r w:rsidR="0006223E" w:rsidRPr="000802FE">
        <w:rPr>
          <w:rFonts w:eastAsia="Times New Roman" w:cs="Times New Roman"/>
          <w:i/>
          <w:iCs/>
          <w:szCs w:val="24"/>
        </w:rPr>
        <w:t>p</w:t>
      </w:r>
      <w:r w:rsidR="0006223E">
        <w:rPr>
          <w:rFonts w:eastAsia="Times New Roman" w:cs="Times New Roman"/>
          <w:szCs w:val="24"/>
        </w:rPr>
        <w:t xml:space="preserve"> = .004) and meta-d´ (</w:t>
      </w:r>
      <w:proofErr w:type="gramStart"/>
      <w:r w:rsidR="0006223E" w:rsidRPr="000802FE">
        <w:rPr>
          <w:rFonts w:eastAsia="Times New Roman" w:cs="Times New Roman"/>
          <w:i/>
          <w:iCs/>
          <w:szCs w:val="24"/>
        </w:rPr>
        <w:t>t</w:t>
      </w:r>
      <w:r w:rsidR="0006223E">
        <w:rPr>
          <w:rFonts w:eastAsia="Times New Roman" w:cs="Times New Roman"/>
          <w:szCs w:val="24"/>
        </w:rPr>
        <w:t>(</w:t>
      </w:r>
      <w:proofErr w:type="gramEnd"/>
      <w:r w:rsidR="0006223E">
        <w:rPr>
          <w:rFonts w:eastAsia="Times New Roman" w:cs="Times New Roman"/>
          <w:szCs w:val="24"/>
        </w:rPr>
        <w:t xml:space="preserve">30) = 2.58, </w:t>
      </w:r>
      <w:r w:rsidR="0006223E" w:rsidRPr="000802FE">
        <w:rPr>
          <w:rFonts w:eastAsia="Times New Roman" w:cs="Times New Roman"/>
          <w:i/>
          <w:iCs/>
          <w:szCs w:val="24"/>
        </w:rPr>
        <w:t>p</w:t>
      </w:r>
      <w:r w:rsidR="0006223E">
        <w:rPr>
          <w:rFonts w:eastAsia="Times New Roman" w:cs="Times New Roman"/>
          <w:szCs w:val="24"/>
        </w:rPr>
        <w:t xml:space="preserve"> = .015), whereas the m-ratio did not differ significantly between conditions (</w:t>
      </w:r>
      <w:proofErr w:type="gramStart"/>
      <w:r w:rsidR="0006223E" w:rsidRPr="000802FE">
        <w:rPr>
          <w:rFonts w:eastAsia="Times New Roman" w:cs="Times New Roman"/>
          <w:i/>
          <w:iCs/>
          <w:szCs w:val="24"/>
        </w:rPr>
        <w:t>t</w:t>
      </w:r>
      <w:r w:rsidR="0006223E">
        <w:rPr>
          <w:rFonts w:eastAsia="Times New Roman" w:cs="Times New Roman"/>
          <w:szCs w:val="24"/>
        </w:rPr>
        <w:t>(</w:t>
      </w:r>
      <w:proofErr w:type="gramEnd"/>
      <w:r w:rsidR="0006223E">
        <w:rPr>
          <w:rFonts w:eastAsia="Times New Roman" w:cs="Times New Roman"/>
          <w:szCs w:val="24"/>
        </w:rPr>
        <w:t xml:space="preserve">30) = 1.22, </w:t>
      </w:r>
      <w:r w:rsidR="0006223E" w:rsidRPr="000802FE">
        <w:rPr>
          <w:rFonts w:eastAsia="Times New Roman" w:cs="Times New Roman"/>
          <w:i/>
          <w:iCs/>
          <w:szCs w:val="24"/>
        </w:rPr>
        <w:t>p</w:t>
      </w:r>
      <w:r w:rsidR="0006223E">
        <w:rPr>
          <w:rFonts w:eastAsia="Times New Roman" w:cs="Times New Roman"/>
          <w:szCs w:val="24"/>
        </w:rPr>
        <w:t xml:space="preserve"> = .232). Regarding the across-participant correlations, significant correlations were observed for meta-d´ (</w:t>
      </w:r>
      <w:r w:rsidR="0006223E" w:rsidRPr="000802FE">
        <w:rPr>
          <w:rFonts w:eastAsia="Times New Roman" w:cs="Times New Roman"/>
          <w:i/>
          <w:iCs/>
          <w:szCs w:val="24"/>
        </w:rPr>
        <w:t>r</w:t>
      </w:r>
      <w:r w:rsidR="0006223E">
        <w:rPr>
          <w:rFonts w:eastAsia="Times New Roman" w:cs="Times New Roman"/>
          <w:szCs w:val="24"/>
        </w:rPr>
        <w:t xml:space="preserve"> = 0.47, </w:t>
      </w:r>
      <w:r w:rsidR="0006223E" w:rsidRPr="000802FE">
        <w:rPr>
          <w:rFonts w:eastAsia="Times New Roman" w:cs="Times New Roman"/>
          <w:i/>
          <w:iCs/>
          <w:szCs w:val="24"/>
        </w:rPr>
        <w:t>p</w:t>
      </w:r>
      <w:r w:rsidR="0006223E">
        <w:rPr>
          <w:rFonts w:eastAsia="Times New Roman" w:cs="Times New Roman"/>
          <w:szCs w:val="24"/>
        </w:rPr>
        <w:t xml:space="preserve"> = .006) and the m-ratio (r = 0.45, </w:t>
      </w:r>
      <w:r w:rsidR="0006223E" w:rsidRPr="000802FE">
        <w:rPr>
          <w:rFonts w:eastAsia="Times New Roman" w:cs="Times New Roman"/>
          <w:i/>
          <w:iCs/>
          <w:szCs w:val="24"/>
        </w:rPr>
        <w:t>p</w:t>
      </w:r>
      <w:r w:rsidR="0006223E">
        <w:rPr>
          <w:rFonts w:eastAsia="Times New Roman" w:cs="Times New Roman"/>
          <w:szCs w:val="24"/>
        </w:rPr>
        <w:t xml:space="preserve"> = .010), but not for d´ (</w:t>
      </w:r>
      <w:r w:rsidR="0006223E" w:rsidRPr="000802FE">
        <w:rPr>
          <w:rFonts w:eastAsia="Times New Roman" w:cs="Times New Roman"/>
          <w:i/>
          <w:iCs/>
          <w:szCs w:val="24"/>
        </w:rPr>
        <w:t>r</w:t>
      </w:r>
      <w:r w:rsidR="0006223E">
        <w:rPr>
          <w:rFonts w:eastAsia="Times New Roman" w:cs="Times New Roman"/>
          <w:szCs w:val="24"/>
        </w:rPr>
        <w:t xml:space="preserve"> = 0.10, </w:t>
      </w:r>
      <w:r w:rsidR="0006223E" w:rsidRPr="000802FE">
        <w:rPr>
          <w:rFonts w:eastAsia="Times New Roman" w:cs="Times New Roman"/>
          <w:i/>
          <w:iCs/>
          <w:szCs w:val="24"/>
        </w:rPr>
        <w:t>p</w:t>
      </w:r>
      <w:r w:rsidR="0006223E">
        <w:rPr>
          <w:rFonts w:eastAsia="Times New Roman" w:cs="Times New Roman"/>
          <w:szCs w:val="24"/>
        </w:rPr>
        <w:t xml:space="preserve"> = .578).</w:t>
      </w:r>
    </w:p>
    <w:p w14:paraId="2E069ACE" w14:textId="233EE48F" w:rsidR="00F4128E" w:rsidRDefault="00F4128E" w:rsidP="000F5E2B">
      <w:pPr>
        <w:pStyle w:val="Caption"/>
        <w:spacing w:line="360" w:lineRule="auto"/>
        <w:jc w:val="left"/>
        <w:rPr>
          <w:i w:val="0"/>
          <w:iCs w:val="0"/>
          <w:color w:val="000000" w:themeColor="text1"/>
          <w:sz w:val="24"/>
          <w:szCs w:val="24"/>
        </w:rPr>
      </w:pPr>
    </w:p>
    <w:p w14:paraId="12CEB204" w14:textId="193CF69B" w:rsidR="00B825C5" w:rsidRPr="00233042" w:rsidRDefault="00011409" w:rsidP="00E879BA">
      <w:pPr>
        <w:widowControl/>
        <w:spacing w:line="360" w:lineRule="auto"/>
        <w:jc w:val="left"/>
        <w:rPr>
          <w:b/>
          <w:bCs/>
        </w:rPr>
      </w:pPr>
      <w:r>
        <w:br w:type="page"/>
      </w:r>
      <w:r w:rsidR="00233042" w:rsidRPr="00233042">
        <w:rPr>
          <w:b/>
          <w:bCs/>
        </w:rPr>
        <w:lastRenderedPageBreak/>
        <w:t>S</w:t>
      </w:r>
      <w:r w:rsidR="00233042">
        <w:rPr>
          <w:b/>
          <w:bCs/>
        </w:rPr>
        <w:t>2</w:t>
      </w:r>
      <w:r w:rsidR="00233042" w:rsidRPr="00233042">
        <w:rPr>
          <w:b/>
          <w:bCs/>
        </w:rPr>
        <w:t xml:space="preserve">. Complementary Analysis in Experiment </w:t>
      </w:r>
      <w:r w:rsidR="00233042">
        <w:rPr>
          <w:b/>
          <w:bCs/>
        </w:rPr>
        <w:t>2</w:t>
      </w:r>
    </w:p>
    <w:p w14:paraId="607F8733" w14:textId="77777777" w:rsidR="00E879BA" w:rsidRPr="005F61E7" w:rsidRDefault="00E879BA" w:rsidP="00E879BA">
      <w:pPr>
        <w:pStyle w:val="NormalWeb"/>
        <w:spacing w:line="360" w:lineRule="auto"/>
        <w:rPr>
          <w:rFonts w:eastAsiaTheme="minorEastAsia"/>
          <w:kern w:val="0"/>
        </w:rPr>
      </w:pPr>
      <w:r w:rsidRPr="00A4006F">
        <w:rPr>
          <w:rFonts w:eastAsia="MS Mincho"/>
          <w:kern w:val="0"/>
        </w:rPr>
        <w:t xml:space="preserve">As a complementary analysis, we estimated d´, meta-d´, and </w:t>
      </w:r>
      <w:r>
        <w:rPr>
          <w:rFonts w:eastAsia="MS Mincho"/>
          <w:kern w:val="0"/>
        </w:rPr>
        <w:t>the m-ratio</w:t>
      </w:r>
      <w:r w:rsidRPr="00A4006F">
        <w:rPr>
          <w:rFonts w:eastAsia="MS Mincho"/>
          <w:kern w:val="0"/>
        </w:rPr>
        <w:t xml:space="preserve"> using conventional SDT and MLE</w:t>
      </w:r>
      <w:r>
        <w:rPr>
          <w:rFonts w:eastAsia="MS Mincho"/>
        </w:rPr>
        <w:t>. The result showed that the d´ was</w:t>
      </w:r>
      <w:r w:rsidRPr="00A4006F">
        <w:rPr>
          <w:rFonts w:eastAsia="MS Mincho"/>
        </w:rPr>
        <w:t xml:space="preserve"> significantly higher in the voluntary than in the involuntary condition (</w:t>
      </w:r>
      <w:r>
        <w:rPr>
          <w:rFonts w:eastAsia="MS Mincho"/>
        </w:rPr>
        <w:t>mean</w:t>
      </w:r>
      <w:r w:rsidRPr="001F52B4">
        <w:rPr>
          <w:rFonts w:eastAsia="MS Mincho"/>
          <w:vertAlign w:val="subscript"/>
        </w:rPr>
        <w:t>vol</w:t>
      </w:r>
      <w:r w:rsidRPr="00A4006F">
        <w:rPr>
          <w:rFonts w:eastAsia="MS Mincho"/>
        </w:rPr>
        <w:t xml:space="preserve"> = 1.51, </w:t>
      </w:r>
      <w:r>
        <w:rPr>
          <w:rFonts w:eastAsia="MS Mincho"/>
        </w:rPr>
        <w:t>mean</w:t>
      </w:r>
      <w:r w:rsidRPr="001F52B4">
        <w:rPr>
          <w:rFonts w:eastAsia="MS Mincho"/>
          <w:vertAlign w:val="subscript"/>
        </w:rPr>
        <w:t>invol</w:t>
      </w:r>
      <w:r w:rsidRPr="00A4006F">
        <w:rPr>
          <w:rFonts w:eastAsia="MS Mincho"/>
        </w:rPr>
        <w:t xml:space="preserve"> = 1.39</w:t>
      </w:r>
      <w:r>
        <w:rPr>
          <w:rFonts w:eastAsia="MS Mincho"/>
        </w:rPr>
        <w:t>;</w:t>
      </w:r>
      <w:r w:rsidRPr="00A4006F">
        <w:rPr>
          <w:rFonts w:eastAsia="MS Mincho"/>
        </w:rPr>
        <w:t xml:space="preserve"> </w:t>
      </w:r>
      <w:proofErr w:type="gramStart"/>
      <w:r w:rsidRPr="001F52B4">
        <w:rPr>
          <w:rFonts w:eastAsia="MS Mincho"/>
          <w:i/>
          <w:iCs/>
        </w:rPr>
        <w:t>t</w:t>
      </w:r>
      <w:r w:rsidRPr="00A4006F">
        <w:rPr>
          <w:rFonts w:eastAsia="MS Mincho"/>
        </w:rPr>
        <w:t>(</w:t>
      </w:r>
      <w:proofErr w:type="gramEnd"/>
      <w:r w:rsidRPr="00A4006F">
        <w:rPr>
          <w:rFonts w:eastAsia="MS Mincho"/>
        </w:rPr>
        <w:t xml:space="preserve">37) = 4.17, </w:t>
      </w:r>
      <w:r w:rsidRPr="001F52B4">
        <w:rPr>
          <w:rFonts w:eastAsia="MS Mincho"/>
          <w:i/>
          <w:iCs/>
        </w:rPr>
        <w:t>p</w:t>
      </w:r>
      <w:r w:rsidRPr="00A4006F">
        <w:rPr>
          <w:rFonts w:eastAsia="MS Mincho"/>
        </w:rPr>
        <w:t xml:space="preserve"> &lt; .001, Cohen</w:t>
      </w:r>
      <w:r>
        <w:rPr>
          <w:rFonts w:eastAsia="MS Mincho"/>
        </w:rPr>
        <w:t>’</w:t>
      </w:r>
      <w:r w:rsidRPr="00A4006F">
        <w:rPr>
          <w:rFonts w:eastAsia="MS Mincho"/>
        </w:rPr>
        <w:t xml:space="preserve">s </w:t>
      </w:r>
      <w:r w:rsidRPr="001F52B4">
        <w:rPr>
          <w:rFonts w:eastAsia="MS Mincho"/>
          <w:i/>
          <w:iCs/>
        </w:rPr>
        <w:t>d</w:t>
      </w:r>
      <w:r w:rsidRPr="00A4006F">
        <w:rPr>
          <w:rFonts w:eastAsia="MS Mincho"/>
        </w:rPr>
        <w:t xml:space="preserve"> = 0.68</w:t>
      </w:r>
      <w:r>
        <w:rPr>
          <w:rFonts w:eastAsia="MS Mincho"/>
        </w:rPr>
        <w:t>)</w:t>
      </w:r>
      <w:r w:rsidRPr="00A4006F">
        <w:rPr>
          <w:rFonts w:eastAsia="MS Mincho"/>
        </w:rPr>
        <w:t xml:space="preserve">. In contrast, neither </w:t>
      </w:r>
      <w:r>
        <w:rPr>
          <w:rFonts w:eastAsia="MS Mincho"/>
        </w:rPr>
        <w:t xml:space="preserve">meta-d´ </w:t>
      </w:r>
      <w:r w:rsidRPr="00A4006F">
        <w:rPr>
          <w:rFonts w:eastAsia="MS Mincho"/>
        </w:rPr>
        <w:t>(</w:t>
      </w:r>
      <w:r>
        <w:rPr>
          <w:rFonts w:eastAsia="MS Mincho"/>
        </w:rPr>
        <w:t>mean</w:t>
      </w:r>
      <w:r w:rsidRPr="001F52B4">
        <w:rPr>
          <w:rFonts w:eastAsia="MS Mincho"/>
          <w:vertAlign w:val="subscript"/>
        </w:rPr>
        <w:t>vol</w:t>
      </w:r>
      <w:r w:rsidRPr="00A4006F">
        <w:rPr>
          <w:rFonts w:eastAsia="MS Mincho"/>
        </w:rPr>
        <w:t xml:space="preserve"> = 1.40, </w:t>
      </w:r>
      <w:r>
        <w:rPr>
          <w:rFonts w:eastAsia="MS Mincho"/>
        </w:rPr>
        <w:t>mean</w:t>
      </w:r>
      <w:r w:rsidRPr="001F52B4">
        <w:rPr>
          <w:rFonts w:eastAsia="MS Mincho"/>
          <w:vertAlign w:val="subscript"/>
        </w:rPr>
        <w:t>invol</w:t>
      </w:r>
      <w:r w:rsidRPr="00A4006F">
        <w:rPr>
          <w:rFonts w:eastAsia="MS Mincho"/>
        </w:rPr>
        <w:t xml:space="preserve"> = 1.36</w:t>
      </w:r>
      <w:r>
        <w:rPr>
          <w:rFonts w:eastAsia="MS Mincho"/>
        </w:rPr>
        <w:t>;</w:t>
      </w:r>
      <w:r w:rsidRPr="00A4006F">
        <w:rPr>
          <w:rFonts w:eastAsia="MS Mincho"/>
        </w:rPr>
        <w:t xml:space="preserve"> </w:t>
      </w:r>
      <w:proofErr w:type="gramStart"/>
      <w:r w:rsidRPr="007F24C1">
        <w:rPr>
          <w:rFonts w:eastAsia="MS Mincho"/>
          <w:i/>
          <w:iCs/>
        </w:rPr>
        <w:t>t</w:t>
      </w:r>
      <w:r w:rsidRPr="00A4006F">
        <w:rPr>
          <w:rFonts w:eastAsia="MS Mincho"/>
        </w:rPr>
        <w:t>(</w:t>
      </w:r>
      <w:proofErr w:type="gramEnd"/>
      <w:r w:rsidRPr="00A4006F">
        <w:rPr>
          <w:rFonts w:eastAsia="MS Mincho"/>
        </w:rPr>
        <w:t xml:space="preserve">37) = 0.36, </w:t>
      </w:r>
      <w:r w:rsidRPr="007F24C1">
        <w:rPr>
          <w:rFonts w:eastAsia="MS Mincho"/>
          <w:i/>
          <w:iCs/>
        </w:rPr>
        <w:t>p</w:t>
      </w:r>
      <w:r w:rsidRPr="00A4006F">
        <w:rPr>
          <w:rFonts w:eastAsia="MS Mincho"/>
        </w:rPr>
        <w:t xml:space="preserve"> = .721, Cohen</w:t>
      </w:r>
      <w:r>
        <w:rPr>
          <w:rFonts w:eastAsia="MS Mincho"/>
        </w:rPr>
        <w:t>’</w:t>
      </w:r>
      <w:r w:rsidRPr="00A4006F">
        <w:rPr>
          <w:rFonts w:eastAsia="MS Mincho"/>
        </w:rPr>
        <w:t xml:space="preserve">s </w:t>
      </w:r>
      <w:r w:rsidRPr="001F52B4">
        <w:rPr>
          <w:rFonts w:eastAsia="MS Mincho"/>
          <w:i/>
          <w:iCs/>
        </w:rPr>
        <w:t>d</w:t>
      </w:r>
      <w:r>
        <w:rPr>
          <w:rFonts w:eastAsia="MS Mincho"/>
          <w:i/>
          <w:iCs/>
        </w:rPr>
        <w:t xml:space="preserve"> </w:t>
      </w:r>
      <w:r w:rsidRPr="00A4006F">
        <w:rPr>
          <w:rFonts w:eastAsia="MS Mincho"/>
        </w:rPr>
        <w:t>= 0.06</w:t>
      </w:r>
      <w:r>
        <w:rPr>
          <w:rFonts w:eastAsia="MS Mincho"/>
        </w:rPr>
        <w:t>)</w:t>
      </w:r>
      <w:r w:rsidRPr="00A4006F">
        <w:rPr>
          <w:rFonts w:eastAsia="MS Mincho"/>
        </w:rPr>
        <w:t xml:space="preserve"> nor </w:t>
      </w:r>
      <w:r>
        <w:rPr>
          <w:rFonts w:eastAsia="MS Mincho"/>
        </w:rPr>
        <w:t xml:space="preserve">the m-ratio </w:t>
      </w:r>
      <w:r w:rsidRPr="00A4006F">
        <w:rPr>
          <w:rFonts w:eastAsia="MS Mincho"/>
        </w:rPr>
        <w:t>(</w:t>
      </w:r>
      <w:r>
        <w:rPr>
          <w:rFonts w:eastAsia="MS Mincho"/>
        </w:rPr>
        <w:t>mean</w:t>
      </w:r>
      <w:r w:rsidRPr="001F52B4">
        <w:rPr>
          <w:rFonts w:eastAsia="MS Mincho"/>
          <w:vertAlign w:val="subscript"/>
        </w:rPr>
        <w:t>vol</w:t>
      </w:r>
      <w:r w:rsidRPr="00A4006F">
        <w:rPr>
          <w:rFonts w:eastAsia="MS Mincho"/>
        </w:rPr>
        <w:t xml:space="preserve"> = 0.93</w:t>
      </w:r>
      <w:r>
        <w:rPr>
          <w:rFonts w:eastAsia="MS Mincho"/>
        </w:rPr>
        <w:t>, mean</w:t>
      </w:r>
      <w:r w:rsidRPr="001F52B4">
        <w:rPr>
          <w:rFonts w:eastAsia="MS Mincho"/>
          <w:vertAlign w:val="subscript"/>
        </w:rPr>
        <w:t>invol</w:t>
      </w:r>
      <w:r w:rsidRPr="00A4006F">
        <w:rPr>
          <w:rFonts w:eastAsia="MS Mincho"/>
        </w:rPr>
        <w:t xml:space="preserve"> = 0.98</w:t>
      </w:r>
      <w:r>
        <w:rPr>
          <w:rFonts w:eastAsia="MS Mincho"/>
        </w:rPr>
        <w:t>;</w:t>
      </w:r>
      <w:r w:rsidRPr="00A4006F">
        <w:rPr>
          <w:rFonts w:eastAsia="MS Mincho"/>
        </w:rPr>
        <w:t xml:space="preserve"> </w:t>
      </w:r>
      <w:proofErr w:type="gramStart"/>
      <w:r w:rsidRPr="007F24C1">
        <w:rPr>
          <w:rFonts w:eastAsia="MS Mincho"/>
          <w:i/>
          <w:iCs/>
        </w:rPr>
        <w:t>t</w:t>
      </w:r>
      <w:r w:rsidRPr="00A4006F">
        <w:rPr>
          <w:rFonts w:eastAsia="MS Mincho"/>
        </w:rPr>
        <w:t>(</w:t>
      </w:r>
      <w:proofErr w:type="gramEnd"/>
      <w:r w:rsidRPr="00A4006F">
        <w:rPr>
          <w:rFonts w:eastAsia="MS Mincho"/>
        </w:rPr>
        <w:t xml:space="preserve">37) = −0.75, </w:t>
      </w:r>
      <w:r w:rsidRPr="007F24C1">
        <w:rPr>
          <w:rFonts w:eastAsia="MS Mincho"/>
          <w:i/>
          <w:iCs/>
        </w:rPr>
        <w:t>p</w:t>
      </w:r>
      <w:r w:rsidRPr="00A4006F">
        <w:rPr>
          <w:rFonts w:eastAsia="MS Mincho"/>
        </w:rPr>
        <w:t xml:space="preserve"> = .457, Cohen</w:t>
      </w:r>
      <w:r>
        <w:rPr>
          <w:rFonts w:eastAsia="MS Mincho"/>
        </w:rPr>
        <w:t>’</w:t>
      </w:r>
      <w:r w:rsidRPr="00A4006F">
        <w:rPr>
          <w:rFonts w:eastAsia="MS Mincho"/>
        </w:rPr>
        <w:t xml:space="preserve">s </w:t>
      </w:r>
      <w:r w:rsidRPr="001F52B4">
        <w:rPr>
          <w:rFonts w:eastAsia="MS Mincho"/>
          <w:i/>
          <w:iCs/>
        </w:rPr>
        <w:t>d</w:t>
      </w:r>
      <w:r w:rsidRPr="00A4006F">
        <w:rPr>
          <w:rFonts w:eastAsia="MS Mincho"/>
        </w:rPr>
        <w:t xml:space="preserve"> = </w:t>
      </w:r>
      <w:r>
        <w:rPr>
          <w:rFonts w:eastAsia="MS Mincho"/>
        </w:rPr>
        <w:t>-</w:t>
      </w:r>
      <w:r w:rsidRPr="00A4006F">
        <w:rPr>
          <w:rFonts w:eastAsia="MS Mincho"/>
        </w:rPr>
        <w:t>0.12</w:t>
      </w:r>
      <w:r>
        <w:rPr>
          <w:rFonts w:eastAsia="MS Mincho"/>
        </w:rPr>
        <w:t>)</w:t>
      </w:r>
      <w:r w:rsidRPr="00A4006F">
        <w:rPr>
          <w:rFonts w:eastAsia="MS Mincho"/>
        </w:rPr>
        <w:t>, differed significantly between conditions. These results were consistent with those obtained from the hierarchical Bayesian modeling.</w:t>
      </w:r>
    </w:p>
    <w:p w14:paraId="365D8B09" w14:textId="77777777" w:rsidR="00233042" w:rsidRDefault="00233042" w:rsidP="00233042">
      <w:pPr>
        <w:widowControl/>
        <w:jc w:val="left"/>
      </w:pPr>
    </w:p>
    <w:p w14:paraId="67EDDAB7" w14:textId="77777777" w:rsidR="00233042" w:rsidRDefault="00233042" w:rsidP="00233042">
      <w:pPr>
        <w:widowControl/>
        <w:jc w:val="left"/>
      </w:pPr>
    </w:p>
    <w:p w14:paraId="6BF26B32" w14:textId="745C4EDD" w:rsidR="00B825C5" w:rsidRPr="00B825C5" w:rsidRDefault="00B825C5" w:rsidP="006B0559">
      <w:pPr>
        <w:keepNext/>
        <w:spacing w:line="360" w:lineRule="auto"/>
      </w:pPr>
      <w:r>
        <w:rPr>
          <w:rFonts w:cs="Times New Roman"/>
          <w:noProof/>
          <w:color w:val="000000" w:themeColor="text1"/>
          <w:szCs w:val="24"/>
        </w:rPr>
        <w:drawing>
          <wp:inline distT="0" distB="0" distL="0" distR="0" wp14:anchorId="0F90C1FA" wp14:editId="4DD60E94">
            <wp:extent cx="5400040" cy="2477665"/>
            <wp:effectExtent l="0" t="0" r="0" b="0"/>
            <wp:docPr id="6616527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652736"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00040" cy="2477665"/>
                    </a:xfrm>
                    <a:prstGeom prst="rect">
                      <a:avLst/>
                    </a:prstGeom>
                  </pic:spPr>
                </pic:pic>
              </a:graphicData>
            </a:graphic>
          </wp:inline>
        </w:drawing>
      </w:r>
      <w:r w:rsidRPr="00B825C5">
        <w:rPr>
          <w:b/>
          <w:bCs/>
        </w:rPr>
        <w:t>Figure S</w:t>
      </w:r>
      <w:r w:rsidRPr="00B825C5">
        <w:rPr>
          <w:b/>
          <w:bCs/>
        </w:rPr>
        <w:fldChar w:fldCharType="begin"/>
      </w:r>
      <w:r w:rsidRPr="00B825C5">
        <w:rPr>
          <w:b/>
          <w:bCs/>
        </w:rPr>
        <w:instrText xml:space="preserve"> SEQ Figure_S \* ARABIC </w:instrText>
      </w:r>
      <w:r w:rsidRPr="00B825C5">
        <w:rPr>
          <w:b/>
          <w:bCs/>
        </w:rPr>
        <w:fldChar w:fldCharType="separate"/>
      </w:r>
      <w:r w:rsidRPr="00B825C5">
        <w:rPr>
          <w:b/>
          <w:bCs/>
          <w:noProof/>
        </w:rPr>
        <w:t>5</w:t>
      </w:r>
      <w:r w:rsidRPr="00B825C5">
        <w:rPr>
          <w:b/>
          <w:bCs/>
        </w:rPr>
        <w:fldChar w:fldCharType="end"/>
      </w:r>
      <w:r>
        <w:rPr>
          <w:b/>
          <w:bCs/>
        </w:rPr>
        <w:t>.</w:t>
      </w:r>
      <w:r w:rsidR="006B0559">
        <w:rPr>
          <w:b/>
          <w:bCs/>
        </w:rPr>
        <w:t xml:space="preserve"> </w:t>
      </w:r>
      <w:r w:rsidR="006B0559" w:rsidRPr="006B0559">
        <w:t>T</w:t>
      </w:r>
      <w:r w:rsidR="006B0559">
        <w:t xml:space="preserve">he results estimated using SDT and MLE in Experiment 2. A paired </w:t>
      </w:r>
      <w:r w:rsidR="006B0559" w:rsidRPr="006B0559">
        <w:rPr>
          <w:i/>
          <w:iCs/>
        </w:rPr>
        <w:t>t</w:t>
      </w:r>
      <w:r w:rsidR="006B0559">
        <w:t>-test showed that a significant difference in d´</w:t>
      </w:r>
      <w:r w:rsidR="00DD6DD0">
        <w:t xml:space="preserve"> (</w:t>
      </w:r>
      <w:proofErr w:type="gramStart"/>
      <w:r w:rsidR="00DD6DD0" w:rsidRPr="00DD6DD0">
        <w:rPr>
          <w:i/>
          <w:iCs/>
        </w:rPr>
        <w:t>t</w:t>
      </w:r>
      <w:r w:rsidR="00DD6DD0">
        <w:t>(</w:t>
      </w:r>
      <w:proofErr w:type="gramEnd"/>
      <w:r w:rsidR="00DD6DD0">
        <w:t xml:space="preserve">37) = 4.17, </w:t>
      </w:r>
      <w:r w:rsidR="00DD6DD0" w:rsidRPr="00DD6DD0">
        <w:rPr>
          <w:i/>
          <w:iCs/>
        </w:rPr>
        <w:t>p</w:t>
      </w:r>
      <w:r w:rsidR="00DD6DD0">
        <w:t xml:space="preserve"> &lt; .001, Cohen’s </w:t>
      </w:r>
      <w:r w:rsidR="00DD6DD0" w:rsidRPr="00DD6DD0">
        <w:rPr>
          <w:i/>
          <w:iCs/>
        </w:rPr>
        <w:t>d</w:t>
      </w:r>
      <w:r w:rsidR="00DD6DD0">
        <w:t xml:space="preserve"> = 0.68)</w:t>
      </w:r>
      <w:r w:rsidR="006B0559">
        <w:t xml:space="preserve"> </w:t>
      </w:r>
      <w:r w:rsidR="0062587B">
        <w:t>with higher sensitivity in the voluntary condition</w:t>
      </w:r>
      <w:r w:rsidR="006B0559">
        <w:t>. In contrast, neither meta-d´</w:t>
      </w:r>
      <w:r w:rsidR="00DD6DD0">
        <w:t xml:space="preserve"> (</w:t>
      </w:r>
      <w:proofErr w:type="gramStart"/>
      <w:r w:rsidR="00DD6DD0" w:rsidRPr="00DD6DD0">
        <w:rPr>
          <w:i/>
          <w:iCs/>
        </w:rPr>
        <w:t>t</w:t>
      </w:r>
      <w:r w:rsidR="00DD6DD0">
        <w:t>(</w:t>
      </w:r>
      <w:proofErr w:type="gramEnd"/>
      <w:r w:rsidR="00DD6DD0">
        <w:t xml:space="preserve">37) = 0.36, </w:t>
      </w:r>
      <w:r w:rsidR="00DD6DD0" w:rsidRPr="00DD6DD0">
        <w:rPr>
          <w:i/>
          <w:iCs/>
        </w:rPr>
        <w:t>p</w:t>
      </w:r>
      <w:r w:rsidR="00DD6DD0">
        <w:t xml:space="preserve"> = .721, Cohen’s </w:t>
      </w:r>
      <w:r w:rsidR="00DD6DD0" w:rsidRPr="00DD6DD0">
        <w:rPr>
          <w:i/>
          <w:iCs/>
        </w:rPr>
        <w:t>d</w:t>
      </w:r>
      <w:r w:rsidR="00DD6DD0">
        <w:t xml:space="preserve"> = 0.06)</w:t>
      </w:r>
      <w:r w:rsidR="006B0559">
        <w:t xml:space="preserve"> nor m-ratio</w:t>
      </w:r>
      <w:r w:rsidR="00785914">
        <w:t xml:space="preserve"> (</w:t>
      </w:r>
      <w:proofErr w:type="gramStart"/>
      <w:r w:rsidR="00785914" w:rsidRPr="00DD6DD0">
        <w:rPr>
          <w:i/>
          <w:iCs/>
        </w:rPr>
        <w:t>t</w:t>
      </w:r>
      <w:r w:rsidR="00785914">
        <w:t>(</w:t>
      </w:r>
      <w:proofErr w:type="gramEnd"/>
      <w:r w:rsidR="00785914">
        <w:t xml:space="preserve">37) = -0.75, </w:t>
      </w:r>
      <w:r w:rsidR="00785914" w:rsidRPr="00DD6DD0">
        <w:rPr>
          <w:i/>
          <w:iCs/>
        </w:rPr>
        <w:t>p</w:t>
      </w:r>
      <w:r w:rsidR="00785914">
        <w:t xml:space="preserve"> = .457, Cohen’s </w:t>
      </w:r>
      <w:r w:rsidR="00785914" w:rsidRPr="00DD6DD0">
        <w:rPr>
          <w:i/>
          <w:iCs/>
        </w:rPr>
        <w:t>d</w:t>
      </w:r>
      <w:r w:rsidR="00785914">
        <w:t xml:space="preserve"> = -0.12)</w:t>
      </w:r>
      <w:r w:rsidR="006B0559">
        <w:t xml:space="preserve"> differed between the conditions. Regarding the across-participant correlations </w:t>
      </w:r>
      <w:r w:rsidR="0062587B">
        <w:t>between the two conditions</w:t>
      </w:r>
      <w:r w:rsidR="006B0559">
        <w:t xml:space="preserve"> for each measure,</w:t>
      </w:r>
      <w:r w:rsidR="0096728C">
        <w:t xml:space="preserve"> the correlation was significant for the m-ratio (</w:t>
      </w:r>
      <w:r w:rsidR="0096728C" w:rsidRPr="0004315B">
        <w:rPr>
          <w:i/>
          <w:iCs/>
        </w:rPr>
        <w:t>r</w:t>
      </w:r>
      <w:r w:rsidR="0096728C">
        <w:t xml:space="preserve"> = 0.32, </w:t>
      </w:r>
      <w:r w:rsidR="0096728C" w:rsidRPr="0004315B">
        <w:rPr>
          <w:i/>
          <w:iCs/>
        </w:rPr>
        <w:t>p</w:t>
      </w:r>
      <w:r w:rsidR="0096728C">
        <w:t xml:space="preserve"> </w:t>
      </w:r>
      <w:r w:rsidR="0096728C">
        <w:lastRenderedPageBreak/>
        <w:t>= .047</w:t>
      </w:r>
      <w:r w:rsidR="0096728C">
        <w:t>), whereas it was not significant for d´ (</w:t>
      </w:r>
      <w:r w:rsidR="0096728C" w:rsidRPr="0004315B">
        <w:rPr>
          <w:i/>
          <w:iCs/>
        </w:rPr>
        <w:t>r</w:t>
      </w:r>
      <w:r w:rsidR="0096728C">
        <w:t xml:space="preserve"> = 0.29, </w:t>
      </w:r>
      <w:r w:rsidR="0096728C" w:rsidRPr="0004315B">
        <w:rPr>
          <w:i/>
          <w:iCs/>
        </w:rPr>
        <w:t>p</w:t>
      </w:r>
      <w:r w:rsidR="0096728C">
        <w:t xml:space="preserve"> = .074</w:t>
      </w:r>
      <w:r w:rsidR="0096728C">
        <w:t>) or meta-d´</w:t>
      </w:r>
      <w:r w:rsidR="0040660F">
        <w:t xml:space="preserve"> (</w:t>
      </w:r>
      <w:r w:rsidR="0004315B">
        <w:t xml:space="preserve">meta-d´: </w:t>
      </w:r>
      <w:r w:rsidR="0096728C" w:rsidRPr="0004315B">
        <w:rPr>
          <w:i/>
          <w:iCs/>
        </w:rPr>
        <w:t>r</w:t>
      </w:r>
      <w:r w:rsidR="0096728C">
        <w:t xml:space="preserve"> = 0.18, </w:t>
      </w:r>
      <w:r w:rsidR="0096728C" w:rsidRPr="0004315B">
        <w:rPr>
          <w:i/>
          <w:iCs/>
        </w:rPr>
        <w:t>p</w:t>
      </w:r>
      <w:r w:rsidR="0096728C">
        <w:t xml:space="preserve"> = .290</w:t>
      </w:r>
      <w:r w:rsidR="009338F7">
        <w:t>).</w:t>
      </w:r>
    </w:p>
    <w:p w14:paraId="2AC2C8A7" w14:textId="5504B495" w:rsidR="00B66B92" w:rsidRDefault="00B66B92" w:rsidP="00536A34">
      <w:pPr>
        <w:widowControl/>
        <w:jc w:val="left"/>
        <w:rPr>
          <w:rFonts w:cs="Times New Roman"/>
          <w:color w:val="000000" w:themeColor="text1"/>
          <w:szCs w:val="24"/>
        </w:rPr>
      </w:pPr>
    </w:p>
    <w:p w14:paraId="605F4D24" w14:textId="55174B64" w:rsidR="00B825C5" w:rsidRPr="00536A34" w:rsidRDefault="00B825C5" w:rsidP="00536A34">
      <w:pPr>
        <w:widowControl/>
        <w:jc w:val="left"/>
        <w:rPr>
          <w:rFonts w:cs="Times New Roman"/>
          <w:color w:val="000000" w:themeColor="text1"/>
          <w:szCs w:val="24"/>
        </w:rPr>
      </w:pPr>
    </w:p>
    <w:sectPr w:rsidR="00B825C5" w:rsidRPr="00536A34" w:rsidSect="003D2DFE">
      <w:footerReference w:type="default" r:id="rId13"/>
      <w:pgSz w:w="11906" w:h="16838"/>
      <w:pgMar w:top="1985" w:right="1701" w:bottom="1701" w:left="1701" w:header="851" w:footer="992" w:gutter="0"/>
      <w:lnNumType w:countBy="1" w:restart="continuous"/>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054CDA" w14:textId="77777777" w:rsidR="00ED55FE" w:rsidRDefault="00ED55FE" w:rsidP="00955E2E">
      <w:r>
        <w:separator/>
      </w:r>
    </w:p>
  </w:endnote>
  <w:endnote w:type="continuationSeparator" w:id="0">
    <w:p w14:paraId="52D73344" w14:textId="77777777" w:rsidR="00ED55FE" w:rsidRDefault="00ED55FE" w:rsidP="00955E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Headings CS)">
    <w:altName w:val="Times New Roman"/>
    <w:panose1 w:val="020B0604020202020204"/>
    <w:charset w:val="00"/>
    <w:family w:val="roman"/>
    <w:pitch w:val="default"/>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69666639"/>
      <w:docPartObj>
        <w:docPartGallery w:val="Page Numbers (Bottom of Page)"/>
        <w:docPartUnique/>
      </w:docPartObj>
    </w:sdtPr>
    <w:sdtEndPr>
      <w:rPr>
        <w:rFonts w:cs="Times New Roman"/>
        <w:szCs w:val="28"/>
      </w:rPr>
    </w:sdtEndPr>
    <w:sdtContent>
      <w:p w14:paraId="5A78D8C4" w14:textId="456D52A9" w:rsidR="00C410C9" w:rsidRPr="00AF3B9E" w:rsidRDefault="00C410C9">
        <w:pPr>
          <w:pStyle w:val="Footer"/>
          <w:jc w:val="center"/>
          <w:rPr>
            <w:rFonts w:cs="Times New Roman"/>
            <w:szCs w:val="28"/>
          </w:rPr>
        </w:pPr>
        <w:r w:rsidRPr="00AF3B9E">
          <w:rPr>
            <w:rFonts w:cs="Times New Roman"/>
            <w:szCs w:val="28"/>
          </w:rPr>
          <w:fldChar w:fldCharType="begin"/>
        </w:r>
        <w:r w:rsidRPr="00AF3B9E">
          <w:rPr>
            <w:rFonts w:cs="Times New Roman"/>
            <w:szCs w:val="28"/>
          </w:rPr>
          <w:instrText>PAGE   \* MERGEFORMAT</w:instrText>
        </w:r>
        <w:r w:rsidRPr="00AF3B9E">
          <w:rPr>
            <w:rFonts w:cs="Times New Roman"/>
            <w:szCs w:val="28"/>
          </w:rPr>
          <w:fldChar w:fldCharType="separate"/>
        </w:r>
        <w:r w:rsidR="0092655C" w:rsidRPr="0092655C">
          <w:rPr>
            <w:rFonts w:cs="Times New Roman"/>
            <w:noProof/>
            <w:szCs w:val="28"/>
            <w:lang w:val="ja-JP"/>
          </w:rPr>
          <w:t>13</w:t>
        </w:r>
        <w:r w:rsidRPr="00AF3B9E">
          <w:rPr>
            <w:rFonts w:cs="Times New Roman"/>
            <w:szCs w:val="28"/>
          </w:rPr>
          <w:fldChar w:fldCharType="end"/>
        </w:r>
      </w:p>
    </w:sdtContent>
  </w:sdt>
  <w:p w14:paraId="28680566" w14:textId="77777777" w:rsidR="00C410C9" w:rsidRDefault="00C410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7403AE" w14:textId="77777777" w:rsidR="00ED55FE" w:rsidRDefault="00ED55FE" w:rsidP="00955E2E">
      <w:r>
        <w:separator/>
      </w:r>
    </w:p>
  </w:footnote>
  <w:footnote w:type="continuationSeparator" w:id="0">
    <w:p w14:paraId="3A69BE07" w14:textId="77777777" w:rsidR="00ED55FE" w:rsidRDefault="00ED55FE" w:rsidP="00955E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5629BA"/>
    <w:multiLevelType w:val="hybridMultilevel"/>
    <w:tmpl w:val="0A1E69F2"/>
    <w:lvl w:ilvl="0" w:tplc="BEA67D22">
      <w:start w:val="1"/>
      <w:numFmt w:val="bullet"/>
      <w:lvlText w:val="·"/>
      <w:lvlJc w:val="left"/>
      <w:pPr>
        <w:ind w:left="420" w:hanging="420"/>
      </w:pPr>
      <w:rPr>
        <w:rFonts w:ascii="Times New Roman" w:hAnsi="Times New Roman" w:cs="Times New Roman" w:hint="default"/>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1" w15:restartNumberingAfterBreak="0">
    <w:nsid w:val="3ED403A4"/>
    <w:multiLevelType w:val="hybridMultilevel"/>
    <w:tmpl w:val="9502DDF8"/>
    <w:lvl w:ilvl="0" w:tplc="0A129A18">
      <w:start w:val="1"/>
      <w:numFmt w:val="upperLetter"/>
      <w:lvlText w:val="%1)"/>
      <w:lvlJc w:val="left"/>
      <w:pPr>
        <w:ind w:left="1020" w:hanging="360"/>
      </w:pPr>
    </w:lvl>
    <w:lvl w:ilvl="1" w:tplc="F47CF02A">
      <w:start w:val="1"/>
      <w:numFmt w:val="upperLetter"/>
      <w:lvlText w:val="%2)"/>
      <w:lvlJc w:val="left"/>
      <w:pPr>
        <w:ind w:left="1020" w:hanging="360"/>
      </w:pPr>
    </w:lvl>
    <w:lvl w:ilvl="2" w:tplc="2A7417CC">
      <w:start w:val="1"/>
      <w:numFmt w:val="upperLetter"/>
      <w:lvlText w:val="%3)"/>
      <w:lvlJc w:val="left"/>
      <w:pPr>
        <w:ind w:left="1020" w:hanging="360"/>
      </w:pPr>
    </w:lvl>
    <w:lvl w:ilvl="3" w:tplc="60A8988C">
      <w:start w:val="1"/>
      <w:numFmt w:val="upperLetter"/>
      <w:lvlText w:val="%4)"/>
      <w:lvlJc w:val="left"/>
      <w:pPr>
        <w:ind w:left="1020" w:hanging="360"/>
      </w:pPr>
    </w:lvl>
    <w:lvl w:ilvl="4" w:tplc="D1880734">
      <w:start w:val="1"/>
      <w:numFmt w:val="upperLetter"/>
      <w:lvlText w:val="%5)"/>
      <w:lvlJc w:val="left"/>
      <w:pPr>
        <w:ind w:left="1020" w:hanging="360"/>
      </w:pPr>
    </w:lvl>
    <w:lvl w:ilvl="5" w:tplc="BA0E264E">
      <w:start w:val="1"/>
      <w:numFmt w:val="upperLetter"/>
      <w:lvlText w:val="%6)"/>
      <w:lvlJc w:val="left"/>
      <w:pPr>
        <w:ind w:left="1020" w:hanging="360"/>
      </w:pPr>
    </w:lvl>
    <w:lvl w:ilvl="6" w:tplc="EB40B28A">
      <w:start w:val="1"/>
      <w:numFmt w:val="upperLetter"/>
      <w:lvlText w:val="%7)"/>
      <w:lvlJc w:val="left"/>
      <w:pPr>
        <w:ind w:left="1020" w:hanging="360"/>
      </w:pPr>
    </w:lvl>
    <w:lvl w:ilvl="7" w:tplc="D234B582">
      <w:start w:val="1"/>
      <w:numFmt w:val="upperLetter"/>
      <w:lvlText w:val="%8)"/>
      <w:lvlJc w:val="left"/>
      <w:pPr>
        <w:ind w:left="1020" w:hanging="360"/>
      </w:pPr>
    </w:lvl>
    <w:lvl w:ilvl="8" w:tplc="E9CCF99A">
      <w:start w:val="1"/>
      <w:numFmt w:val="upperLetter"/>
      <w:lvlText w:val="%9)"/>
      <w:lvlJc w:val="left"/>
      <w:pPr>
        <w:ind w:left="1020" w:hanging="360"/>
      </w:pPr>
    </w:lvl>
  </w:abstractNum>
  <w:abstractNum w:abstractNumId="2" w15:restartNumberingAfterBreak="0">
    <w:nsid w:val="55557278"/>
    <w:multiLevelType w:val="hybridMultilevel"/>
    <w:tmpl w:val="788E58D0"/>
    <w:lvl w:ilvl="0" w:tplc="0F76875C">
      <w:start w:val="1"/>
      <w:numFmt w:val="bullet"/>
      <w:lvlText w:val=""/>
      <w:lvlJc w:val="left"/>
      <w:pPr>
        <w:ind w:left="360" w:hanging="360"/>
      </w:pPr>
      <w:rPr>
        <w:rFonts w:ascii="Wingdings" w:eastAsiaTheme="minorEastAsia" w:hAnsi="Wingdings"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56541063"/>
    <w:multiLevelType w:val="hybridMultilevel"/>
    <w:tmpl w:val="A7C852A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7B7524B"/>
    <w:multiLevelType w:val="hybridMultilevel"/>
    <w:tmpl w:val="2F320488"/>
    <w:lvl w:ilvl="0" w:tplc="27FEB7D6">
      <w:start w:val="5"/>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2A5158F"/>
    <w:multiLevelType w:val="multilevel"/>
    <w:tmpl w:val="A77E3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5148932">
    <w:abstractNumId w:val="3"/>
  </w:num>
  <w:num w:numId="2" w16cid:durableId="791946840">
    <w:abstractNumId w:val="0"/>
  </w:num>
  <w:num w:numId="3" w16cid:durableId="380784221">
    <w:abstractNumId w:val="2"/>
  </w:num>
  <w:num w:numId="4" w16cid:durableId="603349054">
    <w:abstractNumId w:val="1"/>
  </w:num>
  <w:num w:numId="5" w16cid:durableId="2025863058">
    <w:abstractNumId w:val="4"/>
  </w:num>
  <w:num w:numId="6" w16cid:durableId="836068643">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6"/>
  <w:bordersDoNotSurroundHeader/>
  <w:bordersDoNotSurroundFooter/>
  <w:proofState w:grammar="clean"/>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QzMDA0MTExMzMyNLZU0lEKTi0uzszPAykwNq0FAGavO4ctAAAA"/>
    <w:docVar w:name="paperpile-clusterType" w:val="normal"/>
    <w:docVar w:name="paperpile-doc-id" w:val="I184W244S534P245"/>
    <w:docVar w:name="paperpile-doc-name" w:val="Manuscript_KT_v5.docx"/>
    <w:docVar w:name="paperpile-includeDoi" w:val="false"/>
    <w:docVar w:name="paperpile-styleFile" w:val="apa.csl"/>
    <w:docVar w:name="paperpile-styleId" w:val="pp-apa7"/>
    <w:docVar w:name="paperpile-styleLabel" w:val="American Psychological Association 7th edition"/>
    <w:docVar w:name="paperpile-styleLocale" w:val="en-US"/>
  </w:docVars>
  <w:rsids>
    <w:rsidRoot w:val="001027DF"/>
    <w:rsid w:val="00000388"/>
    <w:rsid w:val="00001892"/>
    <w:rsid w:val="00001AC5"/>
    <w:rsid w:val="00001F91"/>
    <w:rsid w:val="00002FF7"/>
    <w:rsid w:val="00003629"/>
    <w:rsid w:val="00003CB6"/>
    <w:rsid w:val="00004A7C"/>
    <w:rsid w:val="000051A4"/>
    <w:rsid w:val="000073F3"/>
    <w:rsid w:val="00010387"/>
    <w:rsid w:val="0001100A"/>
    <w:rsid w:val="00011409"/>
    <w:rsid w:val="00014609"/>
    <w:rsid w:val="00014E04"/>
    <w:rsid w:val="000154A6"/>
    <w:rsid w:val="00015E21"/>
    <w:rsid w:val="000173DA"/>
    <w:rsid w:val="00017752"/>
    <w:rsid w:val="000204BC"/>
    <w:rsid w:val="000207A3"/>
    <w:rsid w:val="000209FC"/>
    <w:rsid w:val="00020C9D"/>
    <w:rsid w:val="00020F49"/>
    <w:rsid w:val="000210AD"/>
    <w:rsid w:val="00021EF4"/>
    <w:rsid w:val="000221CA"/>
    <w:rsid w:val="000224C6"/>
    <w:rsid w:val="00022BA2"/>
    <w:rsid w:val="00024D8A"/>
    <w:rsid w:val="000254F5"/>
    <w:rsid w:val="00025718"/>
    <w:rsid w:val="00025BCB"/>
    <w:rsid w:val="000260ED"/>
    <w:rsid w:val="000300A7"/>
    <w:rsid w:val="00030A9B"/>
    <w:rsid w:val="00031F29"/>
    <w:rsid w:val="000326C8"/>
    <w:rsid w:val="000328A2"/>
    <w:rsid w:val="00032A28"/>
    <w:rsid w:val="000336A4"/>
    <w:rsid w:val="00034FBA"/>
    <w:rsid w:val="00035188"/>
    <w:rsid w:val="00035A22"/>
    <w:rsid w:val="00036A9F"/>
    <w:rsid w:val="00037421"/>
    <w:rsid w:val="00037456"/>
    <w:rsid w:val="00040009"/>
    <w:rsid w:val="00040873"/>
    <w:rsid w:val="000420EE"/>
    <w:rsid w:val="000422BA"/>
    <w:rsid w:val="00042F0B"/>
    <w:rsid w:val="0004315B"/>
    <w:rsid w:val="00043517"/>
    <w:rsid w:val="000458A4"/>
    <w:rsid w:val="00046A73"/>
    <w:rsid w:val="00047AF7"/>
    <w:rsid w:val="0005099E"/>
    <w:rsid w:val="000509EF"/>
    <w:rsid w:val="0005169D"/>
    <w:rsid w:val="000517F5"/>
    <w:rsid w:val="00052AAF"/>
    <w:rsid w:val="00052D56"/>
    <w:rsid w:val="000533F9"/>
    <w:rsid w:val="00053456"/>
    <w:rsid w:val="00053D88"/>
    <w:rsid w:val="00053FDF"/>
    <w:rsid w:val="000551C1"/>
    <w:rsid w:val="000555B7"/>
    <w:rsid w:val="000558A5"/>
    <w:rsid w:val="00055E29"/>
    <w:rsid w:val="00055F26"/>
    <w:rsid w:val="000564FB"/>
    <w:rsid w:val="00060549"/>
    <w:rsid w:val="000605AF"/>
    <w:rsid w:val="00060833"/>
    <w:rsid w:val="00060C06"/>
    <w:rsid w:val="00060D02"/>
    <w:rsid w:val="0006223E"/>
    <w:rsid w:val="00062280"/>
    <w:rsid w:val="00063019"/>
    <w:rsid w:val="000632EB"/>
    <w:rsid w:val="0006433E"/>
    <w:rsid w:val="00064C26"/>
    <w:rsid w:val="0006558A"/>
    <w:rsid w:val="0006598B"/>
    <w:rsid w:val="00067782"/>
    <w:rsid w:val="0007028E"/>
    <w:rsid w:val="00070D02"/>
    <w:rsid w:val="000713BD"/>
    <w:rsid w:val="00071941"/>
    <w:rsid w:val="00071B69"/>
    <w:rsid w:val="00072170"/>
    <w:rsid w:val="0007234E"/>
    <w:rsid w:val="00072A9D"/>
    <w:rsid w:val="0007323D"/>
    <w:rsid w:val="00073F68"/>
    <w:rsid w:val="00074E90"/>
    <w:rsid w:val="00074ECC"/>
    <w:rsid w:val="00075375"/>
    <w:rsid w:val="00076AC6"/>
    <w:rsid w:val="00076BFA"/>
    <w:rsid w:val="00076C51"/>
    <w:rsid w:val="00077471"/>
    <w:rsid w:val="000776B7"/>
    <w:rsid w:val="000777C0"/>
    <w:rsid w:val="00077ACA"/>
    <w:rsid w:val="000802FE"/>
    <w:rsid w:val="00080562"/>
    <w:rsid w:val="00080774"/>
    <w:rsid w:val="00080827"/>
    <w:rsid w:val="000809EA"/>
    <w:rsid w:val="0008122F"/>
    <w:rsid w:val="000838AE"/>
    <w:rsid w:val="0008516A"/>
    <w:rsid w:val="0008672B"/>
    <w:rsid w:val="00086BB7"/>
    <w:rsid w:val="00090154"/>
    <w:rsid w:val="00090FCF"/>
    <w:rsid w:val="0009237F"/>
    <w:rsid w:val="000925F3"/>
    <w:rsid w:val="00093F3B"/>
    <w:rsid w:val="00094ADC"/>
    <w:rsid w:val="00094BE2"/>
    <w:rsid w:val="00096045"/>
    <w:rsid w:val="000969EC"/>
    <w:rsid w:val="00096E1E"/>
    <w:rsid w:val="0009777C"/>
    <w:rsid w:val="00097FBB"/>
    <w:rsid w:val="000A32E6"/>
    <w:rsid w:val="000A36C0"/>
    <w:rsid w:val="000A43ED"/>
    <w:rsid w:val="000A506F"/>
    <w:rsid w:val="000A53E9"/>
    <w:rsid w:val="000A5D47"/>
    <w:rsid w:val="000A64E1"/>
    <w:rsid w:val="000A65D0"/>
    <w:rsid w:val="000A6DB7"/>
    <w:rsid w:val="000A709A"/>
    <w:rsid w:val="000A7A89"/>
    <w:rsid w:val="000B065B"/>
    <w:rsid w:val="000B06E0"/>
    <w:rsid w:val="000B0C1E"/>
    <w:rsid w:val="000B2005"/>
    <w:rsid w:val="000B270E"/>
    <w:rsid w:val="000B29FC"/>
    <w:rsid w:val="000B3DDF"/>
    <w:rsid w:val="000B42F4"/>
    <w:rsid w:val="000B455B"/>
    <w:rsid w:val="000B724D"/>
    <w:rsid w:val="000B7388"/>
    <w:rsid w:val="000B7443"/>
    <w:rsid w:val="000B78B0"/>
    <w:rsid w:val="000B794F"/>
    <w:rsid w:val="000B7FA0"/>
    <w:rsid w:val="000C0A22"/>
    <w:rsid w:val="000C1D69"/>
    <w:rsid w:val="000C4A3F"/>
    <w:rsid w:val="000C4F72"/>
    <w:rsid w:val="000C5A0A"/>
    <w:rsid w:val="000C5E9E"/>
    <w:rsid w:val="000C5F3F"/>
    <w:rsid w:val="000C619A"/>
    <w:rsid w:val="000C723A"/>
    <w:rsid w:val="000C7B80"/>
    <w:rsid w:val="000C7ED6"/>
    <w:rsid w:val="000D0FE4"/>
    <w:rsid w:val="000D11D7"/>
    <w:rsid w:val="000D15FA"/>
    <w:rsid w:val="000D1BFD"/>
    <w:rsid w:val="000D2738"/>
    <w:rsid w:val="000D62E5"/>
    <w:rsid w:val="000D6A9B"/>
    <w:rsid w:val="000D7D42"/>
    <w:rsid w:val="000E01B2"/>
    <w:rsid w:val="000E054F"/>
    <w:rsid w:val="000E0719"/>
    <w:rsid w:val="000E0CFC"/>
    <w:rsid w:val="000E1AC4"/>
    <w:rsid w:val="000E1D0B"/>
    <w:rsid w:val="000E2201"/>
    <w:rsid w:val="000E2882"/>
    <w:rsid w:val="000E44F3"/>
    <w:rsid w:val="000E4F84"/>
    <w:rsid w:val="000E4FB8"/>
    <w:rsid w:val="000E6BB2"/>
    <w:rsid w:val="000E7D28"/>
    <w:rsid w:val="000F07F9"/>
    <w:rsid w:val="000F0E97"/>
    <w:rsid w:val="000F10C2"/>
    <w:rsid w:val="000F17EE"/>
    <w:rsid w:val="000F2F52"/>
    <w:rsid w:val="000F333E"/>
    <w:rsid w:val="000F3CAF"/>
    <w:rsid w:val="000F5E2B"/>
    <w:rsid w:val="00101331"/>
    <w:rsid w:val="001027DF"/>
    <w:rsid w:val="00103AE3"/>
    <w:rsid w:val="00104BDE"/>
    <w:rsid w:val="00105333"/>
    <w:rsid w:val="0010742A"/>
    <w:rsid w:val="001100FC"/>
    <w:rsid w:val="00110A16"/>
    <w:rsid w:val="00110DFE"/>
    <w:rsid w:val="0011108E"/>
    <w:rsid w:val="0011136C"/>
    <w:rsid w:val="001118F8"/>
    <w:rsid w:val="00113B87"/>
    <w:rsid w:val="00113E38"/>
    <w:rsid w:val="00114921"/>
    <w:rsid w:val="00114A10"/>
    <w:rsid w:val="00114C03"/>
    <w:rsid w:val="00114FE7"/>
    <w:rsid w:val="001155C1"/>
    <w:rsid w:val="0011584F"/>
    <w:rsid w:val="001163BF"/>
    <w:rsid w:val="00116842"/>
    <w:rsid w:val="00117049"/>
    <w:rsid w:val="0011745A"/>
    <w:rsid w:val="001176A2"/>
    <w:rsid w:val="00120722"/>
    <w:rsid w:val="0012080D"/>
    <w:rsid w:val="00121344"/>
    <w:rsid w:val="00121361"/>
    <w:rsid w:val="00121B65"/>
    <w:rsid w:val="00122448"/>
    <w:rsid w:val="00122468"/>
    <w:rsid w:val="00122960"/>
    <w:rsid w:val="00122A1B"/>
    <w:rsid w:val="00123046"/>
    <w:rsid w:val="00123B82"/>
    <w:rsid w:val="0012432B"/>
    <w:rsid w:val="00124E02"/>
    <w:rsid w:val="00125226"/>
    <w:rsid w:val="001257C2"/>
    <w:rsid w:val="00125E76"/>
    <w:rsid w:val="0012668B"/>
    <w:rsid w:val="00126F25"/>
    <w:rsid w:val="001306D8"/>
    <w:rsid w:val="00130812"/>
    <w:rsid w:val="001312F4"/>
    <w:rsid w:val="0013429A"/>
    <w:rsid w:val="0013467C"/>
    <w:rsid w:val="00135230"/>
    <w:rsid w:val="001352A5"/>
    <w:rsid w:val="0013540B"/>
    <w:rsid w:val="00135BD4"/>
    <w:rsid w:val="0013607B"/>
    <w:rsid w:val="001373D3"/>
    <w:rsid w:val="00137531"/>
    <w:rsid w:val="00137CD4"/>
    <w:rsid w:val="00137CE4"/>
    <w:rsid w:val="00140C3B"/>
    <w:rsid w:val="00141185"/>
    <w:rsid w:val="001412BB"/>
    <w:rsid w:val="001417DF"/>
    <w:rsid w:val="0014226B"/>
    <w:rsid w:val="001437E3"/>
    <w:rsid w:val="001446E8"/>
    <w:rsid w:val="0014559C"/>
    <w:rsid w:val="00146260"/>
    <w:rsid w:val="0014647D"/>
    <w:rsid w:val="00146C01"/>
    <w:rsid w:val="00146D34"/>
    <w:rsid w:val="00147350"/>
    <w:rsid w:val="00150212"/>
    <w:rsid w:val="001508A3"/>
    <w:rsid w:val="001512F6"/>
    <w:rsid w:val="00152165"/>
    <w:rsid w:val="00152B0B"/>
    <w:rsid w:val="00153E33"/>
    <w:rsid w:val="00155A4D"/>
    <w:rsid w:val="001561D3"/>
    <w:rsid w:val="001567DD"/>
    <w:rsid w:val="00157402"/>
    <w:rsid w:val="001574E3"/>
    <w:rsid w:val="001577CE"/>
    <w:rsid w:val="00160620"/>
    <w:rsid w:val="0016076B"/>
    <w:rsid w:val="00160C5D"/>
    <w:rsid w:val="0016117A"/>
    <w:rsid w:val="00161AFF"/>
    <w:rsid w:val="001620D8"/>
    <w:rsid w:val="00162339"/>
    <w:rsid w:val="001626E6"/>
    <w:rsid w:val="0016307A"/>
    <w:rsid w:val="00163DC5"/>
    <w:rsid w:val="00166730"/>
    <w:rsid w:val="00166E32"/>
    <w:rsid w:val="00167053"/>
    <w:rsid w:val="0017057E"/>
    <w:rsid w:val="001707AF"/>
    <w:rsid w:val="00173162"/>
    <w:rsid w:val="00173CBE"/>
    <w:rsid w:val="00173FAD"/>
    <w:rsid w:val="00174548"/>
    <w:rsid w:val="0017595E"/>
    <w:rsid w:val="00175AA5"/>
    <w:rsid w:val="001760F9"/>
    <w:rsid w:val="00176499"/>
    <w:rsid w:val="00176F8C"/>
    <w:rsid w:val="00180704"/>
    <w:rsid w:val="0018089D"/>
    <w:rsid w:val="0018112D"/>
    <w:rsid w:val="0018132C"/>
    <w:rsid w:val="00181D28"/>
    <w:rsid w:val="0018248E"/>
    <w:rsid w:val="001824FB"/>
    <w:rsid w:val="0018261A"/>
    <w:rsid w:val="001831BD"/>
    <w:rsid w:val="00184BC8"/>
    <w:rsid w:val="00184E7E"/>
    <w:rsid w:val="00185176"/>
    <w:rsid w:val="0018590D"/>
    <w:rsid w:val="001859D4"/>
    <w:rsid w:val="00185E07"/>
    <w:rsid w:val="00186025"/>
    <w:rsid w:val="0018690D"/>
    <w:rsid w:val="0018696E"/>
    <w:rsid w:val="001870FE"/>
    <w:rsid w:val="0018798F"/>
    <w:rsid w:val="00187F10"/>
    <w:rsid w:val="00190462"/>
    <w:rsid w:val="00190B4D"/>
    <w:rsid w:val="0019116E"/>
    <w:rsid w:val="0019143C"/>
    <w:rsid w:val="001930DF"/>
    <w:rsid w:val="00193265"/>
    <w:rsid w:val="001936BD"/>
    <w:rsid w:val="001938A3"/>
    <w:rsid w:val="00193C4E"/>
    <w:rsid w:val="00193EDE"/>
    <w:rsid w:val="0019413D"/>
    <w:rsid w:val="001941C9"/>
    <w:rsid w:val="001945D3"/>
    <w:rsid w:val="00194B4B"/>
    <w:rsid w:val="00194FA4"/>
    <w:rsid w:val="00196086"/>
    <w:rsid w:val="00196159"/>
    <w:rsid w:val="001972DB"/>
    <w:rsid w:val="001A0896"/>
    <w:rsid w:val="001A09EE"/>
    <w:rsid w:val="001A1632"/>
    <w:rsid w:val="001A3F31"/>
    <w:rsid w:val="001A453F"/>
    <w:rsid w:val="001A54E9"/>
    <w:rsid w:val="001A590C"/>
    <w:rsid w:val="001A683F"/>
    <w:rsid w:val="001A73FA"/>
    <w:rsid w:val="001A7E25"/>
    <w:rsid w:val="001B0B28"/>
    <w:rsid w:val="001B25FB"/>
    <w:rsid w:val="001B28B6"/>
    <w:rsid w:val="001B3DA6"/>
    <w:rsid w:val="001B42A2"/>
    <w:rsid w:val="001B47BC"/>
    <w:rsid w:val="001B4964"/>
    <w:rsid w:val="001B4AFA"/>
    <w:rsid w:val="001B4D60"/>
    <w:rsid w:val="001B5715"/>
    <w:rsid w:val="001B5BB1"/>
    <w:rsid w:val="001B5D3C"/>
    <w:rsid w:val="001B67FD"/>
    <w:rsid w:val="001B7012"/>
    <w:rsid w:val="001B77A9"/>
    <w:rsid w:val="001B7CD7"/>
    <w:rsid w:val="001C0AC2"/>
    <w:rsid w:val="001C0EE3"/>
    <w:rsid w:val="001C1403"/>
    <w:rsid w:val="001C140B"/>
    <w:rsid w:val="001C1470"/>
    <w:rsid w:val="001C1DB0"/>
    <w:rsid w:val="001C2B9B"/>
    <w:rsid w:val="001C4278"/>
    <w:rsid w:val="001C42ED"/>
    <w:rsid w:val="001C6BEE"/>
    <w:rsid w:val="001C6D31"/>
    <w:rsid w:val="001C703B"/>
    <w:rsid w:val="001C7F14"/>
    <w:rsid w:val="001D0464"/>
    <w:rsid w:val="001D0FB8"/>
    <w:rsid w:val="001D1158"/>
    <w:rsid w:val="001D1B7B"/>
    <w:rsid w:val="001D2291"/>
    <w:rsid w:val="001D2AE0"/>
    <w:rsid w:val="001D4177"/>
    <w:rsid w:val="001D4204"/>
    <w:rsid w:val="001D5094"/>
    <w:rsid w:val="001D6CF7"/>
    <w:rsid w:val="001D70AB"/>
    <w:rsid w:val="001E1C1C"/>
    <w:rsid w:val="001E273F"/>
    <w:rsid w:val="001E28F5"/>
    <w:rsid w:val="001E2A20"/>
    <w:rsid w:val="001E3658"/>
    <w:rsid w:val="001E4431"/>
    <w:rsid w:val="001E485A"/>
    <w:rsid w:val="001E4F81"/>
    <w:rsid w:val="001E4F9E"/>
    <w:rsid w:val="001E5E7F"/>
    <w:rsid w:val="001E6D03"/>
    <w:rsid w:val="001E6EE9"/>
    <w:rsid w:val="001E6F52"/>
    <w:rsid w:val="001E7941"/>
    <w:rsid w:val="001F11DF"/>
    <w:rsid w:val="001F16EE"/>
    <w:rsid w:val="001F276B"/>
    <w:rsid w:val="001F3007"/>
    <w:rsid w:val="001F38F7"/>
    <w:rsid w:val="001F3EBE"/>
    <w:rsid w:val="001F40F3"/>
    <w:rsid w:val="001F5C1F"/>
    <w:rsid w:val="001F5F4C"/>
    <w:rsid w:val="001F64F9"/>
    <w:rsid w:val="001F6B62"/>
    <w:rsid w:val="001F6F14"/>
    <w:rsid w:val="001F7C26"/>
    <w:rsid w:val="0020084E"/>
    <w:rsid w:val="0020160F"/>
    <w:rsid w:val="00201AA5"/>
    <w:rsid w:val="00201AB7"/>
    <w:rsid w:val="00203BC2"/>
    <w:rsid w:val="00204404"/>
    <w:rsid w:val="00204779"/>
    <w:rsid w:val="00204B19"/>
    <w:rsid w:val="00205052"/>
    <w:rsid w:val="002051C6"/>
    <w:rsid w:val="00205A28"/>
    <w:rsid w:val="00206228"/>
    <w:rsid w:val="00206D4D"/>
    <w:rsid w:val="00207128"/>
    <w:rsid w:val="002078E7"/>
    <w:rsid w:val="00207962"/>
    <w:rsid w:val="0021121C"/>
    <w:rsid w:val="00213413"/>
    <w:rsid w:val="002146C7"/>
    <w:rsid w:val="00214898"/>
    <w:rsid w:val="00214CD8"/>
    <w:rsid w:val="002150AD"/>
    <w:rsid w:val="0021511B"/>
    <w:rsid w:val="002158A2"/>
    <w:rsid w:val="00215BE6"/>
    <w:rsid w:val="00217021"/>
    <w:rsid w:val="00217499"/>
    <w:rsid w:val="002174A5"/>
    <w:rsid w:val="00217FF2"/>
    <w:rsid w:val="0022016E"/>
    <w:rsid w:val="0022074E"/>
    <w:rsid w:val="00220A5A"/>
    <w:rsid w:val="00220AFC"/>
    <w:rsid w:val="00221139"/>
    <w:rsid w:val="00221772"/>
    <w:rsid w:val="00221BB7"/>
    <w:rsid w:val="0022309A"/>
    <w:rsid w:val="0022464F"/>
    <w:rsid w:val="00224B8E"/>
    <w:rsid w:val="002250DE"/>
    <w:rsid w:val="002257D3"/>
    <w:rsid w:val="002258DB"/>
    <w:rsid w:val="0022660E"/>
    <w:rsid w:val="00226971"/>
    <w:rsid w:val="00226C06"/>
    <w:rsid w:val="00226EB7"/>
    <w:rsid w:val="00227F3A"/>
    <w:rsid w:val="002304A8"/>
    <w:rsid w:val="00230744"/>
    <w:rsid w:val="00231691"/>
    <w:rsid w:val="0023262D"/>
    <w:rsid w:val="002329F7"/>
    <w:rsid w:val="00233006"/>
    <w:rsid w:val="00233042"/>
    <w:rsid w:val="00233EFA"/>
    <w:rsid w:val="0023424F"/>
    <w:rsid w:val="00235783"/>
    <w:rsid w:val="002357F4"/>
    <w:rsid w:val="00237A2E"/>
    <w:rsid w:val="00237A61"/>
    <w:rsid w:val="00240423"/>
    <w:rsid w:val="00240756"/>
    <w:rsid w:val="00241706"/>
    <w:rsid w:val="00242106"/>
    <w:rsid w:val="00242A34"/>
    <w:rsid w:val="0024308B"/>
    <w:rsid w:val="00245F50"/>
    <w:rsid w:val="00246509"/>
    <w:rsid w:val="00246598"/>
    <w:rsid w:val="00246B45"/>
    <w:rsid w:val="00247325"/>
    <w:rsid w:val="00247D50"/>
    <w:rsid w:val="002504B8"/>
    <w:rsid w:val="00251058"/>
    <w:rsid w:val="002511DD"/>
    <w:rsid w:val="00251DE8"/>
    <w:rsid w:val="002526AD"/>
    <w:rsid w:val="002539F0"/>
    <w:rsid w:val="0025451B"/>
    <w:rsid w:val="00255A5B"/>
    <w:rsid w:val="00255C55"/>
    <w:rsid w:val="0025637E"/>
    <w:rsid w:val="00256759"/>
    <w:rsid w:val="00257B31"/>
    <w:rsid w:val="002603C9"/>
    <w:rsid w:val="00260515"/>
    <w:rsid w:val="002605AA"/>
    <w:rsid w:val="002612B0"/>
    <w:rsid w:val="00261E31"/>
    <w:rsid w:val="002626A6"/>
    <w:rsid w:val="0026314F"/>
    <w:rsid w:val="00263AFA"/>
    <w:rsid w:val="00264A51"/>
    <w:rsid w:val="00265269"/>
    <w:rsid w:val="0026715C"/>
    <w:rsid w:val="0026761F"/>
    <w:rsid w:val="00267BD8"/>
    <w:rsid w:val="002708AD"/>
    <w:rsid w:val="0027105B"/>
    <w:rsid w:val="002710A3"/>
    <w:rsid w:val="00272622"/>
    <w:rsid w:val="00272912"/>
    <w:rsid w:val="002731C1"/>
    <w:rsid w:val="00274559"/>
    <w:rsid w:val="00274CAC"/>
    <w:rsid w:val="00275F34"/>
    <w:rsid w:val="002761A7"/>
    <w:rsid w:val="00276601"/>
    <w:rsid w:val="00277EDD"/>
    <w:rsid w:val="00280BC1"/>
    <w:rsid w:val="002810EE"/>
    <w:rsid w:val="002814CC"/>
    <w:rsid w:val="00281C35"/>
    <w:rsid w:val="00282C86"/>
    <w:rsid w:val="00282EC0"/>
    <w:rsid w:val="00282F57"/>
    <w:rsid w:val="00283BAE"/>
    <w:rsid w:val="00284378"/>
    <w:rsid w:val="00284704"/>
    <w:rsid w:val="002853EC"/>
    <w:rsid w:val="00286C6E"/>
    <w:rsid w:val="00287212"/>
    <w:rsid w:val="00287888"/>
    <w:rsid w:val="00292503"/>
    <w:rsid w:val="00292EF2"/>
    <w:rsid w:val="00293D2F"/>
    <w:rsid w:val="002949A6"/>
    <w:rsid w:val="00294DEF"/>
    <w:rsid w:val="0029575A"/>
    <w:rsid w:val="002A0952"/>
    <w:rsid w:val="002A23EC"/>
    <w:rsid w:val="002A31A5"/>
    <w:rsid w:val="002A4F87"/>
    <w:rsid w:val="002A68FC"/>
    <w:rsid w:val="002A77A4"/>
    <w:rsid w:val="002B0289"/>
    <w:rsid w:val="002B1511"/>
    <w:rsid w:val="002B1BA4"/>
    <w:rsid w:val="002B1BAC"/>
    <w:rsid w:val="002B2691"/>
    <w:rsid w:val="002B3A44"/>
    <w:rsid w:val="002B3B50"/>
    <w:rsid w:val="002B4BB5"/>
    <w:rsid w:val="002B5449"/>
    <w:rsid w:val="002B578E"/>
    <w:rsid w:val="002B5890"/>
    <w:rsid w:val="002B646F"/>
    <w:rsid w:val="002B6C28"/>
    <w:rsid w:val="002B7483"/>
    <w:rsid w:val="002B7A34"/>
    <w:rsid w:val="002C0967"/>
    <w:rsid w:val="002C0EE4"/>
    <w:rsid w:val="002C1172"/>
    <w:rsid w:val="002C15F4"/>
    <w:rsid w:val="002C251D"/>
    <w:rsid w:val="002C2C04"/>
    <w:rsid w:val="002C4BF8"/>
    <w:rsid w:val="002C4F2A"/>
    <w:rsid w:val="002C597E"/>
    <w:rsid w:val="002C5D79"/>
    <w:rsid w:val="002C68CA"/>
    <w:rsid w:val="002C729D"/>
    <w:rsid w:val="002C7683"/>
    <w:rsid w:val="002C792A"/>
    <w:rsid w:val="002D03B4"/>
    <w:rsid w:val="002D0F26"/>
    <w:rsid w:val="002D13B6"/>
    <w:rsid w:val="002D1648"/>
    <w:rsid w:val="002D198D"/>
    <w:rsid w:val="002D1A5B"/>
    <w:rsid w:val="002D1ED2"/>
    <w:rsid w:val="002D2280"/>
    <w:rsid w:val="002D283C"/>
    <w:rsid w:val="002D3B0E"/>
    <w:rsid w:val="002D3C65"/>
    <w:rsid w:val="002D3ECC"/>
    <w:rsid w:val="002D418F"/>
    <w:rsid w:val="002D547E"/>
    <w:rsid w:val="002D576A"/>
    <w:rsid w:val="002D5789"/>
    <w:rsid w:val="002D64F6"/>
    <w:rsid w:val="002D7605"/>
    <w:rsid w:val="002D77CD"/>
    <w:rsid w:val="002E13F0"/>
    <w:rsid w:val="002E21E5"/>
    <w:rsid w:val="002E31DA"/>
    <w:rsid w:val="002E33FF"/>
    <w:rsid w:val="002E3A8B"/>
    <w:rsid w:val="002E4522"/>
    <w:rsid w:val="002E4CE9"/>
    <w:rsid w:val="002E4D21"/>
    <w:rsid w:val="002E51D1"/>
    <w:rsid w:val="002F092C"/>
    <w:rsid w:val="002F0AA0"/>
    <w:rsid w:val="002F115A"/>
    <w:rsid w:val="002F11FA"/>
    <w:rsid w:val="002F1661"/>
    <w:rsid w:val="002F1D75"/>
    <w:rsid w:val="002F2A7C"/>
    <w:rsid w:val="002F2BD9"/>
    <w:rsid w:val="002F3184"/>
    <w:rsid w:val="002F3C61"/>
    <w:rsid w:val="002F490C"/>
    <w:rsid w:val="002F491D"/>
    <w:rsid w:val="002F5C32"/>
    <w:rsid w:val="002F6FDE"/>
    <w:rsid w:val="002F72AE"/>
    <w:rsid w:val="00300821"/>
    <w:rsid w:val="00300A68"/>
    <w:rsid w:val="00300BBC"/>
    <w:rsid w:val="0030217F"/>
    <w:rsid w:val="00302799"/>
    <w:rsid w:val="003028E4"/>
    <w:rsid w:val="00302E7D"/>
    <w:rsid w:val="00303FF3"/>
    <w:rsid w:val="003041BB"/>
    <w:rsid w:val="00304605"/>
    <w:rsid w:val="00304873"/>
    <w:rsid w:val="00304E2D"/>
    <w:rsid w:val="00305A31"/>
    <w:rsid w:val="003060E9"/>
    <w:rsid w:val="00306649"/>
    <w:rsid w:val="003074EB"/>
    <w:rsid w:val="00307C7C"/>
    <w:rsid w:val="003110B6"/>
    <w:rsid w:val="0031137D"/>
    <w:rsid w:val="00311886"/>
    <w:rsid w:val="003124A9"/>
    <w:rsid w:val="003124DE"/>
    <w:rsid w:val="00312F6E"/>
    <w:rsid w:val="00313CAB"/>
    <w:rsid w:val="00314F18"/>
    <w:rsid w:val="003150D9"/>
    <w:rsid w:val="003163B3"/>
    <w:rsid w:val="00317323"/>
    <w:rsid w:val="00317C0A"/>
    <w:rsid w:val="0032148D"/>
    <w:rsid w:val="00321E6B"/>
    <w:rsid w:val="003223FB"/>
    <w:rsid w:val="00322DA4"/>
    <w:rsid w:val="00323570"/>
    <w:rsid w:val="003239BF"/>
    <w:rsid w:val="00323B5B"/>
    <w:rsid w:val="003248AC"/>
    <w:rsid w:val="00326ACC"/>
    <w:rsid w:val="00326B27"/>
    <w:rsid w:val="00327BF6"/>
    <w:rsid w:val="00332300"/>
    <w:rsid w:val="00332C63"/>
    <w:rsid w:val="00333D0C"/>
    <w:rsid w:val="00334A69"/>
    <w:rsid w:val="00334BE6"/>
    <w:rsid w:val="00334E05"/>
    <w:rsid w:val="003356E6"/>
    <w:rsid w:val="00335F9F"/>
    <w:rsid w:val="00336302"/>
    <w:rsid w:val="003368C6"/>
    <w:rsid w:val="0033694F"/>
    <w:rsid w:val="00337F70"/>
    <w:rsid w:val="003404EE"/>
    <w:rsid w:val="00342483"/>
    <w:rsid w:val="003424D6"/>
    <w:rsid w:val="00342BE5"/>
    <w:rsid w:val="0034322A"/>
    <w:rsid w:val="003443F9"/>
    <w:rsid w:val="00345244"/>
    <w:rsid w:val="00345938"/>
    <w:rsid w:val="00345993"/>
    <w:rsid w:val="003459EF"/>
    <w:rsid w:val="00345FEC"/>
    <w:rsid w:val="00346480"/>
    <w:rsid w:val="00346703"/>
    <w:rsid w:val="003467F1"/>
    <w:rsid w:val="00346BD8"/>
    <w:rsid w:val="00346F3F"/>
    <w:rsid w:val="003475C8"/>
    <w:rsid w:val="0035052B"/>
    <w:rsid w:val="00351DB7"/>
    <w:rsid w:val="00351FD8"/>
    <w:rsid w:val="00352597"/>
    <w:rsid w:val="00353AA8"/>
    <w:rsid w:val="00354566"/>
    <w:rsid w:val="00354D91"/>
    <w:rsid w:val="003558E3"/>
    <w:rsid w:val="00355950"/>
    <w:rsid w:val="00356184"/>
    <w:rsid w:val="00356253"/>
    <w:rsid w:val="0035647E"/>
    <w:rsid w:val="003566F5"/>
    <w:rsid w:val="0036011A"/>
    <w:rsid w:val="003601C5"/>
    <w:rsid w:val="003611D3"/>
    <w:rsid w:val="003628A7"/>
    <w:rsid w:val="003629C9"/>
    <w:rsid w:val="00362A51"/>
    <w:rsid w:val="00362ECE"/>
    <w:rsid w:val="00362FB7"/>
    <w:rsid w:val="00363378"/>
    <w:rsid w:val="00363B14"/>
    <w:rsid w:val="0036400D"/>
    <w:rsid w:val="00364115"/>
    <w:rsid w:val="003641E0"/>
    <w:rsid w:val="00364243"/>
    <w:rsid w:val="003643AF"/>
    <w:rsid w:val="00364B7D"/>
    <w:rsid w:val="003656B6"/>
    <w:rsid w:val="00366C32"/>
    <w:rsid w:val="00367876"/>
    <w:rsid w:val="0036792B"/>
    <w:rsid w:val="003701A8"/>
    <w:rsid w:val="00370277"/>
    <w:rsid w:val="003708A0"/>
    <w:rsid w:val="00370D3D"/>
    <w:rsid w:val="003718DD"/>
    <w:rsid w:val="003724A7"/>
    <w:rsid w:val="00372616"/>
    <w:rsid w:val="00373E6D"/>
    <w:rsid w:val="0037408D"/>
    <w:rsid w:val="0037437B"/>
    <w:rsid w:val="00374ECE"/>
    <w:rsid w:val="003760AB"/>
    <w:rsid w:val="003769E1"/>
    <w:rsid w:val="00376F7C"/>
    <w:rsid w:val="003770AC"/>
    <w:rsid w:val="0037775E"/>
    <w:rsid w:val="0037797E"/>
    <w:rsid w:val="0038104A"/>
    <w:rsid w:val="003819DD"/>
    <w:rsid w:val="00383F49"/>
    <w:rsid w:val="00385448"/>
    <w:rsid w:val="0038554E"/>
    <w:rsid w:val="00385BAD"/>
    <w:rsid w:val="00385FA4"/>
    <w:rsid w:val="00385FFE"/>
    <w:rsid w:val="00386D1C"/>
    <w:rsid w:val="003906C1"/>
    <w:rsid w:val="00390822"/>
    <w:rsid w:val="00390BC6"/>
    <w:rsid w:val="00390D1A"/>
    <w:rsid w:val="003922F3"/>
    <w:rsid w:val="00392E97"/>
    <w:rsid w:val="003932A1"/>
    <w:rsid w:val="00393486"/>
    <w:rsid w:val="00394032"/>
    <w:rsid w:val="00397032"/>
    <w:rsid w:val="0039776A"/>
    <w:rsid w:val="00397B28"/>
    <w:rsid w:val="003A007C"/>
    <w:rsid w:val="003A1702"/>
    <w:rsid w:val="003A197B"/>
    <w:rsid w:val="003A1CB8"/>
    <w:rsid w:val="003A344D"/>
    <w:rsid w:val="003A3DE0"/>
    <w:rsid w:val="003A3FE1"/>
    <w:rsid w:val="003A4462"/>
    <w:rsid w:val="003A4769"/>
    <w:rsid w:val="003A5910"/>
    <w:rsid w:val="003A711B"/>
    <w:rsid w:val="003A73B7"/>
    <w:rsid w:val="003A7A08"/>
    <w:rsid w:val="003B13DB"/>
    <w:rsid w:val="003B1EF1"/>
    <w:rsid w:val="003B1F85"/>
    <w:rsid w:val="003B2543"/>
    <w:rsid w:val="003B2A48"/>
    <w:rsid w:val="003B3510"/>
    <w:rsid w:val="003B38F6"/>
    <w:rsid w:val="003B3E19"/>
    <w:rsid w:val="003B4BBB"/>
    <w:rsid w:val="003B5AEF"/>
    <w:rsid w:val="003B5D8F"/>
    <w:rsid w:val="003B5DDA"/>
    <w:rsid w:val="003B6B62"/>
    <w:rsid w:val="003B7C1F"/>
    <w:rsid w:val="003B7CAF"/>
    <w:rsid w:val="003B7EC5"/>
    <w:rsid w:val="003C03B4"/>
    <w:rsid w:val="003C1619"/>
    <w:rsid w:val="003C2071"/>
    <w:rsid w:val="003C27A2"/>
    <w:rsid w:val="003C35A6"/>
    <w:rsid w:val="003C3C75"/>
    <w:rsid w:val="003C3F54"/>
    <w:rsid w:val="003C4591"/>
    <w:rsid w:val="003C5255"/>
    <w:rsid w:val="003C5CFB"/>
    <w:rsid w:val="003C7C20"/>
    <w:rsid w:val="003C7C9D"/>
    <w:rsid w:val="003D0176"/>
    <w:rsid w:val="003D06FA"/>
    <w:rsid w:val="003D0B87"/>
    <w:rsid w:val="003D2364"/>
    <w:rsid w:val="003D2DFE"/>
    <w:rsid w:val="003D3A30"/>
    <w:rsid w:val="003D3A3B"/>
    <w:rsid w:val="003D428B"/>
    <w:rsid w:val="003D5A47"/>
    <w:rsid w:val="003D5AB0"/>
    <w:rsid w:val="003D5CEE"/>
    <w:rsid w:val="003D61C6"/>
    <w:rsid w:val="003D709F"/>
    <w:rsid w:val="003E09AA"/>
    <w:rsid w:val="003E325F"/>
    <w:rsid w:val="003E3BE2"/>
    <w:rsid w:val="003E47CB"/>
    <w:rsid w:val="003E4970"/>
    <w:rsid w:val="003E4A38"/>
    <w:rsid w:val="003E5058"/>
    <w:rsid w:val="003E50C1"/>
    <w:rsid w:val="003E67FC"/>
    <w:rsid w:val="003E6ACC"/>
    <w:rsid w:val="003E7242"/>
    <w:rsid w:val="003E73FB"/>
    <w:rsid w:val="003E78F4"/>
    <w:rsid w:val="003F0727"/>
    <w:rsid w:val="003F122E"/>
    <w:rsid w:val="003F191F"/>
    <w:rsid w:val="003F210B"/>
    <w:rsid w:val="003F2E6B"/>
    <w:rsid w:val="003F354E"/>
    <w:rsid w:val="003F42FA"/>
    <w:rsid w:val="003F4AC4"/>
    <w:rsid w:val="003F55F8"/>
    <w:rsid w:val="003F609F"/>
    <w:rsid w:val="003F6AEF"/>
    <w:rsid w:val="003F6CE7"/>
    <w:rsid w:val="00400D1A"/>
    <w:rsid w:val="004012A0"/>
    <w:rsid w:val="00401EBE"/>
    <w:rsid w:val="0040209F"/>
    <w:rsid w:val="0040279C"/>
    <w:rsid w:val="00402890"/>
    <w:rsid w:val="00402C4F"/>
    <w:rsid w:val="00403F0F"/>
    <w:rsid w:val="00403F93"/>
    <w:rsid w:val="004048DA"/>
    <w:rsid w:val="0040550B"/>
    <w:rsid w:val="0040660F"/>
    <w:rsid w:val="00406BC8"/>
    <w:rsid w:val="004071AF"/>
    <w:rsid w:val="0041056F"/>
    <w:rsid w:val="00410A04"/>
    <w:rsid w:val="00410EC1"/>
    <w:rsid w:val="00412123"/>
    <w:rsid w:val="004122A2"/>
    <w:rsid w:val="00412728"/>
    <w:rsid w:val="0041317A"/>
    <w:rsid w:val="0041320D"/>
    <w:rsid w:val="00413AA6"/>
    <w:rsid w:val="00413FCC"/>
    <w:rsid w:val="00414171"/>
    <w:rsid w:val="00414295"/>
    <w:rsid w:val="004142D6"/>
    <w:rsid w:val="004143D8"/>
    <w:rsid w:val="00414BA0"/>
    <w:rsid w:val="0041515C"/>
    <w:rsid w:val="0041552B"/>
    <w:rsid w:val="004163B1"/>
    <w:rsid w:val="00416D31"/>
    <w:rsid w:val="0041735A"/>
    <w:rsid w:val="00417636"/>
    <w:rsid w:val="004205A7"/>
    <w:rsid w:val="00420FC1"/>
    <w:rsid w:val="0042179E"/>
    <w:rsid w:val="00421C1C"/>
    <w:rsid w:val="0042244D"/>
    <w:rsid w:val="00422625"/>
    <w:rsid w:val="00423F9A"/>
    <w:rsid w:val="004240BF"/>
    <w:rsid w:val="0042482F"/>
    <w:rsid w:val="00424B07"/>
    <w:rsid w:val="00424D3F"/>
    <w:rsid w:val="00426868"/>
    <w:rsid w:val="00427567"/>
    <w:rsid w:val="00427B4D"/>
    <w:rsid w:val="004305FE"/>
    <w:rsid w:val="0043073A"/>
    <w:rsid w:val="00430D02"/>
    <w:rsid w:val="00430E39"/>
    <w:rsid w:val="004314DD"/>
    <w:rsid w:val="004316B6"/>
    <w:rsid w:val="00431A57"/>
    <w:rsid w:val="00432D63"/>
    <w:rsid w:val="00435B14"/>
    <w:rsid w:val="00436AE5"/>
    <w:rsid w:val="004409E1"/>
    <w:rsid w:val="00440E12"/>
    <w:rsid w:val="00441216"/>
    <w:rsid w:val="00442659"/>
    <w:rsid w:val="00442A28"/>
    <w:rsid w:val="00443B25"/>
    <w:rsid w:val="00444244"/>
    <w:rsid w:val="004442A5"/>
    <w:rsid w:val="00444496"/>
    <w:rsid w:val="00444CD4"/>
    <w:rsid w:val="00444EAE"/>
    <w:rsid w:val="00444F7B"/>
    <w:rsid w:val="00445822"/>
    <w:rsid w:val="0044591E"/>
    <w:rsid w:val="00445BFD"/>
    <w:rsid w:val="00445E99"/>
    <w:rsid w:val="004471D2"/>
    <w:rsid w:val="004475C4"/>
    <w:rsid w:val="004500A7"/>
    <w:rsid w:val="00451ED0"/>
    <w:rsid w:val="00453132"/>
    <w:rsid w:val="00453643"/>
    <w:rsid w:val="00454B1B"/>
    <w:rsid w:val="00454F60"/>
    <w:rsid w:val="004551BE"/>
    <w:rsid w:val="004556BC"/>
    <w:rsid w:val="00455A82"/>
    <w:rsid w:val="00455E28"/>
    <w:rsid w:val="0045642B"/>
    <w:rsid w:val="004564A6"/>
    <w:rsid w:val="00456DAE"/>
    <w:rsid w:val="0045733E"/>
    <w:rsid w:val="00457935"/>
    <w:rsid w:val="00461776"/>
    <w:rsid w:val="00462034"/>
    <w:rsid w:val="00462AD5"/>
    <w:rsid w:val="004636C4"/>
    <w:rsid w:val="00463B41"/>
    <w:rsid w:val="004648F3"/>
    <w:rsid w:val="00464DC8"/>
    <w:rsid w:val="00464FD0"/>
    <w:rsid w:val="004651C3"/>
    <w:rsid w:val="004657AD"/>
    <w:rsid w:val="00465CFF"/>
    <w:rsid w:val="00465E61"/>
    <w:rsid w:val="00466EC6"/>
    <w:rsid w:val="00467643"/>
    <w:rsid w:val="00467AE8"/>
    <w:rsid w:val="00467FC7"/>
    <w:rsid w:val="0047075A"/>
    <w:rsid w:val="00470C2A"/>
    <w:rsid w:val="00470F01"/>
    <w:rsid w:val="00471A8E"/>
    <w:rsid w:val="004724CF"/>
    <w:rsid w:val="00473473"/>
    <w:rsid w:val="00473B76"/>
    <w:rsid w:val="00473D2B"/>
    <w:rsid w:val="004745DE"/>
    <w:rsid w:val="00475738"/>
    <w:rsid w:val="00475BFF"/>
    <w:rsid w:val="00476AA4"/>
    <w:rsid w:val="0047776D"/>
    <w:rsid w:val="0048048A"/>
    <w:rsid w:val="00480EA8"/>
    <w:rsid w:val="00481BF2"/>
    <w:rsid w:val="00482127"/>
    <w:rsid w:val="004822C3"/>
    <w:rsid w:val="0048333C"/>
    <w:rsid w:val="004837FA"/>
    <w:rsid w:val="00483C15"/>
    <w:rsid w:val="00483ED0"/>
    <w:rsid w:val="0048458F"/>
    <w:rsid w:val="00484F8B"/>
    <w:rsid w:val="00486138"/>
    <w:rsid w:val="004866D3"/>
    <w:rsid w:val="00487092"/>
    <w:rsid w:val="00490628"/>
    <w:rsid w:val="004918D8"/>
    <w:rsid w:val="00491EEF"/>
    <w:rsid w:val="00496144"/>
    <w:rsid w:val="0049641F"/>
    <w:rsid w:val="0049716B"/>
    <w:rsid w:val="004978A3"/>
    <w:rsid w:val="00497C52"/>
    <w:rsid w:val="004A10EB"/>
    <w:rsid w:val="004A1277"/>
    <w:rsid w:val="004A1466"/>
    <w:rsid w:val="004A1D06"/>
    <w:rsid w:val="004A3A83"/>
    <w:rsid w:val="004A3C02"/>
    <w:rsid w:val="004A4D81"/>
    <w:rsid w:val="004A4E5B"/>
    <w:rsid w:val="004A5613"/>
    <w:rsid w:val="004A5691"/>
    <w:rsid w:val="004A5C32"/>
    <w:rsid w:val="004A6B80"/>
    <w:rsid w:val="004A7BAB"/>
    <w:rsid w:val="004B00EB"/>
    <w:rsid w:val="004B0A23"/>
    <w:rsid w:val="004B0ACA"/>
    <w:rsid w:val="004B14DC"/>
    <w:rsid w:val="004B20FB"/>
    <w:rsid w:val="004B24CD"/>
    <w:rsid w:val="004B37CD"/>
    <w:rsid w:val="004B450B"/>
    <w:rsid w:val="004B4E39"/>
    <w:rsid w:val="004B565F"/>
    <w:rsid w:val="004B59B9"/>
    <w:rsid w:val="004B5D11"/>
    <w:rsid w:val="004B5E2E"/>
    <w:rsid w:val="004B61FB"/>
    <w:rsid w:val="004B66AB"/>
    <w:rsid w:val="004B77E5"/>
    <w:rsid w:val="004B78AD"/>
    <w:rsid w:val="004B7A13"/>
    <w:rsid w:val="004B7ABE"/>
    <w:rsid w:val="004B7E95"/>
    <w:rsid w:val="004C0392"/>
    <w:rsid w:val="004C1FC5"/>
    <w:rsid w:val="004C1FED"/>
    <w:rsid w:val="004C2D74"/>
    <w:rsid w:val="004C4378"/>
    <w:rsid w:val="004C457B"/>
    <w:rsid w:val="004C635E"/>
    <w:rsid w:val="004C6AA8"/>
    <w:rsid w:val="004C7067"/>
    <w:rsid w:val="004D01FB"/>
    <w:rsid w:val="004D1C80"/>
    <w:rsid w:val="004D1EEC"/>
    <w:rsid w:val="004D2376"/>
    <w:rsid w:val="004D2D26"/>
    <w:rsid w:val="004D3332"/>
    <w:rsid w:val="004D3813"/>
    <w:rsid w:val="004D3CFB"/>
    <w:rsid w:val="004D49DD"/>
    <w:rsid w:val="004D5153"/>
    <w:rsid w:val="004D5350"/>
    <w:rsid w:val="004D57BD"/>
    <w:rsid w:val="004D6121"/>
    <w:rsid w:val="004D6751"/>
    <w:rsid w:val="004D7555"/>
    <w:rsid w:val="004D79D8"/>
    <w:rsid w:val="004E00FE"/>
    <w:rsid w:val="004E0571"/>
    <w:rsid w:val="004E07BB"/>
    <w:rsid w:val="004E0B56"/>
    <w:rsid w:val="004E0ECE"/>
    <w:rsid w:val="004E121C"/>
    <w:rsid w:val="004E14E1"/>
    <w:rsid w:val="004E1DB3"/>
    <w:rsid w:val="004E2461"/>
    <w:rsid w:val="004E269C"/>
    <w:rsid w:val="004E2C64"/>
    <w:rsid w:val="004E2D08"/>
    <w:rsid w:val="004E3287"/>
    <w:rsid w:val="004E383C"/>
    <w:rsid w:val="004E3F2C"/>
    <w:rsid w:val="004E4FCE"/>
    <w:rsid w:val="004E5072"/>
    <w:rsid w:val="004E5157"/>
    <w:rsid w:val="004E5473"/>
    <w:rsid w:val="004E582F"/>
    <w:rsid w:val="004E5928"/>
    <w:rsid w:val="004E5DA5"/>
    <w:rsid w:val="004E5F45"/>
    <w:rsid w:val="004E613A"/>
    <w:rsid w:val="004E63C3"/>
    <w:rsid w:val="004E64BA"/>
    <w:rsid w:val="004E677F"/>
    <w:rsid w:val="004E6916"/>
    <w:rsid w:val="004E6B5C"/>
    <w:rsid w:val="004E6F5B"/>
    <w:rsid w:val="004F09DA"/>
    <w:rsid w:val="004F0E64"/>
    <w:rsid w:val="004F12FD"/>
    <w:rsid w:val="004F1D90"/>
    <w:rsid w:val="004F1E7C"/>
    <w:rsid w:val="004F2054"/>
    <w:rsid w:val="004F223A"/>
    <w:rsid w:val="004F2351"/>
    <w:rsid w:val="004F2C1A"/>
    <w:rsid w:val="004F4CE2"/>
    <w:rsid w:val="004F4F3C"/>
    <w:rsid w:val="004F5506"/>
    <w:rsid w:val="004F59B6"/>
    <w:rsid w:val="004F5DE3"/>
    <w:rsid w:val="004F5EEE"/>
    <w:rsid w:val="004F65D2"/>
    <w:rsid w:val="004F6DDF"/>
    <w:rsid w:val="004F7B15"/>
    <w:rsid w:val="00501A1C"/>
    <w:rsid w:val="00501D57"/>
    <w:rsid w:val="00501E63"/>
    <w:rsid w:val="00502CDD"/>
    <w:rsid w:val="00503023"/>
    <w:rsid w:val="00504B33"/>
    <w:rsid w:val="005056E4"/>
    <w:rsid w:val="00505AEA"/>
    <w:rsid w:val="00506A8C"/>
    <w:rsid w:val="0050706C"/>
    <w:rsid w:val="00507526"/>
    <w:rsid w:val="00510872"/>
    <w:rsid w:val="00510AAF"/>
    <w:rsid w:val="005118D0"/>
    <w:rsid w:val="005123CA"/>
    <w:rsid w:val="00512C58"/>
    <w:rsid w:val="00513CC8"/>
    <w:rsid w:val="00514B71"/>
    <w:rsid w:val="00516D4A"/>
    <w:rsid w:val="00516FE1"/>
    <w:rsid w:val="00517D6A"/>
    <w:rsid w:val="00520196"/>
    <w:rsid w:val="005213FE"/>
    <w:rsid w:val="00521942"/>
    <w:rsid w:val="00521E7D"/>
    <w:rsid w:val="00521F30"/>
    <w:rsid w:val="00522879"/>
    <w:rsid w:val="00523726"/>
    <w:rsid w:val="00523B17"/>
    <w:rsid w:val="0052407D"/>
    <w:rsid w:val="0052549A"/>
    <w:rsid w:val="00526C74"/>
    <w:rsid w:val="00526EEC"/>
    <w:rsid w:val="00527D37"/>
    <w:rsid w:val="00533D80"/>
    <w:rsid w:val="00533FF3"/>
    <w:rsid w:val="00535023"/>
    <w:rsid w:val="005353A4"/>
    <w:rsid w:val="00535ABE"/>
    <w:rsid w:val="00536A34"/>
    <w:rsid w:val="005372C0"/>
    <w:rsid w:val="00540175"/>
    <w:rsid w:val="00540384"/>
    <w:rsid w:val="0054093E"/>
    <w:rsid w:val="00542B29"/>
    <w:rsid w:val="0054380F"/>
    <w:rsid w:val="00545072"/>
    <w:rsid w:val="005460B8"/>
    <w:rsid w:val="005475D7"/>
    <w:rsid w:val="00547947"/>
    <w:rsid w:val="0055009C"/>
    <w:rsid w:val="00550D5A"/>
    <w:rsid w:val="005511D4"/>
    <w:rsid w:val="005519DE"/>
    <w:rsid w:val="005528FF"/>
    <w:rsid w:val="00552DCE"/>
    <w:rsid w:val="00552F23"/>
    <w:rsid w:val="00553EDE"/>
    <w:rsid w:val="00553F7F"/>
    <w:rsid w:val="00555DEE"/>
    <w:rsid w:val="00555FF0"/>
    <w:rsid w:val="0055645C"/>
    <w:rsid w:val="005569FF"/>
    <w:rsid w:val="00556F29"/>
    <w:rsid w:val="0055746D"/>
    <w:rsid w:val="00557F44"/>
    <w:rsid w:val="005602C2"/>
    <w:rsid w:val="0056149A"/>
    <w:rsid w:val="00561F28"/>
    <w:rsid w:val="005623C9"/>
    <w:rsid w:val="00562721"/>
    <w:rsid w:val="00562DE4"/>
    <w:rsid w:val="00563EBE"/>
    <w:rsid w:val="00564308"/>
    <w:rsid w:val="00564497"/>
    <w:rsid w:val="00565D51"/>
    <w:rsid w:val="00565D97"/>
    <w:rsid w:val="0056638D"/>
    <w:rsid w:val="005669A6"/>
    <w:rsid w:val="00566E17"/>
    <w:rsid w:val="00566FA3"/>
    <w:rsid w:val="005676EC"/>
    <w:rsid w:val="00567734"/>
    <w:rsid w:val="00567F00"/>
    <w:rsid w:val="005700EC"/>
    <w:rsid w:val="00570E22"/>
    <w:rsid w:val="005721B3"/>
    <w:rsid w:val="005733B9"/>
    <w:rsid w:val="005735EE"/>
    <w:rsid w:val="00573E53"/>
    <w:rsid w:val="00575733"/>
    <w:rsid w:val="00575759"/>
    <w:rsid w:val="00575CE4"/>
    <w:rsid w:val="005760E7"/>
    <w:rsid w:val="00576636"/>
    <w:rsid w:val="00576AE2"/>
    <w:rsid w:val="00577880"/>
    <w:rsid w:val="005808A7"/>
    <w:rsid w:val="00580B4C"/>
    <w:rsid w:val="005819F5"/>
    <w:rsid w:val="0058288E"/>
    <w:rsid w:val="0058292E"/>
    <w:rsid w:val="00583C3D"/>
    <w:rsid w:val="00583C95"/>
    <w:rsid w:val="00584B90"/>
    <w:rsid w:val="00584DBB"/>
    <w:rsid w:val="0058539A"/>
    <w:rsid w:val="00585DD8"/>
    <w:rsid w:val="005861F3"/>
    <w:rsid w:val="00586D2C"/>
    <w:rsid w:val="00587251"/>
    <w:rsid w:val="0059138C"/>
    <w:rsid w:val="005913E1"/>
    <w:rsid w:val="005913E7"/>
    <w:rsid w:val="005917E4"/>
    <w:rsid w:val="00592C90"/>
    <w:rsid w:val="00592FC1"/>
    <w:rsid w:val="00592FC7"/>
    <w:rsid w:val="00593B36"/>
    <w:rsid w:val="00593BAD"/>
    <w:rsid w:val="00593CCD"/>
    <w:rsid w:val="00594044"/>
    <w:rsid w:val="00594975"/>
    <w:rsid w:val="00595763"/>
    <w:rsid w:val="005957D5"/>
    <w:rsid w:val="00595988"/>
    <w:rsid w:val="00597440"/>
    <w:rsid w:val="00597B9F"/>
    <w:rsid w:val="005A049D"/>
    <w:rsid w:val="005A1C9A"/>
    <w:rsid w:val="005A1DA5"/>
    <w:rsid w:val="005A22C6"/>
    <w:rsid w:val="005A22E7"/>
    <w:rsid w:val="005A283B"/>
    <w:rsid w:val="005A2AC0"/>
    <w:rsid w:val="005A3A19"/>
    <w:rsid w:val="005A3F30"/>
    <w:rsid w:val="005A4398"/>
    <w:rsid w:val="005A5A40"/>
    <w:rsid w:val="005A5A69"/>
    <w:rsid w:val="005A5E94"/>
    <w:rsid w:val="005A6075"/>
    <w:rsid w:val="005A6796"/>
    <w:rsid w:val="005A69D6"/>
    <w:rsid w:val="005A6A75"/>
    <w:rsid w:val="005A6DDD"/>
    <w:rsid w:val="005A7510"/>
    <w:rsid w:val="005A7C2B"/>
    <w:rsid w:val="005B065D"/>
    <w:rsid w:val="005B0D48"/>
    <w:rsid w:val="005B1237"/>
    <w:rsid w:val="005B15CE"/>
    <w:rsid w:val="005B2987"/>
    <w:rsid w:val="005B2A72"/>
    <w:rsid w:val="005B413A"/>
    <w:rsid w:val="005B50D6"/>
    <w:rsid w:val="005B659E"/>
    <w:rsid w:val="005B662C"/>
    <w:rsid w:val="005B66F3"/>
    <w:rsid w:val="005B786F"/>
    <w:rsid w:val="005B78FE"/>
    <w:rsid w:val="005B7D0B"/>
    <w:rsid w:val="005B7D85"/>
    <w:rsid w:val="005C024B"/>
    <w:rsid w:val="005C07B9"/>
    <w:rsid w:val="005C164C"/>
    <w:rsid w:val="005C1E4B"/>
    <w:rsid w:val="005C23E1"/>
    <w:rsid w:val="005C28FF"/>
    <w:rsid w:val="005C2BDA"/>
    <w:rsid w:val="005C3AEE"/>
    <w:rsid w:val="005C4B5D"/>
    <w:rsid w:val="005C5926"/>
    <w:rsid w:val="005C5E78"/>
    <w:rsid w:val="005D042D"/>
    <w:rsid w:val="005D0A90"/>
    <w:rsid w:val="005D1B16"/>
    <w:rsid w:val="005D1C33"/>
    <w:rsid w:val="005D2812"/>
    <w:rsid w:val="005D2C52"/>
    <w:rsid w:val="005D30A3"/>
    <w:rsid w:val="005D30AB"/>
    <w:rsid w:val="005D30AE"/>
    <w:rsid w:val="005D3F6A"/>
    <w:rsid w:val="005D6866"/>
    <w:rsid w:val="005D6D33"/>
    <w:rsid w:val="005D6FD7"/>
    <w:rsid w:val="005D72E1"/>
    <w:rsid w:val="005E096C"/>
    <w:rsid w:val="005E0F8A"/>
    <w:rsid w:val="005E1FF1"/>
    <w:rsid w:val="005E32FB"/>
    <w:rsid w:val="005E3322"/>
    <w:rsid w:val="005E4358"/>
    <w:rsid w:val="005E7560"/>
    <w:rsid w:val="005E7905"/>
    <w:rsid w:val="005F01FF"/>
    <w:rsid w:val="005F03D3"/>
    <w:rsid w:val="005F04EC"/>
    <w:rsid w:val="005F1937"/>
    <w:rsid w:val="005F1B98"/>
    <w:rsid w:val="005F2E1B"/>
    <w:rsid w:val="005F2FFF"/>
    <w:rsid w:val="005F3443"/>
    <w:rsid w:val="005F4F7D"/>
    <w:rsid w:val="005F5F7C"/>
    <w:rsid w:val="005F6658"/>
    <w:rsid w:val="005F77B2"/>
    <w:rsid w:val="005F7984"/>
    <w:rsid w:val="005F7A15"/>
    <w:rsid w:val="00600883"/>
    <w:rsid w:val="0060168B"/>
    <w:rsid w:val="00601FE2"/>
    <w:rsid w:val="00602FEF"/>
    <w:rsid w:val="006031BD"/>
    <w:rsid w:val="00603ECA"/>
    <w:rsid w:val="0060497C"/>
    <w:rsid w:val="00604BF8"/>
    <w:rsid w:val="006050DC"/>
    <w:rsid w:val="006060CE"/>
    <w:rsid w:val="0060686A"/>
    <w:rsid w:val="00606E99"/>
    <w:rsid w:val="006072C0"/>
    <w:rsid w:val="00607D31"/>
    <w:rsid w:val="006102A5"/>
    <w:rsid w:val="006110D5"/>
    <w:rsid w:val="00611471"/>
    <w:rsid w:val="00612692"/>
    <w:rsid w:val="0061335A"/>
    <w:rsid w:val="00613986"/>
    <w:rsid w:val="0061410D"/>
    <w:rsid w:val="00614622"/>
    <w:rsid w:val="00614705"/>
    <w:rsid w:val="006149E3"/>
    <w:rsid w:val="00614EAB"/>
    <w:rsid w:val="006156E0"/>
    <w:rsid w:val="00615A8F"/>
    <w:rsid w:val="00615E8A"/>
    <w:rsid w:val="00616519"/>
    <w:rsid w:val="00617131"/>
    <w:rsid w:val="00617E19"/>
    <w:rsid w:val="006202CE"/>
    <w:rsid w:val="0062115D"/>
    <w:rsid w:val="006236E6"/>
    <w:rsid w:val="0062408F"/>
    <w:rsid w:val="006247D3"/>
    <w:rsid w:val="00624ABF"/>
    <w:rsid w:val="0062577F"/>
    <w:rsid w:val="0062587B"/>
    <w:rsid w:val="00627C6B"/>
    <w:rsid w:val="00630837"/>
    <w:rsid w:val="006308AB"/>
    <w:rsid w:val="006321DB"/>
    <w:rsid w:val="0063227B"/>
    <w:rsid w:val="006329D7"/>
    <w:rsid w:val="006335A4"/>
    <w:rsid w:val="0063380C"/>
    <w:rsid w:val="00633EF8"/>
    <w:rsid w:val="006345B1"/>
    <w:rsid w:val="00634618"/>
    <w:rsid w:val="006348EF"/>
    <w:rsid w:val="006353A9"/>
    <w:rsid w:val="006359B7"/>
    <w:rsid w:val="00636379"/>
    <w:rsid w:val="0063667E"/>
    <w:rsid w:val="00636AFA"/>
    <w:rsid w:val="00636B18"/>
    <w:rsid w:val="00637342"/>
    <w:rsid w:val="006378BC"/>
    <w:rsid w:val="00637D1B"/>
    <w:rsid w:val="00641571"/>
    <w:rsid w:val="00642827"/>
    <w:rsid w:val="00643722"/>
    <w:rsid w:val="00644380"/>
    <w:rsid w:val="00644543"/>
    <w:rsid w:val="00645660"/>
    <w:rsid w:val="00646593"/>
    <w:rsid w:val="0064747D"/>
    <w:rsid w:val="00652A60"/>
    <w:rsid w:val="00652AEA"/>
    <w:rsid w:val="00656670"/>
    <w:rsid w:val="006569D7"/>
    <w:rsid w:val="00661EA2"/>
    <w:rsid w:val="00663CB7"/>
    <w:rsid w:val="00664035"/>
    <w:rsid w:val="00664250"/>
    <w:rsid w:val="006661CB"/>
    <w:rsid w:val="00666ADD"/>
    <w:rsid w:val="0066724E"/>
    <w:rsid w:val="00667B86"/>
    <w:rsid w:val="00667CA3"/>
    <w:rsid w:val="00670488"/>
    <w:rsid w:val="00670CDD"/>
    <w:rsid w:val="006721F3"/>
    <w:rsid w:val="00672CCD"/>
    <w:rsid w:val="006743E3"/>
    <w:rsid w:val="00677424"/>
    <w:rsid w:val="00677910"/>
    <w:rsid w:val="00677C30"/>
    <w:rsid w:val="00680060"/>
    <w:rsid w:val="006807F2"/>
    <w:rsid w:val="0068160E"/>
    <w:rsid w:val="006822DA"/>
    <w:rsid w:val="00682C03"/>
    <w:rsid w:val="00682D82"/>
    <w:rsid w:val="00683020"/>
    <w:rsid w:val="006830D9"/>
    <w:rsid w:val="00683A55"/>
    <w:rsid w:val="0068406A"/>
    <w:rsid w:val="00684BDD"/>
    <w:rsid w:val="006850C3"/>
    <w:rsid w:val="00685DB6"/>
    <w:rsid w:val="006866B3"/>
    <w:rsid w:val="00686CE7"/>
    <w:rsid w:val="00686F1D"/>
    <w:rsid w:val="006871E2"/>
    <w:rsid w:val="006900B3"/>
    <w:rsid w:val="0069050A"/>
    <w:rsid w:val="00690FC7"/>
    <w:rsid w:val="00691438"/>
    <w:rsid w:val="0069178C"/>
    <w:rsid w:val="00692631"/>
    <w:rsid w:val="00694D3A"/>
    <w:rsid w:val="0069621D"/>
    <w:rsid w:val="00697053"/>
    <w:rsid w:val="006973C2"/>
    <w:rsid w:val="00697C7A"/>
    <w:rsid w:val="006A0C57"/>
    <w:rsid w:val="006A141D"/>
    <w:rsid w:val="006A288C"/>
    <w:rsid w:val="006A3CD0"/>
    <w:rsid w:val="006A4F6E"/>
    <w:rsid w:val="006A53F9"/>
    <w:rsid w:val="006A54FD"/>
    <w:rsid w:val="006A56B9"/>
    <w:rsid w:val="006A59FB"/>
    <w:rsid w:val="006A64DC"/>
    <w:rsid w:val="006A65D5"/>
    <w:rsid w:val="006A6FA6"/>
    <w:rsid w:val="006A74C6"/>
    <w:rsid w:val="006B0559"/>
    <w:rsid w:val="006B0D0F"/>
    <w:rsid w:val="006B2B67"/>
    <w:rsid w:val="006B3207"/>
    <w:rsid w:val="006B3DFA"/>
    <w:rsid w:val="006B47D3"/>
    <w:rsid w:val="006B57BD"/>
    <w:rsid w:val="006B5A87"/>
    <w:rsid w:val="006B5EB0"/>
    <w:rsid w:val="006B6DE5"/>
    <w:rsid w:val="006B7C46"/>
    <w:rsid w:val="006C1A7B"/>
    <w:rsid w:val="006C1C77"/>
    <w:rsid w:val="006C1F8A"/>
    <w:rsid w:val="006C2048"/>
    <w:rsid w:val="006C2116"/>
    <w:rsid w:val="006C2533"/>
    <w:rsid w:val="006C29C6"/>
    <w:rsid w:val="006C2A32"/>
    <w:rsid w:val="006C2A48"/>
    <w:rsid w:val="006C34C5"/>
    <w:rsid w:val="006C3715"/>
    <w:rsid w:val="006C44B0"/>
    <w:rsid w:val="006C458E"/>
    <w:rsid w:val="006C4D5B"/>
    <w:rsid w:val="006C5DF1"/>
    <w:rsid w:val="006C6942"/>
    <w:rsid w:val="006C69AF"/>
    <w:rsid w:val="006C7772"/>
    <w:rsid w:val="006D0071"/>
    <w:rsid w:val="006D0943"/>
    <w:rsid w:val="006D244D"/>
    <w:rsid w:val="006D2FA7"/>
    <w:rsid w:val="006D2FE3"/>
    <w:rsid w:val="006D430D"/>
    <w:rsid w:val="006D5075"/>
    <w:rsid w:val="006D73E1"/>
    <w:rsid w:val="006E099A"/>
    <w:rsid w:val="006E0F53"/>
    <w:rsid w:val="006E0FEA"/>
    <w:rsid w:val="006E2C2C"/>
    <w:rsid w:val="006E3079"/>
    <w:rsid w:val="006E3116"/>
    <w:rsid w:val="006E487A"/>
    <w:rsid w:val="006E4A79"/>
    <w:rsid w:val="006E506B"/>
    <w:rsid w:val="006E57FE"/>
    <w:rsid w:val="006E580A"/>
    <w:rsid w:val="006E7C7E"/>
    <w:rsid w:val="006E7CFA"/>
    <w:rsid w:val="006F14B1"/>
    <w:rsid w:val="006F1A4A"/>
    <w:rsid w:val="006F20DB"/>
    <w:rsid w:val="006F2C7C"/>
    <w:rsid w:val="006F3606"/>
    <w:rsid w:val="006F3D1F"/>
    <w:rsid w:val="006F5194"/>
    <w:rsid w:val="006F53F5"/>
    <w:rsid w:val="006F5DD0"/>
    <w:rsid w:val="006F5E0C"/>
    <w:rsid w:val="006F6A32"/>
    <w:rsid w:val="006F749E"/>
    <w:rsid w:val="006F7BB3"/>
    <w:rsid w:val="006F7FC0"/>
    <w:rsid w:val="007000A5"/>
    <w:rsid w:val="00701E40"/>
    <w:rsid w:val="00703912"/>
    <w:rsid w:val="007042FE"/>
    <w:rsid w:val="00705591"/>
    <w:rsid w:val="00705E1D"/>
    <w:rsid w:val="00705F80"/>
    <w:rsid w:val="00707471"/>
    <w:rsid w:val="007076BB"/>
    <w:rsid w:val="007077D0"/>
    <w:rsid w:val="00707F1A"/>
    <w:rsid w:val="007102AB"/>
    <w:rsid w:val="00710593"/>
    <w:rsid w:val="007123E8"/>
    <w:rsid w:val="007125A4"/>
    <w:rsid w:val="00712DC1"/>
    <w:rsid w:val="00712F26"/>
    <w:rsid w:val="00713363"/>
    <w:rsid w:val="00713D96"/>
    <w:rsid w:val="00713F2B"/>
    <w:rsid w:val="007162BC"/>
    <w:rsid w:val="00717E2D"/>
    <w:rsid w:val="007207CE"/>
    <w:rsid w:val="00720C81"/>
    <w:rsid w:val="00721612"/>
    <w:rsid w:val="00722617"/>
    <w:rsid w:val="00723447"/>
    <w:rsid w:val="00723AE9"/>
    <w:rsid w:val="007245F7"/>
    <w:rsid w:val="00724A96"/>
    <w:rsid w:val="00724F58"/>
    <w:rsid w:val="00725D55"/>
    <w:rsid w:val="007261B4"/>
    <w:rsid w:val="00726806"/>
    <w:rsid w:val="00727F0F"/>
    <w:rsid w:val="00731407"/>
    <w:rsid w:val="00731841"/>
    <w:rsid w:val="0073199E"/>
    <w:rsid w:val="00731DF3"/>
    <w:rsid w:val="0073288A"/>
    <w:rsid w:val="00733046"/>
    <w:rsid w:val="00733AD9"/>
    <w:rsid w:val="007347BA"/>
    <w:rsid w:val="007351E5"/>
    <w:rsid w:val="00735A66"/>
    <w:rsid w:val="00735ED4"/>
    <w:rsid w:val="00736452"/>
    <w:rsid w:val="00736F34"/>
    <w:rsid w:val="007408E7"/>
    <w:rsid w:val="0074145A"/>
    <w:rsid w:val="00741613"/>
    <w:rsid w:val="00741A66"/>
    <w:rsid w:val="00742187"/>
    <w:rsid w:val="00742B59"/>
    <w:rsid w:val="00743802"/>
    <w:rsid w:val="007439DB"/>
    <w:rsid w:val="00743E51"/>
    <w:rsid w:val="00744C2E"/>
    <w:rsid w:val="00744C57"/>
    <w:rsid w:val="007453FF"/>
    <w:rsid w:val="00745E91"/>
    <w:rsid w:val="00746B92"/>
    <w:rsid w:val="0074701E"/>
    <w:rsid w:val="0075023C"/>
    <w:rsid w:val="0075182B"/>
    <w:rsid w:val="0075378D"/>
    <w:rsid w:val="00753C56"/>
    <w:rsid w:val="00753E57"/>
    <w:rsid w:val="00754DC6"/>
    <w:rsid w:val="007559EB"/>
    <w:rsid w:val="007559F3"/>
    <w:rsid w:val="00755D05"/>
    <w:rsid w:val="00756FE1"/>
    <w:rsid w:val="0075761C"/>
    <w:rsid w:val="007607A8"/>
    <w:rsid w:val="00760912"/>
    <w:rsid w:val="00760DB2"/>
    <w:rsid w:val="00761688"/>
    <w:rsid w:val="00761A81"/>
    <w:rsid w:val="00761CBD"/>
    <w:rsid w:val="00761F14"/>
    <w:rsid w:val="00762C11"/>
    <w:rsid w:val="007633AB"/>
    <w:rsid w:val="00763844"/>
    <w:rsid w:val="00763929"/>
    <w:rsid w:val="00763C0D"/>
    <w:rsid w:val="00764164"/>
    <w:rsid w:val="007659C1"/>
    <w:rsid w:val="00766908"/>
    <w:rsid w:val="00766C76"/>
    <w:rsid w:val="007678AA"/>
    <w:rsid w:val="00767FAB"/>
    <w:rsid w:val="007705E3"/>
    <w:rsid w:val="00770AB2"/>
    <w:rsid w:val="00771DB0"/>
    <w:rsid w:val="00771ED4"/>
    <w:rsid w:val="00772003"/>
    <w:rsid w:val="0077272D"/>
    <w:rsid w:val="007729C2"/>
    <w:rsid w:val="00773254"/>
    <w:rsid w:val="00773271"/>
    <w:rsid w:val="00773CCA"/>
    <w:rsid w:val="007746D2"/>
    <w:rsid w:val="00774E14"/>
    <w:rsid w:val="0077515B"/>
    <w:rsid w:val="00775AD6"/>
    <w:rsid w:val="00775CE5"/>
    <w:rsid w:val="00775F63"/>
    <w:rsid w:val="00776117"/>
    <w:rsid w:val="00776279"/>
    <w:rsid w:val="00776DE5"/>
    <w:rsid w:val="00776EC4"/>
    <w:rsid w:val="00777076"/>
    <w:rsid w:val="00777BB5"/>
    <w:rsid w:val="00777BD5"/>
    <w:rsid w:val="00777DAB"/>
    <w:rsid w:val="00780164"/>
    <w:rsid w:val="00780663"/>
    <w:rsid w:val="00780D3E"/>
    <w:rsid w:val="00781935"/>
    <w:rsid w:val="00781A5D"/>
    <w:rsid w:val="00781D48"/>
    <w:rsid w:val="00781F05"/>
    <w:rsid w:val="007827B8"/>
    <w:rsid w:val="00782B76"/>
    <w:rsid w:val="00782B9A"/>
    <w:rsid w:val="00783DD4"/>
    <w:rsid w:val="007840CB"/>
    <w:rsid w:val="007840EC"/>
    <w:rsid w:val="00785914"/>
    <w:rsid w:val="00785E6E"/>
    <w:rsid w:val="00785FC7"/>
    <w:rsid w:val="00786DA0"/>
    <w:rsid w:val="00787963"/>
    <w:rsid w:val="00790D11"/>
    <w:rsid w:val="00791A30"/>
    <w:rsid w:val="007921DC"/>
    <w:rsid w:val="00795D67"/>
    <w:rsid w:val="00797366"/>
    <w:rsid w:val="00797415"/>
    <w:rsid w:val="0079793B"/>
    <w:rsid w:val="00797D5F"/>
    <w:rsid w:val="00797F2B"/>
    <w:rsid w:val="007A0630"/>
    <w:rsid w:val="007A07DE"/>
    <w:rsid w:val="007A0C26"/>
    <w:rsid w:val="007A0C49"/>
    <w:rsid w:val="007A0C57"/>
    <w:rsid w:val="007A0DD5"/>
    <w:rsid w:val="007A15C5"/>
    <w:rsid w:val="007A1781"/>
    <w:rsid w:val="007A184B"/>
    <w:rsid w:val="007A1AA9"/>
    <w:rsid w:val="007A1B1D"/>
    <w:rsid w:val="007A23EF"/>
    <w:rsid w:val="007A2FF9"/>
    <w:rsid w:val="007A3B9B"/>
    <w:rsid w:val="007A57A4"/>
    <w:rsid w:val="007A753A"/>
    <w:rsid w:val="007A77D0"/>
    <w:rsid w:val="007B061D"/>
    <w:rsid w:val="007B08BF"/>
    <w:rsid w:val="007B1A18"/>
    <w:rsid w:val="007B1F58"/>
    <w:rsid w:val="007B287D"/>
    <w:rsid w:val="007B2ACD"/>
    <w:rsid w:val="007B2B3D"/>
    <w:rsid w:val="007B34C3"/>
    <w:rsid w:val="007B3984"/>
    <w:rsid w:val="007B3C4B"/>
    <w:rsid w:val="007B5162"/>
    <w:rsid w:val="007B530D"/>
    <w:rsid w:val="007B5343"/>
    <w:rsid w:val="007B5C70"/>
    <w:rsid w:val="007B6C9B"/>
    <w:rsid w:val="007C0082"/>
    <w:rsid w:val="007C0704"/>
    <w:rsid w:val="007C07DA"/>
    <w:rsid w:val="007C16A8"/>
    <w:rsid w:val="007C1E34"/>
    <w:rsid w:val="007C2301"/>
    <w:rsid w:val="007C2564"/>
    <w:rsid w:val="007C2667"/>
    <w:rsid w:val="007C2809"/>
    <w:rsid w:val="007C5447"/>
    <w:rsid w:val="007C5F69"/>
    <w:rsid w:val="007C60DC"/>
    <w:rsid w:val="007C7202"/>
    <w:rsid w:val="007C7D15"/>
    <w:rsid w:val="007D1322"/>
    <w:rsid w:val="007D134C"/>
    <w:rsid w:val="007D1B9A"/>
    <w:rsid w:val="007D1E6C"/>
    <w:rsid w:val="007D2194"/>
    <w:rsid w:val="007D274A"/>
    <w:rsid w:val="007D3104"/>
    <w:rsid w:val="007D44DE"/>
    <w:rsid w:val="007D48D6"/>
    <w:rsid w:val="007D593F"/>
    <w:rsid w:val="007D5A1F"/>
    <w:rsid w:val="007D698C"/>
    <w:rsid w:val="007D6DE1"/>
    <w:rsid w:val="007D7612"/>
    <w:rsid w:val="007E1358"/>
    <w:rsid w:val="007E26F7"/>
    <w:rsid w:val="007E5F2A"/>
    <w:rsid w:val="007E6453"/>
    <w:rsid w:val="007E716E"/>
    <w:rsid w:val="007F09DA"/>
    <w:rsid w:val="007F0A52"/>
    <w:rsid w:val="007F15DC"/>
    <w:rsid w:val="007F2D7E"/>
    <w:rsid w:val="007F3067"/>
    <w:rsid w:val="007F32CC"/>
    <w:rsid w:val="007F3A5E"/>
    <w:rsid w:val="007F3B03"/>
    <w:rsid w:val="007F3B1F"/>
    <w:rsid w:val="007F3BC7"/>
    <w:rsid w:val="007F4EE7"/>
    <w:rsid w:val="007F5389"/>
    <w:rsid w:val="007F53F0"/>
    <w:rsid w:val="007F5B61"/>
    <w:rsid w:val="007F6128"/>
    <w:rsid w:val="007F7A60"/>
    <w:rsid w:val="007F7B4A"/>
    <w:rsid w:val="00801B33"/>
    <w:rsid w:val="00801D3A"/>
    <w:rsid w:val="00802836"/>
    <w:rsid w:val="00802F4F"/>
    <w:rsid w:val="0080462D"/>
    <w:rsid w:val="008056DA"/>
    <w:rsid w:val="0081016D"/>
    <w:rsid w:val="00810414"/>
    <w:rsid w:val="008106C0"/>
    <w:rsid w:val="00811150"/>
    <w:rsid w:val="00811378"/>
    <w:rsid w:val="00811502"/>
    <w:rsid w:val="008125C5"/>
    <w:rsid w:val="008126D6"/>
    <w:rsid w:val="00812D83"/>
    <w:rsid w:val="00814834"/>
    <w:rsid w:val="00814A80"/>
    <w:rsid w:val="00815284"/>
    <w:rsid w:val="008152F0"/>
    <w:rsid w:val="00815DA6"/>
    <w:rsid w:val="0081731E"/>
    <w:rsid w:val="00817C12"/>
    <w:rsid w:val="00817C58"/>
    <w:rsid w:val="00817D6F"/>
    <w:rsid w:val="00820BE3"/>
    <w:rsid w:val="008213D2"/>
    <w:rsid w:val="008227A2"/>
    <w:rsid w:val="0082299E"/>
    <w:rsid w:val="00823EEC"/>
    <w:rsid w:val="00825959"/>
    <w:rsid w:val="00825EA7"/>
    <w:rsid w:val="008272EF"/>
    <w:rsid w:val="00827300"/>
    <w:rsid w:val="00827DB1"/>
    <w:rsid w:val="00830DC7"/>
    <w:rsid w:val="008317F3"/>
    <w:rsid w:val="00831DB2"/>
    <w:rsid w:val="00833736"/>
    <w:rsid w:val="00833AB0"/>
    <w:rsid w:val="00835C30"/>
    <w:rsid w:val="008364A5"/>
    <w:rsid w:val="00836AD5"/>
    <w:rsid w:val="00836B06"/>
    <w:rsid w:val="00836D13"/>
    <w:rsid w:val="00837505"/>
    <w:rsid w:val="00837E78"/>
    <w:rsid w:val="0084046F"/>
    <w:rsid w:val="00840471"/>
    <w:rsid w:val="00840651"/>
    <w:rsid w:val="00841DC5"/>
    <w:rsid w:val="00842E67"/>
    <w:rsid w:val="00842FD7"/>
    <w:rsid w:val="0084320D"/>
    <w:rsid w:val="0084323C"/>
    <w:rsid w:val="00844AB9"/>
    <w:rsid w:val="00844C82"/>
    <w:rsid w:val="008455B7"/>
    <w:rsid w:val="0084577B"/>
    <w:rsid w:val="00845E6F"/>
    <w:rsid w:val="00846334"/>
    <w:rsid w:val="008463B8"/>
    <w:rsid w:val="00846DF6"/>
    <w:rsid w:val="00846EE8"/>
    <w:rsid w:val="00847ED5"/>
    <w:rsid w:val="008501E0"/>
    <w:rsid w:val="00850A19"/>
    <w:rsid w:val="00850BFB"/>
    <w:rsid w:val="008528D5"/>
    <w:rsid w:val="008538C6"/>
    <w:rsid w:val="00853E9B"/>
    <w:rsid w:val="00857A03"/>
    <w:rsid w:val="0086000A"/>
    <w:rsid w:val="00860635"/>
    <w:rsid w:val="0086091D"/>
    <w:rsid w:val="008614D9"/>
    <w:rsid w:val="0086181F"/>
    <w:rsid w:val="00861E0F"/>
    <w:rsid w:val="00861F83"/>
    <w:rsid w:val="00862AA8"/>
    <w:rsid w:val="00863344"/>
    <w:rsid w:val="0086394A"/>
    <w:rsid w:val="00865BD8"/>
    <w:rsid w:val="0086746D"/>
    <w:rsid w:val="008702E8"/>
    <w:rsid w:val="00870732"/>
    <w:rsid w:val="00871965"/>
    <w:rsid w:val="00872105"/>
    <w:rsid w:val="0087260B"/>
    <w:rsid w:val="00872A42"/>
    <w:rsid w:val="00872DC2"/>
    <w:rsid w:val="00873811"/>
    <w:rsid w:val="00873C4B"/>
    <w:rsid w:val="00873E03"/>
    <w:rsid w:val="00874BB2"/>
    <w:rsid w:val="00877AC9"/>
    <w:rsid w:val="00877C6E"/>
    <w:rsid w:val="00880D47"/>
    <w:rsid w:val="00882CB5"/>
    <w:rsid w:val="00883A73"/>
    <w:rsid w:val="008847B5"/>
    <w:rsid w:val="008848DF"/>
    <w:rsid w:val="0088679E"/>
    <w:rsid w:val="008870BA"/>
    <w:rsid w:val="00887282"/>
    <w:rsid w:val="00890BAD"/>
    <w:rsid w:val="00891763"/>
    <w:rsid w:val="00891793"/>
    <w:rsid w:val="0089194E"/>
    <w:rsid w:val="00891C42"/>
    <w:rsid w:val="008920A2"/>
    <w:rsid w:val="00892B76"/>
    <w:rsid w:val="00893CCD"/>
    <w:rsid w:val="00894696"/>
    <w:rsid w:val="00895C7A"/>
    <w:rsid w:val="008963A8"/>
    <w:rsid w:val="008965F9"/>
    <w:rsid w:val="008A0C21"/>
    <w:rsid w:val="008A234B"/>
    <w:rsid w:val="008A26AF"/>
    <w:rsid w:val="008A271F"/>
    <w:rsid w:val="008A2E13"/>
    <w:rsid w:val="008A3363"/>
    <w:rsid w:val="008A3555"/>
    <w:rsid w:val="008A3CC5"/>
    <w:rsid w:val="008A69CF"/>
    <w:rsid w:val="008A77F4"/>
    <w:rsid w:val="008A79EE"/>
    <w:rsid w:val="008B295A"/>
    <w:rsid w:val="008B2AC4"/>
    <w:rsid w:val="008B3184"/>
    <w:rsid w:val="008B37CD"/>
    <w:rsid w:val="008B417B"/>
    <w:rsid w:val="008B42BD"/>
    <w:rsid w:val="008B465E"/>
    <w:rsid w:val="008B47D2"/>
    <w:rsid w:val="008B4D1A"/>
    <w:rsid w:val="008B538F"/>
    <w:rsid w:val="008B5DE3"/>
    <w:rsid w:val="008B616A"/>
    <w:rsid w:val="008B721E"/>
    <w:rsid w:val="008B725F"/>
    <w:rsid w:val="008B735D"/>
    <w:rsid w:val="008B7846"/>
    <w:rsid w:val="008C0632"/>
    <w:rsid w:val="008C0F1C"/>
    <w:rsid w:val="008C1962"/>
    <w:rsid w:val="008C1AB1"/>
    <w:rsid w:val="008C1E80"/>
    <w:rsid w:val="008C229D"/>
    <w:rsid w:val="008C2999"/>
    <w:rsid w:val="008C2FC0"/>
    <w:rsid w:val="008C3088"/>
    <w:rsid w:val="008C370C"/>
    <w:rsid w:val="008C42F7"/>
    <w:rsid w:val="008C4B48"/>
    <w:rsid w:val="008C4B4D"/>
    <w:rsid w:val="008C5D8B"/>
    <w:rsid w:val="008C6696"/>
    <w:rsid w:val="008C712A"/>
    <w:rsid w:val="008C7509"/>
    <w:rsid w:val="008D13C8"/>
    <w:rsid w:val="008D1A60"/>
    <w:rsid w:val="008D1F4E"/>
    <w:rsid w:val="008D241B"/>
    <w:rsid w:val="008D3326"/>
    <w:rsid w:val="008D38E6"/>
    <w:rsid w:val="008D3A9E"/>
    <w:rsid w:val="008D3F17"/>
    <w:rsid w:val="008D4352"/>
    <w:rsid w:val="008D4566"/>
    <w:rsid w:val="008D5CA8"/>
    <w:rsid w:val="008E068A"/>
    <w:rsid w:val="008E12CD"/>
    <w:rsid w:val="008E173D"/>
    <w:rsid w:val="008E19C6"/>
    <w:rsid w:val="008E1B24"/>
    <w:rsid w:val="008E2939"/>
    <w:rsid w:val="008E35C6"/>
    <w:rsid w:val="008E45BA"/>
    <w:rsid w:val="008E4F3F"/>
    <w:rsid w:val="008E6199"/>
    <w:rsid w:val="008E6B89"/>
    <w:rsid w:val="008F0038"/>
    <w:rsid w:val="008F0123"/>
    <w:rsid w:val="008F047D"/>
    <w:rsid w:val="008F0B6D"/>
    <w:rsid w:val="008F17EB"/>
    <w:rsid w:val="008F1C51"/>
    <w:rsid w:val="008F1FCA"/>
    <w:rsid w:val="008F255A"/>
    <w:rsid w:val="008F3080"/>
    <w:rsid w:val="008F35FA"/>
    <w:rsid w:val="008F39FD"/>
    <w:rsid w:val="008F4DA9"/>
    <w:rsid w:val="008F4F76"/>
    <w:rsid w:val="008F55CE"/>
    <w:rsid w:val="008F574F"/>
    <w:rsid w:val="008F65A8"/>
    <w:rsid w:val="008F7341"/>
    <w:rsid w:val="008F7819"/>
    <w:rsid w:val="008F793C"/>
    <w:rsid w:val="008F7AFD"/>
    <w:rsid w:val="008F7C5B"/>
    <w:rsid w:val="009007DA"/>
    <w:rsid w:val="00900E56"/>
    <w:rsid w:val="009010A9"/>
    <w:rsid w:val="00901491"/>
    <w:rsid w:val="00901538"/>
    <w:rsid w:val="00901ECE"/>
    <w:rsid w:val="00902894"/>
    <w:rsid w:val="00902BD1"/>
    <w:rsid w:val="0090330C"/>
    <w:rsid w:val="009035D2"/>
    <w:rsid w:val="0090455D"/>
    <w:rsid w:val="00904BCA"/>
    <w:rsid w:val="0090583C"/>
    <w:rsid w:val="00906E1D"/>
    <w:rsid w:val="00907281"/>
    <w:rsid w:val="0090735A"/>
    <w:rsid w:val="009118F7"/>
    <w:rsid w:val="00912E49"/>
    <w:rsid w:val="00913838"/>
    <w:rsid w:val="00913C46"/>
    <w:rsid w:val="00913F67"/>
    <w:rsid w:val="00914806"/>
    <w:rsid w:val="009150AF"/>
    <w:rsid w:val="0091570F"/>
    <w:rsid w:val="009157FC"/>
    <w:rsid w:val="00915CE4"/>
    <w:rsid w:val="00916FB4"/>
    <w:rsid w:val="00917D21"/>
    <w:rsid w:val="0092132A"/>
    <w:rsid w:val="00921F5E"/>
    <w:rsid w:val="00921F75"/>
    <w:rsid w:val="0092371E"/>
    <w:rsid w:val="00923AB6"/>
    <w:rsid w:val="009243B6"/>
    <w:rsid w:val="00924CE6"/>
    <w:rsid w:val="0092655C"/>
    <w:rsid w:val="00926657"/>
    <w:rsid w:val="0092669C"/>
    <w:rsid w:val="009275D2"/>
    <w:rsid w:val="009305E5"/>
    <w:rsid w:val="00930ABB"/>
    <w:rsid w:val="00930E5C"/>
    <w:rsid w:val="00931316"/>
    <w:rsid w:val="00931803"/>
    <w:rsid w:val="00931868"/>
    <w:rsid w:val="00931B9C"/>
    <w:rsid w:val="00931F2D"/>
    <w:rsid w:val="0093255A"/>
    <w:rsid w:val="009328DF"/>
    <w:rsid w:val="009338F7"/>
    <w:rsid w:val="009339EA"/>
    <w:rsid w:val="00933C61"/>
    <w:rsid w:val="009340D3"/>
    <w:rsid w:val="00934CA9"/>
    <w:rsid w:val="00935519"/>
    <w:rsid w:val="00935FFB"/>
    <w:rsid w:val="00936231"/>
    <w:rsid w:val="00937128"/>
    <w:rsid w:val="0093792A"/>
    <w:rsid w:val="009403E9"/>
    <w:rsid w:val="0094154F"/>
    <w:rsid w:val="009422B7"/>
    <w:rsid w:val="00942E53"/>
    <w:rsid w:val="00943EF1"/>
    <w:rsid w:val="009446DA"/>
    <w:rsid w:val="00945806"/>
    <w:rsid w:val="00947F53"/>
    <w:rsid w:val="00950006"/>
    <w:rsid w:val="00950E85"/>
    <w:rsid w:val="0095181E"/>
    <w:rsid w:val="00951F3C"/>
    <w:rsid w:val="00952C68"/>
    <w:rsid w:val="009541B6"/>
    <w:rsid w:val="009549B2"/>
    <w:rsid w:val="00955488"/>
    <w:rsid w:val="00955E2E"/>
    <w:rsid w:val="0095621E"/>
    <w:rsid w:val="00957150"/>
    <w:rsid w:val="009577DF"/>
    <w:rsid w:val="0096019C"/>
    <w:rsid w:val="0096054D"/>
    <w:rsid w:val="0096063A"/>
    <w:rsid w:val="00960BF3"/>
    <w:rsid w:val="00961407"/>
    <w:rsid w:val="00962132"/>
    <w:rsid w:val="00962908"/>
    <w:rsid w:val="00962DDB"/>
    <w:rsid w:val="0096458E"/>
    <w:rsid w:val="00964AAB"/>
    <w:rsid w:val="00964ACA"/>
    <w:rsid w:val="009658A2"/>
    <w:rsid w:val="009658AF"/>
    <w:rsid w:val="009660A5"/>
    <w:rsid w:val="0096627B"/>
    <w:rsid w:val="009665D7"/>
    <w:rsid w:val="0096728C"/>
    <w:rsid w:val="00967598"/>
    <w:rsid w:val="00967F8B"/>
    <w:rsid w:val="00970680"/>
    <w:rsid w:val="00970A32"/>
    <w:rsid w:val="00970CEE"/>
    <w:rsid w:val="0097104D"/>
    <w:rsid w:val="00972BA4"/>
    <w:rsid w:val="00973044"/>
    <w:rsid w:val="00973B89"/>
    <w:rsid w:val="00973C16"/>
    <w:rsid w:val="00977ACD"/>
    <w:rsid w:val="0098085F"/>
    <w:rsid w:val="009817ED"/>
    <w:rsid w:val="00981ED2"/>
    <w:rsid w:val="00981F9D"/>
    <w:rsid w:val="00981FC0"/>
    <w:rsid w:val="0098245F"/>
    <w:rsid w:val="00983C51"/>
    <w:rsid w:val="00983D38"/>
    <w:rsid w:val="00984226"/>
    <w:rsid w:val="0098520E"/>
    <w:rsid w:val="0098529D"/>
    <w:rsid w:val="0098579A"/>
    <w:rsid w:val="00986810"/>
    <w:rsid w:val="00986910"/>
    <w:rsid w:val="00986A58"/>
    <w:rsid w:val="00986EBC"/>
    <w:rsid w:val="0098742C"/>
    <w:rsid w:val="0099116F"/>
    <w:rsid w:val="00991231"/>
    <w:rsid w:val="00991A7A"/>
    <w:rsid w:val="009929D7"/>
    <w:rsid w:val="00992E13"/>
    <w:rsid w:val="009939E9"/>
    <w:rsid w:val="009947B6"/>
    <w:rsid w:val="00995623"/>
    <w:rsid w:val="00995665"/>
    <w:rsid w:val="009957B0"/>
    <w:rsid w:val="009978B9"/>
    <w:rsid w:val="009A0176"/>
    <w:rsid w:val="009A075A"/>
    <w:rsid w:val="009A0E23"/>
    <w:rsid w:val="009A0EEE"/>
    <w:rsid w:val="009A0FB8"/>
    <w:rsid w:val="009A2755"/>
    <w:rsid w:val="009A29A6"/>
    <w:rsid w:val="009A29DA"/>
    <w:rsid w:val="009A2B74"/>
    <w:rsid w:val="009A37F4"/>
    <w:rsid w:val="009A4C22"/>
    <w:rsid w:val="009A4C5F"/>
    <w:rsid w:val="009A5ABE"/>
    <w:rsid w:val="009A6587"/>
    <w:rsid w:val="009A6D4E"/>
    <w:rsid w:val="009A729C"/>
    <w:rsid w:val="009A730A"/>
    <w:rsid w:val="009B0A2C"/>
    <w:rsid w:val="009B1446"/>
    <w:rsid w:val="009B20EA"/>
    <w:rsid w:val="009B32AB"/>
    <w:rsid w:val="009B3869"/>
    <w:rsid w:val="009B4694"/>
    <w:rsid w:val="009B5248"/>
    <w:rsid w:val="009B57D4"/>
    <w:rsid w:val="009B5854"/>
    <w:rsid w:val="009B5B91"/>
    <w:rsid w:val="009B663E"/>
    <w:rsid w:val="009B6E36"/>
    <w:rsid w:val="009B773F"/>
    <w:rsid w:val="009C112D"/>
    <w:rsid w:val="009C154A"/>
    <w:rsid w:val="009C2079"/>
    <w:rsid w:val="009C2132"/>
    <w:rsid w:val="009C25A6"/>
    <w:rsid w:val="009C2A84"/>
    <w:rsid w:val="009C3C19"/>
    <w:rsid w:val="009C44B5"/>
    <w:rsid w:val="009C4A07"/>
    <w:rsid w:val="009C4E47"/>
    <w:rsid w:val="009C59D8"/>
    <w:rsid w:val="009C5BBD"/>
    <w:rsid w:val="009C61AB"/>
    <w:rsid w:val="009C64BB"/>
    <w:rsid w:val="009C6821"/>
    <w:rsid w:val="009C68B2"/>
    <w:rsid w:val="009C71AF"/>
    <w:rsid w:val="009C7891"/>
    <w:rsid w:val="009D0E7A"/>
    <w:rsid w:val="009D0FD5"/>
    <w:rsid w:val="009D233E"/>
    <w:rsid w:val="009D2758"/>
    <w:rsid w:val="009D504B"/>
    <w:rsid w:val="009D6021"/>
    <w:rsid w:val="009D6C57"/>
    <w:rsid w:val="009D786B"/>
    <w:rsid w:val="009E0756"/>
    <w:rsid w:val="009E320F"/>
    <w:rsid w:val="009E49ED"/>
    <w:rsid w:val="009E4EDC"/>
    <w:rsid w:val="009E53EB"/>
    <w:rsid w:val="009E5525"/>
    <w:rsid w:val="009E59A0"/>
    <w:rsid w:val="009E5BE8"/>
    <w:rsid w:val="009E5E7E"/>
    <w:rsid w:val="009E6B05"/>
    <w:rsid w:val="009F02F1"/>
    <w:rsid w:val="009F07AB"/>
    <w:rsid w:val="009F0BAC"/>
    <w:rsid w:val="009F0E42"/>
    <w:rsid w:val="009F187F"/>
    <w:rsid w:val="009F272E"/>
    <w:rsid w:val="009F33C2"/>
    <w:rsid w:val="009F4133"/>
    <w:rsid w:val="009F4C16"/>
    <w:rsid w:val="009F54A3"/>
    <w:rsid w:val="009F568B"/>
    <w:rsid w:val="009F59B2"/>
    <w:rsid w:val="009F5BD0"/>
    <w:rsid w:val="009F5BEA"/>
    <w:rsid w:val="009F6082"/>
    <w:rsid w:val="009F7220"/>
    <w:rsid w:val="009F7745"/>
    <w:rsid w:val="009F7B67"/>
    <w:rsid w:val="00A00967"/>
    <w:rsid w:val="00A03245"/>
    <w:rsid w:val="00A03472"/>
    <w:rsid w:val="00A05ADA"/>
    <w:rsid w:val="00A05DA7"/>
    <w:rsid w:val="00A06D95"/>
    <w:rsid w:val="00A070C5"/>
    <w:rsid w:val="00A07C3E"/>
    <w:rsid w:val="00A101B7"/>
    <w:rsid w:val="00A10C63"/>
    <w:rsid w:val="00A11A32"/>
    <w:rsid w:val="00A126E3"/>
    <w:rsid w:val="00A131CF"/>
    <w:rsid w:val="00A13BA1"/>
    <w:rsid w:val="00A14335"/>
    <w:rsid w:val="00A14897"/>
    <w:rsid w:val="00A15914"/>
    <w:rsid w:val="00A16D67"/>
    <w:rsid w:val="00A170D6"/>
    <w:rsid w:val="00A2012E"/>
    <w:rsid w:val="00A20334"/>
    <w:rsid w:val="00A20537"/>
    <w:rsid w:val="00A2073E"/>
    <w:rsid w:val="00A20E0F"/>
    <w:rsid w:val="00A21068"/>
    <w:rsid w:val="00A21618"/>
    <w:rsid w:val="00A216E1"/>
    <w:rsid w:val="00A218B0"/>
    <w:rsid w:val="00A223E2"/>
    <w:rsid w:val="00A22EC1"/>
    <w:rsid w:val="00A23426"/>
    <w:rsid w:val="00A23647"/>
    <w:rsid w:val="00A23AF2"/>
    <w:rsid w:val="00A23BF1"/>
    <w:rsid w:val="00A2489C"/>
    <w:rsid w:val="00A24CB2"/>
    <w:rsid w:val="00A24DF8"/>
    <w:rsid w:val="00A24E42"/>
    <w:rsid w:val="00A25018"/>
    <w:rsid w:val="00A258D5"/>
    <w:rsid w:val="00A263D5"/>
    <w:rsid w:val="00A2690B"/>
    <w:rsid w:val="00A270CD"/>
    <w:rsid w:val="00A271EB"/>
    <w:rsid w:val="00A279FF"/>
    <w:rsid w:val="00A27C44"/>
    <w:rsid w:val="00A308A8"/>
    <w:rsid w:val="00A30BC8"/>
    <w:rsid w:val="00A30C9E"/>
    <w:rsid w:val="00A311F7"/>
    <w:rsid w:val="00A31C82"/>
    <w:rsid w:val="00A3222D"/>
    <w:rsid w:val="00A325B0"/>
    <w:rsid w:val="00A32BFD"/>
    <w:rsid w:val="00A33429"/>
    <w:rsid w:val="00A33566"/>
    <w:rsid w:val="00A34821"/>
    <w:rsid w:val="00A35026"/>
    <w:rsid w:val="00A35508"/>
    <w:rsid w:val="00A35C5A"/>
    <w:rsid w:val="00A35EF6"/>
    <w:rsid w:val="00A3695A"/>
    <w:rsid w:val="00A37BC5"/>
    <w:rsid w:val="00A4027B"/>
    <w:rsid w:val="00A40737"/>
    <w:rsid w:val="00A44419"/>
    <w:rsid w:val="00A448CC"/>
    <w:rsid w:val="00A44C59"/>
    <w:rsid w:val="00A44CE9"/>
    <w:rsid w:val="00A4632C"/>
    <w:rsid w:val="00A46933"/>
    <w:rsid w:val="00A469BF"/>
    <w:rsid w:val="00A46DA1"/>
    <w:rsid w:val="00A4788E"/>
    <w:rsid w:val="00A50B8F"/>
    <w:rsid w:val="00A50DC7"/>
    <w:rsid w:val="00A50EA0"/>
    <w:rsid w:val="00A51560"/>
    <w:rsid w:val="00A51FBC"/>
    <w:rsid w:val="00A5219C"/>
    <w:rsid w:val="00A52B02"/>
    <w:rsid w:val="00A54465"/>
    <w:rsid w:val="00A54D93"/>
    <w:rsid w:val="00A552D1"/>
    <w:rsid w:val="00A55690"/>
    <w:rsid w:val="00A55BCC"/>
    <w:rsid w:val="00A603D2"/>
    <w:rsid w:val="00A6147F"/>
    <w:rsid w:val="00A61D49"/>
    <w:rsid w:val="00A61E03"/>
    <w:rsid w:val="00A61F78"/>
    <w:rsid w:val="00A636C3"/>
    <w:rsid w:val="00A63A0C"/>
    <w:rsid w:val="00A63A1A"/>
    <w:rsid w:val="00A653A2"/>
    <w:rsid w:val="00A655D4"/>
    <w:rsid w:val="00A65819"/>
    <w:rsid w:val="00A65986"/>
    <w:rsid w:val="00A70588"/>
    <w:rsid w:val="00A70D8D"/>
    <w:rsid w:val="00A74014"/>
    <w:rsid w:val="00A74567"/>
    <w:rsid w:val="00A751E7"/>
    <w:rsid w:val="00A75C59"/>
    <w:rsid w:val="00A76434"/>
    <w:rsid w:val="00A80F84"/>
    <w:rsid w:val="00A82398"/>
    <w:rsid w:val="00A8278A"/>
    <w:rsid w:val="00A8287C"/>
    <w:rsid w:val="00A840E2"/>
    <w:rsid w:val="00A8414D"/>
    <w:rsid w:val="00A84C11"/>
    <w:rsid w:val="00A85685"/>
    <w:rsid w:val="00A8581E"/>
    <w:rsid w:val="00A86944"/>
    <w:rsid w:val="00A87170"/>
    <w:rsid w:val="00A873DD"/>
    <w:rsid w:val="00A90BFC"/>
    <w:rsid w:val="00A93CD8"/>
    <w:rsid w:val="00A94029"/>
    <w:rsid w:val="00A94246"/>
    <w:rsid w:val="00A95BFD"/>
    <w:rsid w:val="00A95F51"/>
    <w:rsid w:val="00A9613D"/>
    <w:rsid w:val="00A962BF"/>
    <w:rsid w:val="00A96C9F"/>
    <w:rsid w:val="00A97022"/>
    <w:rsid w:val="00A97245"/>
    <w:rsid w:val="00AA0C8E"/>
    <w:rsid w:val="00AA266B"/>
    <w:rsid w:val="00AA6B27"/>
    <w:rsid w:val="00AA6CDA"/>
    <w:rsid w:val="00AA7079"/>
    <w:rsid w:val="00AB0120"/>
    <w:rsid w:val="00AB1CF2"/>
    <w:rsid w:val="00AB23F1"/>
    <w:rsid w:val="00AB256D"/>
    <w:rsid w:val="00AB277F"/>
    <w:rsid w:val="00AB3D83"/>
    <w:rsid w:val="00AB464C"/>
    <w:rsid w:val="00AB4836"/>
    <w:rsid w:val="00AB5340"/>
    <w:rsid w:val="00AC0A9A"/>
    <w:rsid w:val="00AC1576"/>
    <w:rsid w:val="00AC200B"/>
    <w:rsid w:val="00AC2577"/>
    <w:rsid w:val="00AC2D3D"/>
    <w:rsid w:val="00AC30D2"/>
    <w:rsid w:val="00AC35C4"/>
    <w:rsid w:val="00AC5206"/>
    <w:rsid w:val="00AC58C8"/>
    <w:rsid w:val="00AC5BFE"/>
    <w:rsid w:val="00AC6A43"/>
    <w:rsid w:val="00AC6F2B"/>
    <w:rsid w:val="00AC70B2"/>
    <w:rsid w:val="00AC7431"/>
    <w:rsid w:val="00AD15F5"/>
    <w:rsid w:val="00AD2A35"/>
    <w:rsid w:val="00AD39FC"/>
    <w:rsid w:val="00AD40E7"/>
    <w:rsid w:val="00AD4737"/>
    <w:rsid w:val="00AD4889"/>
    <w:rsid w:val="00AD4939"/>
    <w:rsid w:val="00AD531B"/>
    <w:rsid w:val="00AD5338"/>
    <w:rsid w:val="00AD5B90"/>
    <w:rsid w:val="00AD63E3"/>
    <w:rsid w:val="00AD70FC"/>
    <w:rsid w:val="00AD713E"/>
    <w:rsid w:val="00AE03E9"/>
    <w:rsid w:val="00AE0A1E"/>
    <w:rsid w:val="00AE0B73"/>
    <w:rsid w:val="00AE0E57"/>
    <w:rsid w:val="00AE0F66"/>
    <w:rsid w:val="00AE15C6"/>
    <w:rsid w:val="00AE232B"/>
    <w:rsid w:val="00AE238E"/>
    <w:rsid w:val="00AE2C17"/>
    <w:rsid w:val="00AE6985"/>
    <w:rsid w:val="00AF017E"/>
    <w:rsid w:val="00AF108D"/>
    <w:rsid w:val="00AF1375"/>
    <w:rsid w:val="00AF16CF"/>
    <w:rsid w:val="00AF3436"/>
    <w:rsid w:val="00AF3437"/>
    <w:rsid w:val="00AF3B9E"/>
    <w:rsid w:val="00AF4092"/>
    <w:rsid w:val="00AF430E"/>
    <w:rsid w:val="00AF442E"/>
    <w:rsid w:val="00AF4C54"/>
    <w:rsid w:val="00AF5945"/>
    <w:rsid w:val="00AF5A3A"/>
    <w:rsid w:val="00AF5A5E"/>
    <w:rsid w:val="00AF65AC"/>
    <w:rsid w:val="00AF71C7"/>
    <w:rsid w:val="00B00036"/>
    <w:rsid w:val="00B000A9"/>
    <w:rsid w:val="00B00225"/>
    <w:rsid w:val="00B002B2"/>
    <w:rsid w:val="00B00A98"/>
    <w:rsid w:val="00B00D0B"/>
    <w:rsid w:val="00B00DF9"/>
    <w:rsid w:val="00B010AF"/>
    <w:rsid w:val="00B011F6"/>
    <w:rsid w:val="00B011FB"/>
    <w:rsid w:val="00B014D1"/>
    <w:rsid w:val="00B0211E"/>
    <w:rsid w:val="00B030CD"/>
    <w:rsid w:val="00B0386B"/>
    <w:rsid w:val="00B03EF6"/>
    <w:rsid w:val="00B055F0"/>
    <w:rsid w:val="00B05782"/>
    <w:rsid w:val="00B057BE"/>
    <w:rsid w:val="00B05D2B"/>
    <w:rsid w:val="00B06DFA"/>
    <w:rsid w:val="00B07683"/>
    <w:rsid w:val="00B100B4"/>
    <w:rsid w:val="00B101A5"/>
    <w:rsid w:val="00B11458"/>
    <w:rsid w:val="00B11E6B"/>
    <w:rsid w:val="00B1277C"/>
    <w:rsid w:val="00B12EA6"/>
    <w:rsid w:val="00B1354C"/>
    <w:rsid w:val="00B13858"/>
    <w:rsid w:val="00B13BC6"/>
    <w:rsid w:val="00B14A80"/>
    <w:rsid w:val="00B15325"/>
    <w:rsid w:val="00B15336"/>
    <w:rsid w:val="00B15F6C"/>
    <w:rsid w:val="00B16C74"/>
    <w:rsid w:val="00B2037A"/>
    <w:rsid w:val="00B2211C"/>
    <w:rsid w:val="00B22FE8"/>
    <w:rsid w:val="00B233B5"/>
    <w:rsid w:val="00B23885"/>
    <w:rsid w:val="00B23E10"/>
    <w:rsid w:val="00B24BB2"/>
    <w:rsid w:val="00B25675"/>
    <w:rsid w:val="00B256ED"/>
    <w:rsid w:val="00B25B70"/>
    <w:rsid w:val="00B25E10"/>
    <w:rsid w:val="00B26125"/>
    <w:rsid w:val="00B2680E"/>
    <w:rsid w:val="00B278EB"/>
    <w:rsid w:val="00B27CBA"/>
    <w:rsid w:val="00B302AB"/>
    <w:rsid w:val="00B31669"/>
    <w:rsid w:val="00B316DC"/>
    <w:rsid w:val="00B31E8B"/>
    <w:rsid w:val="00B327EE"/>
    <w:rsid w:val="00B32BC8"/>
    <w:rsid w:val="00B333F5"/>
    <w:rsid w:val="00B33CB3"/>
    <w:rsid w:val="00B35A48"/>
    <w:rsid w:val="00B36488"/>
    <w:rsid w:val="00B37F1A"/>
    <w:rsid w:val="00B40AF6"/>
    <w:rsid w:val="00B40E1F"/>
    <w:rsid w:val="00B4184F"/>
    <w:rsid w:val="00B422D6"/>
    <w:rsid w:val="00B4319C"/>
    <w:rsid w:val="00B43BB7"/>
    <w:rsid w:val="00B446CF"/>
    <w:rsid w:val="00B44AAF"/>
    <w:rsid w:val="00B4545C"/>
    <w:rsid w:val="00B45E7D"/>
    <w:rsid w:val="00B45ED9"/>
    <w:rsid w:val="00B461E8"/>
    <w:rsid w:val="00B472E7"/>
    <w:rsid w:val="00B4757D"/>
    <w:rsid w:val="00B47A48"/>
    <w:rsid w:val="00B47CD5"/>
    <w:rsid w:val="00B50048"/>
    <w:rsid w:val="00B50B9F"/>
    <w:rsid w:val="00B50C3D"/>
    <w:rsid w:val="00B50C6E"/>
    <w:rsid w:val="00B513DB"/>
    <w:rsid w:val="00B51B64"/>
    <w:rsid w:val="00B523E6"/>
    <w:rsid w:val="00B524F2"/>
    <w:rsid w:val="00B52954"/>
    <w:rsid w:val="00B53126"/>
    <w:rsid w:val="00B532E9"/>
    <w:rsid w:val="00B5378E"/>
    <w:rsid w:val="00B53976"/>
    <w:rsid w:val="00B54049"/>
    <w:rsid w:val="00B54A25"/>
    <w:rsid w:val="00B55434"/>
    <w:rsid w:val="00B5572A"/>
    <w:rsid w:val="00B56CE2"/>
    <w:rsid w:val="00B56EF3"/>
    <w:rsid w:val="00B57224"/>
    <w:rsid w:val="00B57450"/>
    <w:rsid w:val="00B57C7F"/>
    <w:rsid w:val="00B6014F"/>
    <w:rsid w:val="00B6049A"/>
    <w:rsid w:val="00B60D12"/>
    <w:rsid w:val="00B62DBA"/>
    <w:rsid w:val="00B6414F"/>
    <w:rsid w:val="00B65C0D"/>
    <w:rsid w:val="00B66AE8"/>
    <w:rsid w:val="00B66B92"/>
    <w:rsid w:val="00B66DB6"/>
    <w:rsid w:val="00B674FC"/>
    <w:rsid w:val="00B675B5"/>
    <w:rsid w:val="00B67F09"/>
    <w:rsid w:val="00B70505"/>
    <w:rsid w:val="00B7108A"/>
    <w:rsid w:val="00B71816"/>
    <w:rsid w:val="00B71842"/>
    <w:rsid w:val="00B71DC9"/>
    <w:rsid w:val="00B72433"/>
    <w:rsid w:val="00B73A91"/>
    <w:rsid w:val="00B7439A"/>
    <w:rsid w:val="00B74B70"/>
    <w:rsid w:val="00B74DA9"/>
    <w:rsid w:val="00B74F31"/>
    <w:rsid w:val="00B74F76"/>
    <w:rsid w:val="00B75298"/>
    <w:rsid w:val="00B75308"/>
    <w:rsid w:val="00B7562B"/>
    <w:rsid w:val="00B75CB2"/>
    <w:rsid w:val="00B76047"/>
    <w:rsid w:val="00B7604E"/>
    <w:rsid w:val="00B76855"/>
    <w:rsid w:val="00B8017B"/>
    <w:rsid w:val="00B8036D"/>
    <w:rsid w:val="00B812EC"/>
    <w:rsid w:val="00B814C1"/>
    <w:rsid w:val="00B81F93"/>
    <w:rsid w:val="00B825C5"/>
    <w:rsid w:val="00B82607"/>
    <w:rsid w:val="00B839EB"/>
    <w:rsid w:val="00B84157"/>
    <w:rsid w:val="00B8474B"/>
    <w:rsid w:val="00B85400"/>
    <w:rsid w:val="00B8621D"/>
    <w:rsid w:val="00B8679D"/>
    <w:rsid w:val="00B86EC0"/>
    <w:rsid w:val="00B87874"/>
    <w:rsid w:val="00B87D7F"/>
    <w:rsid w:val="00B87D82"/>
    <w:rsid w:val="00B91376"/>
    <w:rsid w:val="00B913FE"/>
    <w:rsid w:val="00B914E8"/>
    <w:rsid w:val="00B917ED"/>
    <w:rsid w:val="00B91B66"/>
    <w:rsid w:val="00B92A05"/>
    <w:rsid w:val="00B92C16"/>
    <w:rsid w:val="00B94059"/>
    <w:rsid w:val="00B9413D"/>
    <w:rsid w:val="00B941B3"/>
    <w:rsid w:val="00B94AB9"/>
    <w:rsid w:val="00B95A62"/>
    <w:rsid w:val="00B95F90"/>
    <w:rsid w:val="00B964DB"/>
    <w:rsid w:val="00B971F8"/>
    <w:rsid w:val="00B97332"/>
    <w:rsid w:val="00B97656"/>
    <w:rsid w:val="00B97B3B"/>
    <w:rsid w:val="00BA11BF"/>
    <w:rsid w:val="00BA1724"/>
    <w:rsid w:val="00BA1917"/>
    <w:rsid w:val="00BA20D7"/>
    <w:rsid w:val="00BA2162"/>
    <w:rsid w:val="00BA24E3"/>
    <w:rsid w:val="00BA2960"/>
    <w:rsid w:val="00BA3026"/>
    <w:rsid w:val="00BA335C"/>
    <w:rsid w:val="00BA3A8D"/>
    <w:rsid w:val="00BA41A3"/>
    <w:rsid w:val="00BA555B"/>
    <w:rsid w:val="00BA5A5B"/>
    <w:rsid w:val="00BA5D42"/>
    <w:rsid w:val="00BA5E9B"/>
    <w:rsid w:val="00BA6AA6"/>
    <w:rsid w:val="00BB16D4"/>
    <w:rsid w:val="00BB28FF"/>
    <w:rsid w:val="00BB2DDE"/>
    <w:rsid w:val="00BB44D9"/>
    <w:rsid w:val="00BB4F1E"/>
    <w:rsid w:val="00BB5435"/>
    <w:rsid w:val="00BB5F66"/>
    <w:rsid w:val="00BB6495"/>
    <w:rsid w:val="00BB69B3"/>
    <w:rsid w:val="00BB6A1B"/>
    <w:rsid w:val="00BB74B4"/>
    <w:rsid w:val="00BB7917"/>
    <w:rsid w:val="00BB7FC6"/>
    <w:rsid w:val="00BC1165"/>
    <w:rsid w:val="00BC292B"/>
    <w:rsid w:val="00BC2FCB"/>
    <w:rsid w:val="00BC3608"/>
    <w:rsid w:val="00BC3DC7"/>
    <w:rsid w:val="00BC5F96"/>
    <w:rsid w:val="00BC61D6"/>
    <w:rsid w:val="00BC66C1"/>
    <w:rsid w:val="00BC6960"/>
    <w:rsid w:val="00BC7088"/>
    <w:rsid w:val="00BC730B"/>
    <w:rsid w:val="00BC7666"/>
    <w:rsid w:val="00BD1E55"/>
    <w:rsid w:val="00BD1FAD"/>
    <w:rsid w:val="00BD235B"/>
    <w:rsid w:val="00BD45AB"/>
    <w:rsid w:val="00BD495C"/>
    <w:rsid w:val="00BD4D85"/>
    <w:rsid w:val="00BD619C"/>
    <w:rsid w:val="00BD7381"/>
    <w:rsid w:val="00BD7761"/>
    <w:rsid w:val="00BE02C4"/>
    <w:rsid w:val="00BE0BE6"/>
    <w:rsid w:val="00BE0E64"/>
    <w:rsid w:val="00BE10F8"/>
    <w:rsid w:val="00BE1471"/>
    <w:rsid w:val="00BE1602"/>
    <w:rsid w:val="00BE16E2"/>
    <w:rsid w:val="00BE19C5"/>
    <w:rsid w:val="00BE1A56"/>
    <w:rsid w:val="00BE1D16"/>
    <w:rsid w:val="00BE2B49"/>
    <w:rsid w:val="00BE3BFC"/>
    <w:rsid w:val="00BE4198"/>
    <w:rsid w:val="00BE51AF"/>
    <w:rsid w:val="00BE73C5"/>
    <w:rsid w:val="00BE772C"/>
    <w:rsid w:val="00BF0900"/>
    <w:rsid w:val="00BF121B"/>
    <w:rsid w:val="00BF1957"/>
    <w:rsid w:val="00BF2D5E"/>
    <w:rsid w:val="00BF37B1"/>
    <w:rsid w:val="00BF4F12"/>
    <w:rsid w:val="00BF4F8C"/>
    <w:rsid w:val="00BF6DDA"/>
    <w:rsid w:val="00C00362"/>
    <w:rsid w:val="00C006C1"/>
    <w:rsid w:val="00C00E3D"/>
    <w:rsid w:val="00C00E54"/>
    <w:rsid w:val="00C029E5"/>
    <w:rsid w:val="00C03DD5"/>
    <w:rsid w:val="00C04869"/>
    <w:rsid w:val="00C04E57"/>
    <w:rsid w:val="00C05C0C"/>
    <w:rsid w:val="00C05FE2"/>
    <w:rsid w:val="00C065FC"/>
    <w:rsid w:val="00C071B8"/>
    <w:rsid w:val="00C1105F"/>
    <w:rsid w:val="00C1108A"/>
    <w:rsid w:val="00C11F11"/>
    <w:rsid w:val="00C11F74"/>
    <w:rsid w:val="00C12005"/>
    <w:rsid w:val="00C133FD"/>
    <w:rsid w:val="00C1355F"/>
    <w:rsid w:val="00C13ABC"/>
    <w:rsid w:val="00C13E6A"/>
    <w:rsid w:val="00C152C9"/>
    <w:rsid w:val="00C15C41"/>
    <w:rsid w:val="00C15DCC"/>
    <w:rsid w:val="00C15E1E"/>
    <w:rsid w:val="00C168C7"/>
    <w:rsid w:val="00C1721D"/>
    <w:rsid w:val="00C172EB"/>
    <w:rsid w:val="00C17D51"/>
    <w:rsid w:val="00C20FFA"/>
    <w:rsid w:val="00C215D3"/>
    <w:rsid w:val="00C2167B"/>
    <w:rsid w:val="00C2189E"/>
    <w:rsid w:val="00C21B81"/>
    <w:rsid w:val="00C221F0"/>
    <w:rsid w:val="00C224C5"/>
    <w:rsid w:val="00C226D1"/>
    <w:rsid w:val="00C24097"/>
    <w:rsid w:val="00C2530C"/>
    <w:rsid w:val="00C2576E"/>
    <w:rsid w:val="00C25871"/>
    <w:rsid w:val="00C26537"/>
    <w:rsid w:val="00C2658F"/>
    <w:rsid w:val="00C2678B"/>
    <w:rsid w:val="00C2760D"/>
    <w:rsid w:val="00C30373"/>
    <w:rsid w:val="00C30526"/>
    <w:rsid w:val="00C30CA1"/>
    <w:rsid w:val="00C312B1"/>
    <w:rsid w:val="00C3195E"/>
    <w:rsid w:val="00C3197B"/>
    <w:rsid w:val="00C32697"/>
    <w:rsid w:val="00C32A16"/>
    <w:rsid w:val="00C334B8"/>
    <w:rsid w:val="00C3416D"/>
    <w:rsid w:val="00C342E0"/>
    <w:rsid w:val="00C346B5"/>
    <w:rsid w:val="00C35138"/>
    <w:rsid w:val="00C37129"/>
    <w:rsid w:val="00C37D3E"/>
    <w:rsid w:val="00C40A53"/>
    <w:rsid w:val="00C410C9"/>
    <w:rsid w:val="00C420F5"/>
    <w:rsid w:val="00C42674"/>
    <w:rsid w:val="00C42751"/>
    <w:rsid w:val="00C42823"/>
    <w:rsid w:val="00C438BA"/>
    <w:rsid w:val="00C43B43"/>
    <w:rsid w:val="00C44411"/>
    <w:rsid w:val="00C4492B"/>
    <w:rsid w:val="00C47747"/>
    <w:rsid w:val="00C47971"/>
    <w:rsid w:val="00C47F3C"/>
    <w:rsid w:val="00C51084"/>
    <w:rsid w:val="00C51907"/>
    <w:rsid w:val="00C53E70"/>
    <w:rsid w:val="00C53F4D"/>
    <w:rsid w:val="00C54E3E"/>
    <w:rsid w:val="00C55AC9"/>
    <w:rsid w:val="00C55D82"/>
    <w:rsid w:val="00C5630B"/>
    <w:rsid w:val="00C56AE3"/>
    <w:rsid w:val="00C56D1C"/>
    <w:rsid w:val="00C57438"/>
    <w:rsid w:val="00C5761C"/>
    <w:rsid w:val="00C57EFC"/>
    <w:rsid w:val="00C57F02"/>
    <w:rsid w:val="00C6112B"/>
    <w:rsid w:val="00C61151"/>
    <w:rsid w:val="00C61196"/>
    <w:rsid w:val="00C622D6"/>
    <w:rsid w:val="00C62987"/>
    <w:rsid w:val="00C65563"/>
    <w:rsid w:val="00C65B3A"/>
    <w:rsid w:val="00C66399"/>
    <w:rsid w:val="00C66490"/>
    <w:rsid w:val="00C6690D"/>
    <w:rsid w:val="00C66BB2"/>
    <w:rsid w:val="00C66DA2"/>
    <w:rsid w:val="00C67377"/>
    <w:rsid w:val="00C674B5"/>
    <w:rsid w:val="00C677AA"/>
    <w:rsid w:val="00C67BBA"/>
    <w:rsid w:val="00C67D23"/>
    <w:rsid w:val="00C708BE"/>
    <w:rsid w:val="00C70B49"/>
    <w:rsid w:val="00C70E91"/>
    <w:rsid w:val="00C712BB"/>
    <w:rsid w:val="00C71522"/>
    <w:rsid w:val="00C71D26"/>
    <w:rsid w:val="00C72211"/>
    <w:rsid w:val="00C7224C"/>
    <w:rsid w:val="00C7226E"/>
    <w:rsid w:val="00C7227A"/>
    <w:rsid w:val="00C7236C"/>
    <w:rsid w:val="00C72BDF"/>
    <w:rsid w:val="00C730D3"/>
    <w:rsid w:val="00C7511F"/>
    <w:rsid w:val="00C75F82"/>
    <w:rsid w:val="00C7649C"/>
    <w:rsid w:val="00C77A29"/>
    <w:rsid w:val="00C80036"/>
    <w:rsid w:val="00C80193"/>
    <w:rsid w:val="00C80483"/>
    <w:rsid w:val="00C8052E"/>
    <w:rsid w:val="00C809AC"/>
    <w:rsid w:val="00C81161"/>
    <w:rsid w:val="00C81E1D"/>
    <w:rsid w:val="00C82431"/>
    <w:rsid w:val="00C827A4"/>
    <w:rsid w:val="00C82BBC"/>
    <w:rsid w:val="00C82D02"/>
    <w:rsid w:val="00C82F8A"/>
    <w:rsid w:val="00C85AF7"/>
    <w:rsid w:val="00C8661C"/>
    <w:rsid w:val="00C90F55"/>
    <w:rsid w:val="00C9198B"/>
    <w:rsid w:val="00C91D02"/>
    <w:rsid w:val="00C92D32"/>
    <w:rsid w:val="00C956BF"/>
    <w:rsid w:val="00C96B25"/>
    <w:rsid w:val="00C96F44"/>
    <w:rsid w:val="00C97EC3"/>
    <w:rsid w:val="00C97EDE"/>
    <w:rsid w:val="00CA137D"/>
    <w:rsid w:val="00CA17B9"/>
    <w:rsid w:val="00CA2890"/>
    <w:rsid w:val="00CA2909"/>
    <w:rsid w:val="00CA2ABC"/>
    <w:rsid w:val="00CA2C72"/>
    <w:rsid w:val="00CA2E3A"/>
    <w:rsid w:val="00CA31E5"/>
    <w:rsid w:val="00CA34AE"/>
    <w:rsid w:val="00CA366F"/>
    <w:rsid w:val="00CA3F97"/>
    <w:rsid w:val="00CA4480"/>
    <w:rsid w:val="00CA4CC4"/>
    <w:rsid w:val="00CA69FB"/>
    <w:rsid w:val="00CA6B50"/>
    <w:rsid w:val="00CA6D6E"/>
    <w:rsid w:val="00CB0B17"/>
    <w:rsid w:val="00CB123E"/>
    <w:rsid w:val="00CB1D94"/>
    <w:rsid w:val="00CB24BD"/>
    <w:rsid w:val="00CB37E5"/>
    <w:rsid w:val="00CB397B"/>
    <w:rsid w:val="00CB39A5"/>
    <w:rsid w:val="00CB41CD"/>
    <w:rsid w:val="00CB469D"/>
    <w:rsid w:val="00CB5091"/>
    <w:rsid w:val="00CB520D"/>
    <w:rsid w:val="00CB693A"/>
    <w:rsid w:val="00CB6BC2"/>
    <w:rsid w:val="00CB6E9D"/>
    <w:rsid w:val="00CC0A2D"/>
    <w:rsid w:val="00CC0A64"/>
    <w:rsid w:val="00CC1272"/>
    <w:rsid w:val="00CC1B25"/>
    <w:rsid w:val="00CC2901"/>
    <w:rsid w:val="00CC2AE9"/>
    <w:rsid w:val="00CC2FE9"/>
    <w:rsid w:val="00CC403C"/>
    <w:rsid w:val="00CC4482"/>
    <w:rsid w:val="00CC7593"/>
    <w:rsid w:val="00CD000B"/>
    <w:rsid w:val="00CD10CE"/>
    <w:rsid w:val="00CD1A71"/>
    <w:rsid w:val="00CD22C5"/>
    <w:rsid w:val="00CD23EF"/>
    <w:rsid w:val="00CD24B5"/>
    <w:rsid w:val="00CD2896"/>
    <w:rsid w:val="00CD351B"/>
    <w:rsid w:val="00CD39C3"/>
    <w:rsid w:val="00CD4836"/>
    <w:rsid w:val="00CD4AA2"/>
    <w:rsid w:val="00CD5573"/>
    <w:rsid w:val="00CD59D4"/>
    <w:rsid w:val="00CD6152"/>
    <w:rsid w:val="00CD6529"/>
    <w:rsid w:val="00CD7BD8"/>
    <w:rsid w:val="00CD7CD6"/>
    <w:rsid w:val="00CE038D"/>
    <w:rsid w:val="00CE0B22"/>
    <w:rsid w:val="00CE0C72"/>
    <w:rsid w:val="00CE1023"/>
    <w:rsid w:val="00CE1784"/>
    <w:rsid w:val="00CE18B0"/>
    <w:rsid w:val="00CE2112"/>
    <w:rsid w:val="00CE338C"/>
    <w:rsid w:val="00CE363B"/>
    <w:rsid w:val="00CE458F"/>
    <w:rsid w:val="00CE476D"/>
    <w:rsid w:val="00CE55A2"/>
    <w:rsid w:val="00CF06BC"/>
    <w:rsid w:val="00CF14CB"/>
    <w:rsid w:val="00CF15D7"/>
    <w:rsid w:val="00CF2039"/>
    <w:rsid w:val="00CF22C1"/>
    <w:rsid w:val="00CF282D"/>
    <w:rsid w:val="00CF4845"/>
    <w:rsid w:val="00CF54AE"/>
    <w:rsid w:val="00CF5862"/>
    <w:rsid w:val="00CF5C24"/>
    <w:rsid w:val="00CF7D69"/>
    <w:rsid w:val="00D00717"/>
    <w:rsid w:val="00D01EC6"/>
    <w:rsid w:val="00D028F7"/>
    <w:rsid w:val="00D029DB"/>
    <w:rsid w:val="00D03248"/>
    <w:rsid w:val="00D03552"/>
    <w:rsid w:val="00D03711"/>
    <w:rsid w:val="00D03723"/>
    <w:rsid w:val="00D05280"/>
    <w:rsid w:val="00D053B2"/>
    <w:rsid w:val="00D057D1"/>
    <w:rsid w:val="00D05849"/>
    <w:rsid w:val="00D070F2"/>
    <w:rsid w:val="00D076D2"/>
    <w:rsid w:val="00D07D09"/>
    <w:rsid w:val="00D07F2B"/>
    <w:rsid w:val="00D10C91"/>
    <w:rsid w:val="00D119A9"/>
    <w:rsid w:val="00D11FA6"/>
    <w:rsid w:val="00D13074"/>
    <w:rsid w:val="00D13247"/>
    <w:rsid w:val="00D134A8"/>
    <w:rsid w:val="00D138F4"/>
    <w:rsid w:val="00D13F45"/>
    <w:rsid w:val="00D1427A"/>
    <w:rsid w:val="00D14897"/>
    <w:rsid w:val="00D15D4B"/>
    <w:rsid w:val="00D200FB"/>
    <w:rsid w:val="00D20BB3"/>
    <w:rsid w:val="00D229EC"/>
    <w:rsid w:val="00D22F39"/>
    <w:rsid w:val="00D231C0"/>
    <w:rsid w:val="00D23420"/>
    <w:rsid w:val="00D235E4"/>
    <w:rsid w:val="00D23DD0"/>
    <w:rsid w:val="00D23F90"/>
    <w:rsid w:val="00D2421C"/>
    <w:rsid w:val="00D24340"/>
    <w:rsid w:val="00D24918"/>
    <w:rsid w:val="00D25745"/>
    <w:rsid w:val="00D25825"/>
    <w:rsid w:val="00D26509"/>
    <w:rsid w:val="00D27620"/>
    <w:rsid w:val="00D301DB"/>
    <w:rsid w:val="00D33093"/>
    <w:rsid w:val="00D33D52"/>
    <w:rsid w:val="00D33E26"/>
    <w:rsid w:val="00D35081"/>
    <w:rsid w:val="00D350D1"/>
    <w:rsid w:val="00D3556F"/>
    <w:rsid w:val="00D35A51"/>
    <w:rsid w:val="00D35E20"/>
    <w:rsid w:val="00D37825"/>
    <w:rsid w:val="00D3785D"/>
    <w:rsid w:val="00D379D1"/>
    <w:rsid w:val="00D40A2A"/>
    <w:rsid w:val="00D40B1F"/>
    <w:rsid w:val="00D41893"/>
    <w:rsid w:val="00D4283B"/>
    <w:rsid w:val="00D43351"/>
    <w:rsid w:val="00D43ADB"/>
    <w:rsid w:val="00D44C8B"/>
    <w:rsid w:val="00D44F18"/>
    <w:rsid w:val="00D45368"/>
    <w:rsid w:val="00D45380"/>
    <w:rsid w:val="00D45B62"/>
    <w:rsid w:val="00D4699A"/>
    <w:rsid w:val="00D46D85"/>
    <w:rsid w:val="00D46E69"/>
    <w:rsid w:val="00D4796D"/>
    <w:rsid w:val="00D47FFC"/>
    <w:rsid w:val="00D513C6"/>
    <w:rsid w:val="00D522C6"/>
    <w:rsid w:val="00D52359"/>
    <w:rsid w:val="00D52913"/>
    <w:rsid w:val="00D52930"/>
    <w:rsid w:val="00D52DE5"/>
    <w:rsid w:val="00D52F6B"/>
    <w:rsid w:val="00D53C73"/>
    <w:rsid w:val="00D53F92"/>
    <w:rsid w:val="00D543B6"/>
    <w:rsid w:val="00D54C5A"/>
    <w:rsid w:val="00D555AC"/>
    <w:rsid w:val="00D56729"/>
    <w:rsid w:val="00D56807"/>
    <w:rsid w:val="00D5717E"/>
    <w:rsid w:val="00D57529"/>
    <w:rsid w:val="00D601C2"/>
    <w:rsid w:val="00D6142B"/>
    <w:rsid w:val="00D6295A"/>
    <w:rsid w:val="00D629ED"/>
    <w:rsid w:val="00D62D94"/>
    <w:rsid w:val="00D62EC0"/>
    <w:rsid w:val="00D6347B"/>
    <w:rsid w:val="00D637FB"/>
    <w:rsid w:val="00D644CC"/>
    <w:rsid w:val="00D6567B"/>
    <w:rsid w:val="00D66BBD"/>
    <w:rsid w:val="00D67807"/>
    <w:rsid w:val="00D67A90"/>
    <w:rsid w:val="00D67A93"/>
    <w:rsid w:val="00D70126"/>
    <w:rsid w:val="00D70813"/>
    <w:rsid w:val="00D709E0"/>
    <w:rsid w:val="00D70A4A"/>
    <w:rsid w:val="00D70CF9"/>
    <w:rsid w:val="00D70DA7"/>
    <w:rsid w:val="00D71621"/>
    <w:rsid w:val="00D71C00"/>
    <w:rsid w:val="00D71E24"/>
    <w:rsid w:val="00D71FE4"/>
    <w:rsid w:val="00D72E11"/>
    <w:rsid w:val="00D7380A"/>
    <w:rsid w:val="00D73C9B"/>
    <w:rsid w:val="00D741F9"/>
    <w:rsid w:val="00D742A7"/>
    <w:rsid w:val="00D74998"/>
    <w:rsid w:val="00D74B6D"/>
    <w:rsid w:val="00D75714"/>
    <w:rsid w:val="00D7600B"/>
    <w:rsid w:val="00D76D98"/>
    <w:rsid w:val="00D772F3"/>
    <w:rsid w:val="00D80014"/>
    <w:rsid w:val="00D805FD"/>
    <w:rsid w:val="00D8081E"/>
    <w:rsid w:val="00D8160B"/>
    <w:rsid w:val="00D81D96"/>
    <w:rsid w:val="00D8341F"/>
    <w:rsid w:val="00D83915"/>
    <w:rsid w:val="00D83F1E"/>
    <w:rsid w:val="00D85989"/>
    <w:rsid w:val="00D860C9"/>
    <w:rsid w:val="00D865D4"/>
    <w:rsid w:val="00D868EE"/>
    <w:rsid w:val="00D86FDB"/>
    <w:rsid w:val="00D87B0D"/>
    <w:rsid w:val="00D87D91"/>
    <w:rsid w:val="00D91D68"/>
    <w:rsid w:val="00D92042"/>
    <w:rsid w:val="00D931E5"/>
    <w:rsid w:val="00D93207"/>
    <w:rsid w:val="00D9446B"/>
    <w:rsid w:val="00D95578"/>
    <w:rsid w:val="00D95698"/>
    <w:rsid w:val="00D95763"/>
    <w:rsid w:val="00D95910"/>
    <w:rsid w:val="00D961E4"/>
    <w:rsid w:val="00D96748"/>
    <w:rsid w:val="00D967D6"/>
    <w:rsid w:val="00D96919"/>
    <w:rsid w:val="00D9777A"/>
    <w:rsid w:val="00DA021A"/>
    <w:rsid w:val="00DA11E2"/>
    <w:rsid w:val="00DA2DA1"/>
    <w:rsid w:val="00DA2EDD"/>
    <w:rsid w:val="00DA3D27"/>
    <w:rsid w:val="00DA3D2B"/>
    <w:rsid w:val="00DA3DAB"/>
    <w:rsid w:val="00DA422C"/>
    <w:rsid w:val="00DA45B5"/>
    <w:rsid w:val="00DA7BFE"/>
    <w:rsid w:val="00DB0BE3"/>
    <w:rsid w:val="00DB1AA1"/>
    <w:rsid w:val="00DB213B"/>
    <w:rsid w:val="00DB250E"/>
    <w:rsid w:val="00DB2B73"/>
    <w:rsid w:val="00DB2F37"/>
    <w:rsid w:val="00DB35DC"/>
    <w:rsid w:val="00DB3717"/>
    <w:rsid w:val="00DB434A"/>
    <w:rsid w:val="00DB436F"/>
    <w:rsid w:val="00DB45A7"/>
    <w:rsid w:val="00DB6950"/>
    <w:rsid w:val="00DB7432"/>
    <w:rsid w:val="00DB7DE9"/>
    <w:rsid w:val="00DC07D8"/>
    <w:rsid w:val="00DC0C05"/>
    <w:rsid w:val="00DC0CAA"/>
    <w:rsid w:val="00DC22DF"/>
    <w:rsid w:val="00DC2A1B"/>
    <w:rsid w:val="00DC32ED"/>
    <w:rsid w:val="00DC3FFA"/>
    <w:rsid w:val="00DC57C6"/>
    <w:rsid w:val="00DC5B07"/>
    <w:rsid w:val="00DC60DE"/>
    <w:rsid w:val="00DC684E"/>
    <w:rsid w:val="00DC69BD"/>
    <w:rsid w:val="00DC6C02"/>
    <w:rsid w:val="00DC6D8B"/>
    <w:rsid w:val="00DC7086"/>
    <w:rsid w:val="00DC748A"/>
    <w:rsid w:val="00DC76C2"/>
    <w:rsid w:val="00DC77E5"/>
    <w:rsid w:val="00DC786F"/>
    <w:rsid w:val="00DC7ABE"/>
    <w:rsid w:val="00DD0A76"/>
    <w:rsid w:val="00DD0BFD"/>
    <w:rsid w:val="00DD1699"/>
    <w:rsid w:val="00DD16D7"/>
    <w:rsid w:val="00DD1B5E"/>
    <w:rsid w:val="00DD42C9"/>
    <w:rsid w:val="00DD4B00"/>
    <w:rsid w:val="00DD5722"/>
    <w:rsid w:val="00DD5DDA"/>
    <w:rsid w:val="00DD6534"/>
    <w:rsid w:val="00DD6DD0"/>
    <w:rsid w:val="00DD7429"/>
    <w:rsid w:val="00DD7AED"/>
    <w:rsid w:val="00DD7FBD"/>
    <w:rsid w:val="00DE005D"/>
    <w:rsid w:val="00DE0136"/>
    <w:rsid w:val="00DE020F"/>
    <w:rsid w:val="00DE16D7"/>
    <w:rsid w:val="00DE18F8"/>
    <w:rsid w:val="00DE1C83"/>
    <w:rsid w:val="00DE38E2"/>
    <w:rsid w:val="00DE3BE5"/>
    <w:rsid w:val="00DE3EFA"/>
    <w:rsid w:val="00DE3FCA"/>
    <w:rsid w:val="00DE6F5F"/>
    <w:rsid w:val="00DE77A8"/>
    <w:rsid w:val="00DE7D4D"/>
    <w:rsid w:val="00DF06C3"/>
    <w:rsid w:val="00DF08CA"/>
    <w:rsid w:val="00DF12D1"/>
    <w:rsid w:val="00DF15EB"/>
    <w:rsid w:val="00DF16C9"/>
    <w:rsid w:val="00DF1839"/>
    <w:rsid w:val="00DF2EA8"/>
    <w:rsid w:val="00DF3209"/>
    <w:rsid w:val="00DF3E56"/>
    <w:rsid w:val="00DF42D1"/>
    <w:rsid w:val="00DF46DD"/>
    <w:rsid w:val="00DF57C1"/>
    <w:rsid w:val="00DF646D"/>
    <w:rsid w:val="00DF689E"/>
    <w:rsid w:val="00DF7096"/>
    <w:rsid w:val="00DF75AB"/>
    <w:rsid w:val="00DF7A41"/>
    <w:rsid w:val="00E00066"/>
    <w:rsid w:val="00E031CF"/>
    <w:rsid w:val="00E0323B"/>
    <w:rsid w:val="00E03FC7"/>
    <w:rsid w:val="00E04151"/>
    <w:rsid w:val="00E046EE"/>
    <w:rsid w:val="00E04712"/>
    <w:rsid w:val="00E048E9"/>
    <w:rsid w:val="00E056E4"/>
    <w:rsid w:val="00E06BD9"/>
    <w:rsid w:val="00E06F0A"/>
    <w:rsid w:val="00E07BDE"/>
    <w:rsid w:val="00E1045F"/>
    <w:rsid w:val="00E105F0"/>
    <w:rsid w:val="00E114E6"/>
    <w:rsid w:val="00E116E0"/>
    <w:rsid w:val="00E11E4B"/>
    <w:rsid w:val="00E12928"/>
    <w:rsid w:val="00E13471"/>
    <w:rsid w:val="00E134CC"/>
    <w:rsid w:val="00E13B29"/>
    <w:rsid w:val="00E14AF5"/>
    <w:rsid w:val="00E14E5B"/>
    <w:rsid w:val="00E14F84"/>
    <w:rsid w:val="00E15589"/>
    <w:rsid w:val="00E16A5F"/>
    <w:rsid w:val="00E1784D"/>
    <w:rsid w:val="00E20924"/>
    <w:rsid w:val="00E20C36"/>
    <w:rsid w:val="00E22440"/>
    <w:rsid w:val="00E226E4"/>
    <w:rsid w:val="00E22800"/>
    <w:rsid w:val="00E22B6C"/>
    <w:rsid w:val="00E24237"/>
    <w:rsid w:val="00E253D2"/>
    <w:rsid w:val="00E2592B"/>
    <w:rsid w:val="00E26189"/>
    <w:rsid w:val="00E2665F"/>
    <w:rsid w:val="00E26D37"/>
    <w:rsid w:val="00E32074"/>
    <w:rsid w:val="00E32124"/>
    <w:rsid w:val="00E3223B"/>
    <w:rsid w:val="00E335DD"/>
    <w:rsid w:val="00E34598"/>
    <w:rsid w:val="00E34A3B"/>
    <w:rsid w:val="00E34B02"/>
    <w:rsid w:val="00E35972"/>
    <w:rsid w:val="00E35AB3"/>
    <w:rsid w:val="00E36579"/>
    <w:rsid w:val="00E36837"/>
    <w:rsid w:val="00E37217"/>
    <w:rsid w:val="00E40BB0"/>
    <w:rsid w:val="00E4142F"/>
    <w:rsid w:val="00E414B6"/>
    <w:rsid w:val="00E41C04"/>
    <w:rsid w:val="00E423E9"/>
    <w:rsid w:val="00E42ADD"/>
    <w:rsid w:val="00E43524"/>
    <w:rsid w:val="00E43E46"/>
    <w:rsid w:val="00E43E60"/>
    <w:rsid w:val="00E45961"/>
    <w:rsid w:val="00E4601F"/>
    <w:rsid w:val="00E460AB"/>
    <w:rsid w:val="00E46D78"/>
    <w:rsid w:val="00E4735E"/>
    <w:rsid w:val="00E47C6A"/>
    <w:rsid w:val="00E5041C"/>
    <w:rsid w:val="00E51690"/>
    <w:rsid w:val="00E51D8B"/>
    <w:rsid w:val="00E51FE4"/>
    <w:rsid w:val="00E52659"/>
    <w:rsid w:val="00E53369"/>
    <w:rsid w:val="00E534D5"/>
    <w:rsid w:val="00E54BF3"/>
    <w:rsid w:val="00E555E6"/>
    <w:rsid w:val="00E55949"/>
    <w:rsid w:val="00E56BE7"/>
    <w:rsid w:val="00E579ED"/>
    <w:rsid w:val="00E57CC1"/>
    <w:rsid w:val="00E607EE"/>
    <w:rsid w:val="00E60F2F"/>
    <w:rsid w:val="00E61D4B"/>
    <w:rsid w:val="00E6202F"/>
    <w:rsid w:val="00E62D7F"/>
    <w:rsid w:val="00E62E8D"/>
    <w:rsid w:val="00E6353E"/>
    <w:rsid w:val="00E63630"/>
    <w:rsid w:val="00E63C5B"/>
    <w:rsid w:val="00E66500"/>
    <w:rsid w:val="00E667B4"/>
    <w:rsid w:val="00E67595"/>
    <w:rsid w:val="00E7033D"/>
    <w:rsid w:val="00E706A2"/>
    <w:rsid w:val="00E70751"/>
    <w:rsid w:val="00E70DB5"/>
    <w:rsid w:val="00E71764"/>
    <w:rsid w:val="00E72E50"/>
    <w:rsid w:val="00E73355"/>
    <w:rsid w:val="00E73438"/>
    <w:rsid w:val="00E73600"/>
    <w:rsid w:val="00E7370C"/>
    <w:rsid w:val="00E75408"/>
    <w:rsid w:val="00E757C1"/>
    <w:rsid w:val="00E758C4"/>
    <w:rsid w:val="00E762E7"/>
    <w:rsid w:val="00E77412"/>
    <w:rsid w:val="00E7746E"/>
    <w:rsid w:val="00E80609"/>
    <w:rsid w:val="00E80842"/>
    <w:rsid w:val="00E81AB3"/>
    <w:rsid w:val="00E81E3C"/>
    <w:rsid w:val="00E82BF8"/>
    <w:rsid w:val="00E83115"/>
    <w:rsid w:val="00E83628"/>
    <w:rsid w:val="00E83B0A"/>
    <w:rsid w:val="00E84E2A"/>
    <w:rsid w:val="00E87004"/>
    <w:rsid w:val="00E879BA"/>
    <w:rsid w:val="00E87F5D"/>
    <w:rsid w:val="00E902DE"/>
    <w:rsid w:val="00E90AE7"/>
    <w:rsid w:val="00E90DCE"/>
    <w:rsid w:val="00E91251"/>
    <w:rsid w:val="00E92518"/>
    <w:rsid w:val="00E93283"/>
    <w:rsid w:val="00E93B14"/>
    <w:rsid w:val="00E94B08"/>
    <w:rsid w:val="00E94D50"/>
    <w:rsid w:val="00E955F0"/>
    <w:rsid w:val="00E96B9F"/>
    <w:rsid w:val="00E97489"/>
    <w:rsid w:val="00E97D44"/>
    <w:rsid w:val="00E97EEC"/>
    <w:rsid w:val="00EA026F"/>
    <w:rsid w:val="00EA2758"/>
    <w:rsid w:val="00EA354C"/>
    <w:rsid w:val="00EA3738"/>
    <w:rsid w:val="00EA39C9"/>
    <w:rsid w:val="00EA402D"/>
    <w:rsid w:val="00EA440A"/>
    <w:rsid w:val="00EA455B"/>
    <w:rsid w:val="00EA487B"/>
    <w:rsid w:val="00EA590D"/>
    <w:rsid w:val="00EA5F5B"/>
    <w:rsid w:val="00EA674D"/>
    <w:rsid w:val="00EA69F7"/>
    <w:rsid w:val="00EA7457"/>
    <w:rsid w:val="00EA77A7"/>
    <w:rsid w:val="00EA7CB9"/>
    <w:rsid w:val="00EB01AA"/>
    <w:rsid w:val="00EB02D9"/>
    <w:rsid w:val="00EB02E5"/>
    <w:rsid w:val="00EB150E"/>
    <w:rsid w:val="00EB22B4"/>
    <w:rsid w:val="00EB3152"/>
    <w:rsid w:val="00EB3258"/>
    <w:rsid w:val="00EB3FAF"/>
    <w:rsid w:val="00EB56F0"/>
    <w:rsid w:val="00EB5848"/>
    <w:rsid w:val="00EB589A"/>
    <w:rsid w:val="00EB5AA9"/>
    <w:rsid w:val="00EB7115"/>
    <w:rsid w:val="00EB7EC5"/>
    <w:rsid w:val="00EC0485"/>
    <w:rsid w:val="00EC16C9"/>
    <w:rsid w:val="00EC18B1"/>
    <w:rsid w:val="00EC193E"/>
    <w:rsid w:val="00EC2059"/>
    <w:rsid w:val="00EC244D"/>
    <w:rsid w:val="00EC2877"/>
    <w:rsid w:val="00EC2ECC"/>
    <w:rsid w:val="00EC42F5"/>
    <w:rsid w:val="00EC4957"/>
    <w:rsid w:val="00EC5130"/>
    <w:rsid w:val="00EC533B"/>
    <w:rsid w:val="00EC720C"/>
    <w:rsid w:val="00EC72FC"/>
    <w:rsid w:val="00EC7341"/>
    <w:rsid w:val="00EC7ADB"/>
    <w:rsid w:val="00EC7F83"/>
    <w:rsid w:val="00ED00D4"/>
    <w:rsid w:val="00ED0AE9"/>
    <w:rsid w:val="00ED1175"/>
    <w:rsid w:val="00ED1B56"/>
    <w:rsid w:val="00ED2159"/>
    <w:rsid w:val="00ED3081"/>
    <w:rsid w:val="00ED3B41"/>
    <w:rsid w:val="00ED3E82"/>
    <w:rsid w:val="00ED400D"/>
    <w:rsid w:val="00ED4A30"/>
    <w:rsid w:val="00ED55FE"/>
    <w:rsid w:val="00ED56D9"/>
    <w:rsid w:val="00ED608C"/>
    <w:rsid w:val="00ED65E4"/>
    <w:rsid w:val="00ED78FD"/>
    <w:rsid w:val="00EE015D"/>
    <w:rsid w:val="00EE0A63"/>
    <w:rsid w:val="00EE18F7"/>
    <w:rsid w:val="00EE1A64"/>
    <w:rsid w:val="00EE1D27"/>
    <w:rsid w:val="00EE24F1"/>
    <w:rsid w:val="00EE2CAE"/>
    <w:rsid w:val="00EE381B"/>
    <w:rsid w:val="00EE3E01"/>
    <w:rsid w:val="00EE4198"/>
    <w:rsid w:val="00EE4341"/>
    <w:rsid w:val="00EE451C"/>
    <w:rsid w:val="00EE4A2E"/>
    <w:rsid w:val="00EE5497"/>
    <w:rsid w:val="00EE5B64"/>
    <w:rsid w:val="00EE5FF0"/>
    <w:rsid w:val="00EE6B7C"/>
    <w:rsid w:val="00EF0104"/>
    <w:rsid w:val="00EF2A7A"/>
    <w:rsid w:val="00EF3A6C"/>
    <w:rsid w:val="00EF3B8F"/>
    <w:rsid w:val="00EF42D5"/>
    <w:rsid w:val="00EF43AF"/>
    <w:rsid w:val="00EF5E4A"/>
    <w:rsid w:val="00EF617F"/>
    <w:rsid w:val="00EF6765"/>
    <w:rsid w:val="00EF68D9"/>
    <w:rsid w:val="00EF6902"/>
    <w:rsid w:val="00EF6EC2"/>
    <w:rsid w:val="00EF708B"/>
    <w:rsid w:val="00EF70B0"/>
    <w:rsid w:val="00EF74F2"/>
    <w:rsid w:val="00F00140"/>
    <w:rsid w:val="00F01317"/>
    <w:rsid w:val="00F029D9"/>
    <w:rsid w:val="00F02B11"/>
    <w:rsid w:val="00F02DBB"/>
    <w:rsid w:val="00F03195"/>
    <w:rsid w:val="00F0324D"/>
    <w:rsid w:val="00F0448D"/>
    <w:rsid w:val="00F05178"/>
    <w:rsid w:val="00F05C2B"/>
    <w:rsid w:val="00F06C4D"/>
    <w:rsid w:val="00F06DED"/>
    <w:rsid w:val="00F07202"/>
    <w:rsid w:val="00F07ACE"/>
    <w:rsid w:val="00F07B88"/>
    <w:rsid w:val="00F07BA3"/>
    <w:rsid w:val="00F10A9F"/>
    <w:rsid w:val="00F118E5"/>
    <w:rsid w:val="00F11AE4"/>
    <w:rsid w:val="00F11DEF"/>
    <w:rsid w:val="00F11E06"/>
    <w:rsid w:val="00F11F29"/>
    <w:rsid w:val="00F123BB"/>
    <w:rsid w:val="00F126E0"/>
    <w:rsid w:val="00F12D62"/>
    <w:rsid w:val="00F14140"/>
    <w:rsid w:val="00F14D06"/>
    <w:rsid w:val="00F16835"/>
    <w:rsid w:val="00F16A5C"/>
    <w:rsid w:val="00F16E4D"/>
    <w:rsid w:val="00F16EF0"/>
    <w:rsid w:val="00F206AC"/>
    <w:rsid w:val="00F2194B"/>
    <w:rsid w:val="00F225C0"/>
    <w:rsid w:val="00F22EB9"/>
    <w:rsid w:val="00F24382"/>
    <w:rsid w:val="00F254C8"/>
    <w:rsid w:val="00F25577"/>
    <w:rsid w:val="00F262E4"/>
    <w:rsid w:val="00F263BB"/>
    <w:rsid w:val="00F26FDA"/>
    <w:rsid w:val="00F274A0"/>
    <w:rsid w:val="00F31174"/>
    <w:rsid w:val="00F317ED"/>
    <w:rsid w:val="00F319A2"/>
    <w:rsid w:val="00F31DC7"/>
    <w:rsid w:val="00F32DAC"/>
    <w:rsid w:val="00F3487D"/>
    <w:rsid w:val="00F3548E"/>
    <w:rsid w:val="00F3581E"/>
    <w:rsid w:val="00F361DB"/>
    <w:rsid w:val="00F36216"/>
    <w:rsid w:val="00F3640C"/>
    <w:rsid w:val="00F366AD"/>
    <w:rsid w:val="00F40062"/>
    <w:rsid w:val="00F40D42"/>
    <w:rsid w:val="00F4128E"/>
    <w:rsid w:val="00F4147D"/>
    <w:rsid w:val="00F419D4"/>
    <w:rsid w:val="00F42A68"/>
    <w:rsid w:val="00F4407B"/>
    <w:rsid w:val="00F45BB0"/>
    <w:rsid w:val="00F46245"/>
    <w:rsid w:val="00F4664C"/>
    <w:rsid w:val="00F473D5"/>
    <w:rsid w:val="00F47BDA"/>
    <w:rsid w:val="00F47F65"/>
    <w:rsid w:val="00F51E67"/>
    <w:rsid w:val="00F5286E"/>
    <w:rsid w:val="00F53DBA"/>
    <w:rsid w:val="00F5457E"/>
    <w:rsid w:val="00F54CAD"/>
    <w:rsid w:val="00F55570"/>
    <w:rsid w:val="00F55992"/>
    <w:rsid w:val="00F55B83"/>
    <w:rsid w:val="00F5604B"/>
    <w:rsid w:val="00F57B87"/>
    <w:rsid w:val="00F6457D"/>
    <w:rsid w:val="00F65598"/>
    <w:rsid w:val="00F65620"/>
    <w:rsid w:val="00F67420"/>
    <w:rsid w:val="00F70523"/>
    <w:rsid w:val="00F70BA0"/>
    <w:rsid w:val="00F70EA6"/>
    <w:rsid w:val="00F713A2"/>
    <w:rsid w:val="00F7207C"/>
    <w:rsid w:val="00F72A4A"/>
    <w:rsid w:val="00F73071"/>
    <w:rsid w:val="00F7320F"/>
    <w:rsid w:val="00F73607"/>
    <w:rsid w:val="00F7372F"/>
    <w:rsid w:val="00F74FD2"/>
    <w:rsid w:val="00F7520B"/>
    <w:rsid w:val="00F75280"/>
    <w:rsid w:val="00F75A79"/>
    <w:rsid w:val="00F75E9B"/>
    <w:rsid w:val="00F77D02"/>
    <w:rsid w:val="00F80482"/>
    <w:rsid w:val="00F809B5"/>
    <w:rsid w:val="00F82446"/>
    <w:rsid w:val="00F82505"/>
    <w:rsid w:val="00F82C32"/>
    <w:rsid w:val="00F82F26"/>
    <w:rsid w:val="00F8300E"/>
    <w:rsid w:val="00F8303B"/>
    <w:rsid w:val="00F8511B"/>
    <w:rsid w:val="00F8546A"/>
    <w:rsid w:val="00F85C5F"/>
    <w:rsid w:val="00F868DE"/>
    <w:rsid w:val="00F86FD6"/>
    <w:rsid w:val="00F87C3E"/>
    <w:rsid w:val="00F910C6"/>
    <w:rsid w:val="00F91207"/>
    <w:rsid w:val="00F91AF5"/>
    <w:rsid w:val="00F923FA"/>
    <w:rsid w:val="00F92580"/>
    <w:rsid w:val="00F933BE"/>
    <w:rsid w:val="00F93DF7"/>
    <w:rsid w:val="00F944B4"/>
    <w:rsid w:val="00F9457B"/>
    <w:rsid w:val="00F94E1F"/>
    <w:rsid w:val="00F94F0C"/>
    <w:rsid w:val="00F954FB"/>
    <w:rsid w:val="00FA0D56"/>
    <w:rsid w:val="00FA2CAA"/>
    <w:rsid w:val="00FA324F"/>
    <w:rsid w:val="00FA3AB8"/>
    <w:rsid w:val="00FA427D"/>
    <w:rsid w:val="00FA4897"/>
    <w:rsid w:val="00FA4E46"/>
    <w:rsid w:val="00FA5510"/>
    <w:rsid w:val="00FA56EF"/>
    <w:rsid w:val="00FA574B"/>
    <w:rsid w:val="00FA5D7F"/>
    <w:rsid w:val="00FA6136"/>
    <w:rsid w:val="00FA7227"/>
    <w:rsid w:val="00FB028B"/>
    <w:rsid w:val="00FB0E43"/>
    <w:rsid w:val="00FB1073"/>
    <w:rsid w:val="00FB1682"/>
    <w:rsid w:val="00FB17B0"/>
    <w:rsid w:val="00FB1BB4"/>
    <w:rsid w:val="00FB1E55"/>
    <w:rsid w:val="00FB1F33"/>
    <w:rsid w:val="00FB28A3"/>
    <w:rsid w:val="00FB3DD3"/>
    <w:rsid w:val="00FB4648"/>
    <w:rsid w:val="00FB4EF0"/>
    <w:rsid w:val="00FB4FBB"/>
    <w:rsid w:val="00FB594E"/>
    <w:rsid w:val="00FB6060"/>
    <w:rsid w:val="00FB65E5"/>
    <w:rsid w:val="00FB6AA0"/>
    <w:rsid w:val="00FC0BC5"/>
    <w:rsid w:val="00FC150C"/>
    <w:rsid w:val="00FC1D4F"/>
    <w:rsid w:val="00FC1E27"/>
    <w:rsid w:val="00FC20D7"/>
    <w:rsid w:val="00FC2BC8"/>
    <w:rsid w:val="00FC4AF5"/>
    <w:rsid w:val="00FC4D2F"/>
    <w:rsid w:val="00FC52F5"/>
    <w:rsid w:val="00FC5894"/>
    <w:rsid w:val="00FC6923"/>
    <w:rsid w:val="00FC74C6"/>
    <w:rsid w:val="00FC7ACD"/>
    <w:rsid w:val="00FC7CE5"/>
    <w:rsid w:val="00FD05B8"/>
    <w:rsid w:val="00FD0A22"/>
    <w:rsid w:val="00FD1815"/>
    <w:rsid w:val="00FD22E3"/>
    <w:rsid w:val="00FD22E9"/>
    <w:rsid w:val="00FD32BB"/>
    <w:rsid w:val="00FD3950"/>
    <w:rsid w:val="00FD4F7E"/>
    <w:rsid w:val="00FD59AB"/>
    <w:rsid w:val="00FD602F"/>
    <w:rsid w:val="00FD66AF"/>
    <w:rsid w:val="00FD6822"/>
    <w:rsid w:val="00FD6B7C"/>
    <w:rsid w:val="00FD7B83"/>
    <w:rsid w:val="00FD7E2F"/>
    <w:rsid w:val="00FE1B8F"/>
    <w:rsid w:val="00FE20B7"/>
    <w:rsid w:val="00FE20D5"/>
    <w:rsid w:val="00FE322F"/>
    <w:rsid w:val="00FE39D9"/>
    <w:rsid w:val="00FE3BDB"/>
    <w:rsid w:val="00FE3EAD"/>
    <w:rsid w:val="00FE5534"/>
    <w:rsid w:val="00FE5965"/>
    <w:rsid w:val="00FE5A10"/>
    <w:rsid w:val="00FE6E93"/>
    <w:rsid w:val="00FE7152"/>
    <w:rsid w:val="00FE76C3"/>
    <w:rsid w:val="00FE7746"/>
    <w:rsid w:val="00FE7C43"/>
    <w:rsid w:val="00FF0101"/>
    <w:rsid w:val="00FF03CC"/>
    <w:rsid w:val="00FF2808"/>
    <w:rsid w:val="00FF2BE5"/>
    <w:rsid w:val="00FF33F2"/>
    <w:rsid w:val="00FF405D"/>
    <w:rsid w:val="00FF4080"/>
    <w:rsid w:val="00FF45F3"/>
    <w:rsid w:val="00FF4B42"/>
    <w:rsid w:val="00FF4B45"/>
    <w:rsid w:val="00FF70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9A2DE71"/>
  <w15:docId w15:val="{A6BDCA89-2E87-4B49-907E-4CA01FF64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ajorEastAsia" w:hAnsi="Times New Roman" w:cs="Times New Roman (Headings CS)"/>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paragraph" w:styleId="Heading1">
    <w:name w:val="heading 1"/>
    <w:basedOn w:val="Normal"/>
    <w:next w:val="Normal"/>
    <w:link w:val="Heading1Char"/>
    <w:autoRedefine/>
    <w:uiPriority w:val="9"/>
    <w:qFormat/>
    <w:rsid w:val="006866B3"/>
    <w:pPr>
      <w:keepNext/>
      <w:spacing w:line="480" w:lineRule="auto"/>
      <w:outlineLvl w:val="0"/>
    </w:pPr>
    <w:rPr>
      <w:rFonts w:cstheme="majorBidi"/>
      <w:b/>
      <w:szCs w:val="24"/>
    </w:rPr>
  </w:style>
  <w:style w:type="paragraph" w:styleId="Heading2">
    <w:name w:val="heading 2"/>
    <w:basedOn w:val="Normal"/>
    <w:next w:val="Normal"/>
    <w:link w:val="Heading2Char"/>
    <w:autoRedefine/>
    <w:uiPriority w:val="9"/>
    <w:unhideWhenUsed/>
    <w:qFormat/>
    <w:rsid w:val="00ED1175"/>
    <w:pPr>
      <w:keepNext/>
      <w:spacing w:line="360" w:lineRule="auto"/>
      <w:outlineLvl w:val="1"/>
    </w:pPr>
    <w:rPr>
      <w:rFonts w:cs="Times New Roman"/>
      <w:b/>
      <w:bCs/>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5E2E"/>
    <w:pPr>
      <w:tabs>
        <w:tab w:val="center" w:pos="4252"/>
        <w:tab w:val="right" w:pos="8504"/>
      </w:tabs>
      <w:snapToGrid w:val="0"/>
    </w:pPr>
  </w:style>
  <w:style w:type="character" w:customStyle="1" w:styleId="HeaderChar">
    <w:name w:val="Header Char"/>
    <w:basedOn w:val="DefaultParagraphFont"/>
    <w:link w:val="Header"/>
    <w:uiPriority w:val="99"/>
    <w:rsid w:val="00955E2E"/>
  </w:style>
  <w:style w:type="paragraph" w:styleId="Footer">
    <w:name w:val="footer"/>
    <w:basedOn w:val="Normal"/>
    <w:link w:val="FooterChar"/>
    <w:uiPriority w:val="99"/>
    <w:unhideWhenUsed/>
    <w:rsid w:val="00955E2E"/>
    <w:pPr>
      <w:tabs>
        <w:tab w:val="center" w:pos="4252"/>
        <w:tab w:val="right" w:pos="8504"/>
      </w:tabs>
      <w:snapToGrid w:val="0"/>
    </w:pPr>
  </w:style>
  <w:style w:type="character" w:customStyle="1" w:styleId="FooterChar">
    <w:name w:val="Footer Char"/>
    <w:basedOn w:val="DefaultParagraphFont"/>
    <w:link w:val="Footer"/>
    <w:uiPriority w:val="99"/>
    <w:rsid w:val="00955E2E"/>
  </w:style>
  <w:style w:type="character" w:styleId="PlaceholderText">
    <w:name w:val="Placeholder Text"/>
    <w:basedOn w:val="DefaultParagraphFont"/>
    <w:uiPriority w:val="99"/>
    <w:semiHidden/>
    <w:rsid w:val="00705591"/>
    <w:rPr>
      <w:color w:val="808080"/>
    </w:rPr>
  </w:style>
  <w:style w:type="paragraph" w:styleId="ListParagraph">
    <w:name w:val="List Paragraph"/>
    <w:basedOn w:val="Normal"/>
    <w:uiPriority w:val="34"/>
    <w:qFormat/>
    <w:rsid w:val="0048048A"/>
    <w:pPr>
      <w:ind w:leftChars="400" w:left="840"/>
    </w:pPr>
  </w:style>
  <w:style w:type="paragraph" w:styleId="Revision">
    <w:name w:val="Revision"/>
    <w:hidden/>
    <w:uiPriority w:val="99"/>
    <w:semiHidden/>
    <w:rsid w:val="00457935"/>
  </w:style>
  <w:style w:type="character" w:styleId="CommentReference">
    <w:name w:val="annotation reference"/>
    <w:basedOn w:val="DefaultParagraphFont"/>
    <w:uiPriority w:val="99"/>
    <w:semiHidden/>
    <w:unhideWhenUsed/>
    <w:rsid w:val="002B5890"/>
    <w:rPr>
      <w:sz w:val="16"/>
      <w:szCs w:val="16"/>
    </w:rPr>
  </w:style>
  <w:style w:type="paragraph" w:styleId="CommentText">
    <w:name w:val="annotation text"/>
    <w:basedOn w:val="Normal"/>
    <w:link w:val="CommentTextChar"/>
    <w:uiPriority w:val="99"/>
    <w:unhideWhenUsed/>
    <w:rsid w:val="002B5890"/>
    <w:rPr>
      <w:sz w:val="20"/>
      <w:szCs w:val="20"/>
    </w:rPr>
  </w:style>
  <w:style w:type="character" w:customStyle="1" w:styleId="CommentTextChar">
    <w:name w:val="Comment Text Char"/>
    <w:basedOn w:val="DefaultParagraphFont"/>
    <w:link w:val="CommentText"/>
    <w:uiPriority w:val="99"/>
    <w:rsid w:val="002B5890"/>
    <w:rPr>
      <w:sz w:val="20"/>
      <w:szCs w:val="20"/>
    </w:rPr>
  </w:style>
  <w:style w:type="paragraph" w:styleId="CommentSubject">
    <w:name w:val="annotation subject"/>
    <w:basedOn w:val="CommentText"/>
    <w:next w:val="CommentText"/>
    <w:link w:val="CommentSubjectChar"/>
    <w:uiPriority w:val="99"/>
    <w:semiHidden/>
    <w:unhideWhenUsed/>
    <w:rsid w:val="00C92D32"/>
    <w:rPr>
      <w:b/>
      <w:bCs/>
    </w:rPr>
  </w:style>
  <w:style w:type="character" w:customStyle="1" w:styleId="CommentSubjectChar">
    <w:name w:val="Comment Subject Char"/>
    <w:basedOn w:val="CommentTextChar"/>
    <w:link w:val="CommentSubject"/>
    <w:uiPriority w:val="99"/>
    <w:semiHidden/>
    <w:rsid w:val="00C92D32"/>
    <w:rPr>
      <w:b/>
      <w:bCs/>
      <w:sz w:val="20"/>
      <w:szCs w:val="20"/>
    </w:rPr>
  </w:style>
  <w:style w:type="paragraph" w:styleId="BalloonText">
    <w:name w:val="Balloon Text"/>
    <w:basedOn w:val="Normal"/>
    <w:link w:val="BalloonTextChar"/>
    <w:uiPriority w:val="99"/>
    <w:semiHidden/>
    <w:unhideWhenUsed/>
    <w:rsid w:val="00C92D3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2D32"/>
    <w:rPr>
      <w:rFonts w:ascii="Segoe UI" w:hAnsi="Segoe UI" w:cs="Segoe UI"/>
      <w:sz w:val="18"/>
      <w:szCs w:val="18"/>
    </w:rPr>
  </w:style>
  <w:style w:type="character" w:styleId="Hyperlink">
    <w:name w:val="Hyperlink"/>
    <w:basedOn w:val="DefaultParagraphFont"/>
    <w:uiPriority w:val="99"/>
    <w:unhideWhenUsed/>
    <w:rsid w:val="00820BE3"/>
    <w:rPr>
      <w:color w:val="0563C1" w:themeColor="hyperlink"/>
      <w:u w:val="single"/>
    </w:rPr>
  </w:style>
  <w:style w:type="character" w:customStyle="1" w:styleId="1">
    <w:name w:val="未解決のメンション1"/>
    <w:basedOn w:val="DefaultParagraphFont"/>
    <w:uiPriority w:val="99"/>
    <w:semiHidden/>
    <w:unhideWhenUsed/>
    <w:rsid w:val="00820BE3"/>
    <w:rPr>
      <w:color w:val="605E5C"/>
      <w:shd w:val="clear" w:color="auto" w:fill="E1DFDD"/>
    </w:rPr>
  </w:style>
  <w:style w:type="character" w:styleId="FollowedHyperlink">
    <w:name w:val="FollowedHyperlink"/>
    <w:basedOn w:val="DefaultParagraphFont"/>
    <w:uiPriority w:val="99"/>
    <w:semiHidden/>
    <w:unhideWhenUsed/>
    <w:rsid w:val="004012A0"/>
    <w:rPr>
      <w:color w:val="954F72" w:themeColor="followedHyperlink"/>
      <w:u w:val="single"/>
    </w:rPr>
  </w:style>
  <w:style w:type="table" w:styleId="TableGrid">
    <w:name w:val="Table Grid"/>
    <w:basedOn w:val="TableNormal"/>
    <w:uiPriority w:val="39"/>
    <w:rsid w:val="00D132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標準の表 21"/>
    <w:basedOn w:val="TableNormal"/>
    <w:uiPriority w:val="42"/>
    <w:rsid w:val="00D1324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1Char">
    <w:name w:val="Heading 1 Char"/>
    <w:basedOn w:val="DefaultParagraphFont"/>
    <w:link w:val="Heading1"/>
    <w:uiPriority w:val="9"/>
    <w:rsid w:val="006866B3"/>
    <w:rPr>
      <w:rFonts w:ascii="Times New Roman" w:eastAsiaTheme="majorEastAsia" w:hAnsi="Times New Roman" w:cstheme="majorBidi"/>
      <w:b/>
      <w:sz w:val="24"/>
      <w:szCs w:val="24"/>
    </w:rPr>
  </w:style>
  <w:style w:type="character" w:customStyle="1" w:styleId="Heading2Char">
    <w:name w:val="Heading 2 Char"/>
    <w:basedOn w:val="DefaultParagraphFont"/>
    <w:link w:val="Heading2"/>
    <w:uiPriority w:val="9"/>
    <w:rsid w:val="00ED1175"/>
    <w:rPr>
      <w:rFonts w:cs="Times New Roman"/>
      <w:b/>
      <w:bCs/>
      <w:iCs/>
      <w:color w:val="000000" w:themeColor="text1"/>
    </w:rPr>
  </w:style>
  <w:style w:type="character" w:styleId="UnresolvedMention">
    <w:name w:val="Unresolved Mention"/>
    <w:basedOn w:val="DefaultParagraphFont"/>
    <w:uiPriority w:val="99"/>
    <w:semiHidden/>
    <w:unhideWhenUsed/>
    <w:rsid w:val="003F609F"/>
    <w:rPr>
      <w:color w:val="605E5C"/>
      <w:shd w:val="clear" w:color="auto" w:fill="E1DFDD"/>
    </w:rPr>
  </w:style>
  <w:style w:type="paragraph" w:styleId="Caption">
    <w:name w:val="caption"/>
    <w:basedOn w:val="Normal"/>
    <w:next w:val="Normal"/>
    <w:uiPriority w:val="35"/>
    <w:unhideWhenUsed/>
    <w:qFormat/>
    <w:rsid w:val="00C622D6"/>
    <w:pPr>
      <w:spacing w:after="200"/>
    </w:pPr>
    <w:rPr>
      <w:i/>
      <w:iCs/>
      <w:color w:val="44546A" w:themeColor="text2"/>
      <w:sz w:val="18"/>
      <w:szCs w:val="18"/>
    </w:rPr>
  </w:style>
  <w:style w:type="paragraph" w:styleId="NormalWeb">
    <w:name w:val="Normal (Web)"/>
    <w:basedOn w:val="Normal"/>
    <w:uiPriority w:val="99"/>
    <w:unhideWhenUsed/>
    <w:rsid w:val="00417636"/>
    <w:rPr>
      <w:rFonts w:cs="Times New Roman"/>
      <w:szCs w:val="24"/>
    </w:rPr>
  </w:style>
  <w:style w:type="character" w:styleId="LineNumber">
    <w:name w:val="line number"/>
    <w:basedOn w:val="DefaultParagraphFont"/>
    <w:uiPriority w:val="99"/>
    <w:semiHidden/>
    <w:unhideWhenUsed/>
    <w:rsid w:val="003D2DFE"/>
  </w:style>
  <w:style w:type="paragraph" w:styleId="EndnoteText">
    <w:name w:val="endnote text"/>
    <w:basedOn w:val="Normal"/>
    <w:link w:val="EndnoteTextChar"/>
    <w:uiPriority w:val="99"/>
    <w:semiHidden/>
    <w:unhideWhenUsed/>
    <w:rsid w:val="00272912"/>
    <w:rPr>
      <w:sz w:val="20"/>
      <w:szCs w:val="20"/>
    </w:rPr>
  </w:style>
  <w:style w:type="character" w:customStyle="1" w:styleId="EndnoteTextChar">
    <w:name w:val="Endnote Text Char"/>
    <w:basedOn w:val="DefaultParagraphFont"/>
    <w:link w:val="EndnoteText"/>
    <w:uiPriority w:val="99"/>
    <w:semiHidden/>
    <w:rsid w:val="00272912"/>
    <w:rPr>
      <w:sz w:val="20"/>
      <w:szCs w:val="20"/>
    </w:rPr>
  </w:style>
  <w:style w:type="character" w:styleId="EndnoteReference">
    <w:name w:val="endnote reference"/>
    <w:basedOn w:val="DefaultParagraphFont"/>
    <w:uiPriority w:val="99"/>
    <w:semiHidden/>
    <w:unhideWhenUsed/>
    <w:rsid w:val="00272912"/>
    <w:rPr>
      <w:vertAlign w:val="superscript"/>
    </w:rPr>
  </w:style>
  <w:style w:type="character" w:styleId="Emphasis">
    <w:name w:val="Emphasis"/>
    <w:basedOn w:val="DefaultParagraphFont"/>
    <w:uiPriority w:val="20"/>
    <w:qFormat/>
    <w:rsid w:val="00FC52F5"/>
    <w:rPr>
      <w:i/>
      <w:iCs/>
    </w:rPr>
  </w:style>
  <w:style w:type="character" w:styleId="Strong">
    <w:name w:val="Strong"/>
    <w:basedOn w:val="DefaultParagraphFont"/>
    <w:uiPriority w:val="22"/>
    <w:qFormat/>
    <w:rsid w:val="00414BA0"/>
    <w:rPr>
      <w:b/>
      <w:bCs/>
    </w:rPr>
  </w:style>
  <w:style w:type="paragraph" w:styleId="FootnoteText">
    <w:name w:val="footnote text"/>
    <w:basedOn w:val="Normal"/>
    <w:link w:val="FootnoteTextChar"/>
    <w:uiPriority w:val="99"/>
    <w:semiHidden/>
    <w:unhideWhenUsed/>
    <w:rsid w:val="00CD2896"/>
    <w:rPr>
      <w:sz w:val="20"/>
      <w:szCs w:val="20"/>
    </w:rPr>
  </w:style>
  <w:style w:type="character" w:customStyle="1" w:styleId="FootnoteTextChar">
    <w:name w:val="Footnote Text Char"/>
    <w:basedOn w:val="DefaultParagraphFont"/>
    <w:link w:val="FootnoteText"/>
    <w:uiPriority w:val="99"/>
    <w:semiHidden/>
    <w:rsid w:val="00CD2896"/>
    <w:rPr>
      <w:sz w:val="20"/>
      <w:szCs w:val="20"/>
    </w:rPr>
  </w:style>
  <w:style w:type="character" w:styleId="FootnoteReference">
    <w:name w:val="footnote reference"/>
    <w:basedOn w:val="DefaultParagraphFont"/>
    <w:uiPriority w:val="99"/>
    <w:semiHidden/>
    <w:unhideWhenUsed/>
    <w:rsid w:val="00CD2896"/>
    <w:rPr>
      <w:vertAlign w:val="superscript"/>
    </w:rPr>
  </w:style>
  <w:style w:type="character" w:customStyle="1" w:styleId="citation-118">
    <w:name w:val="citation-118"/>
    <w:basedOn w:val="DefaultParagraphFont"/>
    <w:rsid w:val="00B74F76"/>
  </w:style>
  <w:style w:type="character" w:customStyle="1" w:styleId="math-inline">
    <w:name w:val="math-inline"/>
    <w:basedOn w:val="DefaultParagraphFont"/>
    <w:rsid w:val="00C426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7815586">
      <w:bodyDiv w:val="1"/>
      <w:marLeft w:val="0"/>
      <w:marRight w:val="0"/>
      <w:marTop w:val="0"/>
      <w:marBottom w:val="0"/>
      <w:divBdr>
        <w:top w:val="none" w:sz="0" w:space="0" w:color="auto"/>
        <w:left w:val="none" w:sz="0" w:space="0" w:color="auto"/>
        <w:bottom w:val="none" w:sz="0" w:space="0" w:color="auto"/>
        <w:right w:val="none" w:sz="0" w:space="0" w:color="auto"/>
      </w:divBdr>
    </w:div>
    <w:div w:id="215510964">
      <w:bodyDiv w:val="1"/>
      <w:marLeft w:val="0"/>
      <w:marRight w:val="0"/>
      <w:marTop w:val="0"/>
      <w:marBottom w:val="0"/>
      <w:divBdr>
        <w:top w:val="none" w:sz="0" w:space="0" w:color="auto"/>
        <w:left w:val="none" w:sz="0" w:space="0" w:color="auto"/>
        <w:bottom w:val="none" w:sz="0" w:space="0" w:color="auto"/>
        <w:right w:val="none" w:sz="0" w:space="0" w:color="auto"/>
      </w:divBdr>
    </w:div>
    <w:div w:id="245070728">
      <w:bodyDiv w:val="1"/>
      <w:marLeft w:val="0"/>
      <w:marRight w:val="0"/>
      <w:marTop w:val="0"/>
      <w:marBottom w:val="0"/>
      <w:divBdr>
        <w:top w:val="none" w:sz="0" w:space="0" w:color="auto"/>
        <w:left w:val="none" w:sz="0" w:space="0" w:color="auto"/>
        <w:bottom w:val="none" w:sz="0" w:space="0" w:color="auto"/>
        <w:right w:val="none" w:sz="0" w:space="0" w:color="auto"/>
      </w:divBdr>
    </w:div>
    <w:div w:id="354308885">
      <w:bodyDiv w:val="1"/>
      <w:marLeft w:val="0"/>
      <w:marRight w:val="0"/>
      <w:marTop w:val="0"/>
      <w:marBottom w:val="0"/>
      <w:divBdr>
        <w:top w:val="none" w:sz="0" w:space="0" w:color="auto"/>
        <w:left w:val="none" w:sz="0" w:space="0" w:color="auto"/>
        <w:bottom w:val="none" w:sz="0" w:space="0" w:color="auto"/>
        <w:right w:val="none" w:sz="0" w:space="0" w:color="auto"/>
      </w:divBdr>
    </w:div>
    <w:div w:id="467012958">
      <w:bodyDiv w:val="1"/>
      <w:marLeft w:val="0"/>
      <w:marRight w:val="0"/>
      <w:marTop w:val="0"/>
      <w:marBottom w:val="0"/>
      <w:divBdr>
        <w:top w:val="none" w:sz="0" w:space="0" w:color="auto"/>
        <w:left w:val="none" w:sz="0" w:space="0" w:color="auto"/>
        <w:bottom w:val="none" w:sz="0" w:space="0" w:color="auto"/>
        <w:right w:val="none" w:sz="0" w:space="0" w:color="auto"/>
      </w:divBdr>
    </w:div>
    <w:div w:id="524834517">
      <w:bodyDiv w:val="1"/>
      <w:marLeft w:val="0"/>
      <w:marRight w:val="0"/>
      <w:marTop w:val="0"/>
      <w:marBottom w:val="0"/>
      <w:divBdr>
        <w:top w:val="none" w:sz="0" w:space="0" w:color="auto"/>
        <w:left w:val="none" w:sz="0" w:space="0" w:color="auto"/>
        <w:bottom w:val="none" w:sz="0" w:space="0" w:color="auto"/>
        <w:right w:val="none" w:sz="0" w:space="0" w:color="auto"/>
      </w:divBdr>
    </w:div>
    <w:div w:id="569077899">
      <w:bodyDiv w:val="1"/>
      <w:marLeft w:val="0"/>
      <w:marRight w:val="0"/>
      <w:marTop w:val="0"/>
      <w:marBottom w:val="0"/>
      <w:divBdr>
        <w:top w:val="none" w:sz="0" w:space="0" w:color="auto"/>
        <w:left w:val="none" w:sz="0" w:space="0" w:color="auto"/>
        <w:bottom w:val="none" w:sz="0" w:space="0" w:color="auto"/>
        <w:right w:val="none" w:sz="0" w:space="0" w:color="auto"/>
      </w:divBdr>
    </w:div>
    <w:div w:id="599412399">
      <w:bodyDiv w:val="1"/>
      <w:marLeft w:val="0"/>
      <w:marRight w:val="0"/>
      <w:marTop w:val="0"/>
      <w:marBottom w:val="0"/>
      <w:divBdr>
        <w:top w:val="none" w:sz="0" w:space="0" w:color="auto"/>
        <w:left w:val="none" w:sz="0" w:space="0" w:color="auto"/>
        <w:bottom w:val="none" w:sz="0" w:space="0" w:color="auto"/>
        <w:right w:val="none" w:sz="0" w:space="0" w:color="auto"/>
      </w:divBdr>
    </w:div>
    <w:div w:id="623925164">
      <w:bodyDiv w:val="1"/>
      <w:marLeft w:val="0"/>
      <w:marRight w:val="0"/>
      <w:marTop w:val="0"/>
      <w:marBottom w:val="0"/>
      <w:divBdr>
        <w:top w:val="none" w:sz="0" w:space="0" w:color="auto"/>
        <w:left w:val="none" w:sz="0" w:space="0" w:color="auto"/>
        <w:bottom w:val="none" w:sz="0" w:space="0" w:color="auto"/>
        <w:right w:val="none" w:sz="0" w:space="0" w:color="auto"/>
      </w:divBdr>
    </w:div>
    <w:div w:id="680933851">
      <w:bodyDiv w:val="1"/>
      <w:marLeft w:val="0"/>
      <w:marRight w:val="0"/>
      <w:marTop w:val="0"/>
      <w:marBottom w:val="0"/>
      <w:divBdr>
        <w:top w:val="none" w:sz="0" w:space="0" w:color="auto"/>
        <w:left w:val="none" w:sz="0" w:space="0" w:color="auto"/>
        <w:bottom w:val="none" w:sz="0" w:space="0" w:color="auto"/>
        <w:right w:val="none" w:sz="0" w:space="0" w:color="auto"/>
      </w:divBdr>
    </w:div>
    <w:div w:id="742608640">
      <w:bodyDiv w:val="1"/>
      <w:marLeft w:val="0"/>
      <w:marRight w:val="0"/>
      <w:marTop w:val="0"/>
      <w:marBottom w:val="0"/>
      <w:divBdr>
        <w:top w:val="none" w:sz="0" w:space="0" w:color="auto"/>
        <w:left w:val="none" w:sz="0" w:space="0" w:color="auto"/>
        <w:bottom w:val="none" w:sz="0" w:space="0" w:color="auto"/>
        <w:right w:val="none" w:sz="0" w:space="0" w:color="auto"/>
      </w:divBdr>
    </w:div>
    <w:div w:id="834566671">
      <w:bodyDiv w:val="1"/>
      <w:marLeft w:val="0"/>
      <w:marRight w:val="0"/>
      <w:marTop w:val="0"/>
      <w:marBottom w:val="0"/>
      <w:divBdr>
        <w:top w:val="none" w:sz="0" w:space="0" w:color="auto"/>
        <w:left w:val="none" w:sz="0" w:space="0" w:color="auto"/>
        <w:bottom w:val="none" w:sz="0" w:space="0" w:color="auto"/>
        <w:right w:val="none" w:sz="0" w:space="0" w:color="auto"/>
      </w:divBdr>
    </w:div>
    <w:div w:id="913272852">
      <w:bodyDiv w:val="1"/>
      <w:marLeft w:val="0"/>
      <w:marRight w:val="0"/>
      <w:marTop w:val="0"/>
      <w:marBottom w:val="0"/>
      <w:divBdr>
        <w:top w:val="none" w:sz="0" w:space="0" w:color="auto"/>
        <w:left w:val="none" w:sz="0" w:space="0" w:color="auto"/>
        <w:bottom w:val="none" w:sz="0" w:space="0" w:color="auto"/>
        <w:right w:val="none" w:sz="0" w:space="0" w:color="auto"/>
      </w:divBdr>
    </w:div>
    <w:div w:id="1049457086">
      <w:bodyDiv w:val="1"/>
      <w:marLeft w:val="0"/>
      <w:marRight w:val="0"/>
      <w:marTop w:val="0"/>
      <w:marBottom w:val="0"/>
      <w:divBdr>
        <w:top w:val="none" w:sz="0" w:space="0" w:color="auto"/>
        <w:left w:val="none" w:sz="0" w:space="0" w:color="auto"/>
        <w:bottom w:val="none" w:sz="0" w:space="0" w:color="auto"/>
        <w:right w:val="none" w:sz="0" w:space="0" w:color="auto"/>
      </w:divBdr>
    </w:div>
    <w:div w:id="1210000341">
      <w:bodyDiv w:val="1"/>
      <w:marLeft w:val="0"/>
      <w:marRight w:val="0"/>
      <w:marTop w:val="0"/>
      <w:marBottom w:val="0"/>
      <w:divBdr>
        <w:top w:val="none" w:sz="0" w:space="0" w:color="auto"/>
        <w:left w:val="none" w:sz="0" w:space="0" w:color="auto"/>
        <w:bottom w:val="none" w:sz="0" w:space="0" w:color="auto"/>
        <w:right w:val="none" w:sz="0" w:space="0" w:color="auto"/>
      </w:divBdr>
    </w:div>
    <w:div w:id="1391461818">
      <w:bodyDiv w:val="1"/>
      <w:marLeft w:val="0"/>
      <w:marRight w:val="0"/>
      <w:marTop w:val="0"/>
      <w:marBottom w:val="0"/>
      <w:divBdr>
        <w:top w:val="none" w:sz="0" w:space="0" w:color="auto"/>
        <w:left w:val="none" w:sz="0" w:space="0" w:color="auto"/>
        <w:bottom w:val="none" w:sz="0" w:space="0" w:color="auto"/>
        <w:right w:val="none" w:sz="0" w:space="0" w:color="auto"/>
      </w:divBdr>
    </w:div>
    <w:div w:id="1411275838">
      <w:bodyDiv w:val="1"/>
      <w:marLeft w:val="0"/>
      <w:marRight w:val="0"/>
      <w:marTop w:val="0"/>
      <w:marBottom w:val="0"/>
      <w:divBdr>
        <w:top w:val="none" w:sz="0" w:space="0" w:color="auto"/>
        <w:left w:val="none" w:sz="0" w:space="0" w:color="auto"/>
        <w:bottom w:val="none" w:sz="0" w:space="0" w:color="auto"/>
        <w:right w:val="none" w:sz="0" w:space="0" w:color="auto"/>
      </w:divBdr>
    </w:div>
    <w:div w:id="1428304971">
      <w:bodyDiv w:val="1"/>
      <w:marLeft w:val="0"/>
      <w:marRight w:val="0"/>
      <w:marTop w:val="0"/>
      <w:marBottom w:val="0"/>
      <w:divBdr>
        <w:top w:val="none" w:sz="0" w:space="0" w:color="auto"/>
        <w:left w:val="none" w:sz="0" w:space="0" w:color="auto"/>
        <w:bottom w:val="none" w:sz="0" w:space="0" w:color="auto"/>
        <w:right w:val="none" w:sz="0" w:space="0" w:color="auto"/>
      </w:divBdr>
    </w:div>
    <w:div w:id="1447626863">
      <w:bodyDiv w:val="1"/>
      <w:marLeft w:val="0"/>
      <w:marRight w:val="0"/>
      <w:marTop w:val="0"/>
      <w:marBottom w:val="0"/>
      <w:divBdr>
        <w:top w:val="none" w:sz="0" w:space="0" w:color="auto"/>
        <w:left w:val="none" w:sz="0" w:space="0" w:color="auto"/>
        <w:bottom w:val="none" w:sz="0" w:space="0" w:color="auto"/>
        <w:right w:val="none" w:sz="0" w:space="0" w:color="auto"/>
      </w:divBdr>
    </w:div>
    <w:div w:id="1458648231">
      <w:bodyDiv w:val="1"/>
      <w:marLeft w:val="0"/>
      <w:marRight w:val="0"/>
      <w:marTop w:val="0"/>
      <w:marBottom w:val="0"/>
      <w:divBdr>
        <w:top w:val="none" w:sz="0" w:space="0" w:color="auto"/>
        <w:left w:val="none" w:sz="0" w:space="0" w:color="auto"/>
        <w:bottom w:val="none" w:sz="0" w:space="0" w:color="auto"/>
        <w:right w:val="none" w:sz="0" w:space="0" w:color="auto"/>
      </w:divBdr>
    </w:div>
    <w:div w:id="1522624044">
      <w:bodyDiv w:val="1"/>
      <w:marLeft w:val="0"/>
      <w:marRight w:val="0"/>
      <w:marTop w:val="0"/>
      <w:marBottom w:val="0"/>
      <w:divBdr>
        <w:top w:val="none" w:sz="0" w:space="0" w:color="auto"/>
        <w:left w:val="none" w:sz="0" w:space="0" w:color="auto"/>
        <w:bottom w:val="none" w:sz="0" w:space="0" w:color="auto"/>
        <w:right w:val="none" w:sz="0" w:space="0" w:color="auto"/>
      </w:divBdr>
    </w:div>
    <w:div w:id="1584951327">
      <w:bodyDiv w:val="1"/>
      <w:marLeft w:val="0"/>
      <w:marRight w:val="0"/>
      <w:marTop w:val="0"/>
      <w:marBottom w:val="0"/>
      <w:divBdr>
        <w:top w:val="none" w:sz="0" w:space="0" w:color="auto"/>
        <w:left w:val="none" w:sz="0" w:space="0" w:color="auto"/>
        <w:bottom w:val="none" w:sz="0" w:space="0" w:color="auto"/>
        <w:right w:val="none" w:sz="0" w:space="0" w:color="auto"/>
      </w:divBdr>
    </w:div>
    <w:div w:id="1606620686">
      <w:bodyDiv w:val="1"/>
      <w:marLeft w:val="0"/>
      <w:marRight w:val="0"/>
      <w:marTop w:val="0"/>
      <w:marBottom w:val="0"/>
      <w:divBdr>
        <w:top w:val="none" w:sz="0" w:space="0" w:color="auto"/>
        <w:left w:val="none" w:sz="0" w:space="0" w:color="auto"/>
        <w:bottom w:val="none" w:sz="0" w:space="0" w:color="auto"/>
        <w:right w:val="none" w:sz="0" w:space="0" w:color="auto"/>
      </w:divBdr>
    </w:div>
    <w:div w:id="1827433514">
      <w:bodyDiv w:val="1"/>
      <w:marLeft w:val="0"/>
      <w:marRight w:val="0"/>
      <w:marTop w:val="0"/>
      <w:marBottom w:val="0"/>
      <w:divBdr>
        <w:top w:val="none" w:sz="0" w:space="0" w:color="auto"/>
        <w:left w:val="none" w:sz="0" w:space="0" w:color="auto"/>
        <w:bottom w:val="none" w:sz="0" w:space="0" w:color="auto"/>
        <w:right w:val="none" w:sz="0" w:space="0" w:color="auto"/>
      </w:divBdr>
    </w:div>
    <w:div w:id="1919711658">
      <w:bodyDiv w:val="1"/>
      <w:marLeft w:val="0"/>
      <w:marRight w:val="0"/>
      <w:marTop w:val="0"/>
      <w:marBottom w:val="0"/>
      <w:divBdr>
        <w:top w:val="none" w:sz="0" w:space="0" w:color="auto"/>
        <w:left w:val="none" w:sz="0" w:space="0" w:color="auto"/>
        <w:bottom w:val="none" w:sz="0" w:space="0" w:color="auto"/>
        <w:right w:val="none" w:sz="0" w:space="0" w:color="auto"/>
      </w:divBdr>
    </w:div>
    <w:div w:id="1947343744">
      <w:bodyDiv w:val="1"/>
      <w:marLeft w:val="0"/>
      <w:marRight w:val="0"/>
      <w:marTop w:val="0"/>
      <w:marBottom w:val="0"/>
      <w:divBdr>
        <w:top w:val="none" w:sz="0" w:space="0" w:color="auto"/>
        <w:left w:val="none" w:sz="0" w:space="0" w:color="auto"/>
        <w:bottom w:val="none" w:sz="0" w:space="0" w:color="auto"/>
        <w:right w:val="none" w:sz="0" w:space="0" w:color="auto"/>
      </w:divBdr>
    </w:div>
    <w:div w:id="1957172968">
      <w:bodyDiv w:val="1"/>
      <w:marLeft w:val="0"/>
      <w:marRight w:val="0"/>
      <w:marTop w:val="0"/>
      <w:marBottom w:val="0"/>
      <w:divBdr>
        <w:top w:val="none" w:sz="0" w:space="0" w:color="auto"/>
        <w:left w:val="none" w:sz="0" w:space="0" w:color="auto"/>
        <w:bottom w:val="none" w:sz="0" w:space="0" w:color="auto"/>
        <w:right w:val="none" w:sz="0" w:space="0" w:color="auto"/>
      </w:divBdr>
    </w:div>
    <w:div w:id="2044016124">
      <w:bodyDiv w:val="1"/>
      <w:marLeft w:val="0"/>
      <w:marRight w:val="0"/>
      <w:marTop w:val="0"/>
      <w:marBottom w:val="0"/>
      <w:divBdr>
        <w:top w:val="none" w:sz="0" w:space="0" w:color="auto"/>
        <w:left w:val="none" w:sz="0" w:space="0" w:color="auto"/>
        <w:bottom w:val="none" w:sz="0" w:space="0" w:color="auto"/>
        <w:right w:val="none" w:sz="0" w:space="0" w:color="auto"/>
      </w:divBdr>
    </w:div>
    <w:div w:id="2064408668">
      <w:bodyDiv w:val="1"/>
      <w:marLeft w:val="0"/>
      <w:marRight w:val="0"/>
      <w:marTop w:val="0"/>
      <w:marBottom w:val="0"/>
      <w:divBdr>
        <w:top w:val="none" w:sz="0" w:space="0" w:color="auto"/>
        <w:left w:val="none" w:sz="0" w:space="0" w:color="auto"/>
        <w:bottom w:val="none" w:sz="0" w:space="0" w:color="auto"/>
        <w:right w:val="none" w:sz="0" w:space="0" w:color="auto"/>
      </w:divBdr>
      <w:divsChild>
        <w:div w:id="76170572">
          <w:marLeft w:val="0"/>
          <w:marRight w:val="0"/>
          <w:marTop w:val="0"/>
          <w:marBottom w:val="0"/>
          <w:divBdr>
            <w:top w:val="none" w:sz="0" w:space="0" w:color="auto"/>
            <w:left w:val="none" w:sz="0" w:space="0" w:color="auto"/>
            <w:bottom w:val="none" w:sz="0" w:space="0" w:color="auto"/>
            <w:right w:val="none" w:sz="0" w:space="0" w:color="auto"/>
          </w:divBdr>
        </w:div>
        <w:div w:id="480393603">
          <w:marLeft w:val="0"/>
          <w:marRight w:val="0"/>
          <w:marTop w:val="0"/>
          <w:marBottom w:val="0"/>
          <w:divBdr>
            <w:top w:val="none" w:sz="0" w:space="0" w:color="auto"/>
            <w:left w:val="none" w:sz="0" w:space="0" w:color="auto"/>
            <w:bottom w:val="none" w:sz="0" w:space="0" w:color="auto"/>
            <w:right w:val="none" w:sz="0" w:space="0" w:color="auto"/>
          </w:divBdr>
        </w:div>
      </w:divsChild>
    </w:div>
    <w:div w:id="2064408811">
      <w:bodyDiv w:val="1"/>
      <w:marLeft w:val="0"/>
      <w:marRight w:val="0"/>
      <w:marTop w:val="0"/>
      <w:marBottom w:val="0"/>
      <w:divBdr>
        <w:top w:val="none" w:sz="0" w:space="0" w:color="auto"/>
        <w:left w:val="none" w:sz="0" w:space="0" w:color="auto"/>
        <w:bottom w:val="none" w:sz="0" w:space="0" w:color="auto"/>
        <w:right w:val="none" w:sz="0" w:space="0" w:color="auto"/>
      </w:divBdr>
    </w:div>
    <w:div w:id="2075395537">
      <w:bodyDiv w:val="1"/>
      <w:marLeft w:val="0"/>
      <w:marRight w:val="0"/>
      <w:marTop w:val="0"/>
      <w:marBottom w:val="0"/>
      <w:divBdr>
        <w:top w:val="none" w:sz="0" w:space="0" w:color="auto"/>
        <w:left w:val="none" w:sz="0" w:space="0" w:color="auto"/>
        <w:bottom w:val="none" w:sz="0" w:space="0" w:color="auto"/>
        <w:right w:val="none" w:sz="0" w:space="0" w:color="auto"/>
      </w:divBdr>
    </w:div>
    <w:div w:id="2125152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873E7B2-28E7-5948-92E1-88E9D5D368F6}">
  <we:reference id="wa200001011" version="1.2.0.0" store="en-US" storeType="OMEX"/>
  <we:alternateReferences>
    <we:reference id="wa200001011" version="1.2.0.0" store="wa20000101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B62873-8202-48E1-89B0-4EACDC341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464</TotalTime>
  <Pages>10</Pages>
  <Words>1470</Words>
  <Characters>8380</Characters>
  <Application>Microsoft Office Word</Application>
  <DocSecurity>0</DocSecurity>
  <Lines>69</Lines>
  <Paragraphs>19</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9831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 Wen</dc:creator>
  <cp:keywords/>
  <dc:description/>
  <cp:lastModifiedBy>Kazuma Takada</cp:lastModifiedBy>
  <cp:revision>348</cp:revision>
  <cp:lastPrinted>2025-12-15T03:40:00Z</cp:lastPrinted>
  <dcterms:created xsi:type="dcterms:W3CDTF">2025-12-07T23:35:00Z</dcterms:created>
  <dcterms:modified xsi:type="dcterms:W3CDTF">2026-07-06T05:40:00Z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http://www.zotero.org/styles/american-medical-association-10th-edition</vt:lpwstr>
  </property>
  <property fmtid="{D5CDD505-2E9C-101B-9397-08002B2CF9AE}" pid="3" name="Mendeley Recent Style Name 0_1">
    <vt:lpwstr>American Medical Association 10th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 Harvard</vt:lpwstr>
  </property>
  <property fmtid="{D5CDD505-2E9C-101B-9397-08002B2CF9AE}" pid="12" name="Mendeley Recent Style Id 5_1">
    <vt:lpwstr>http://www.zotero.org/styles/nature-communications</vt:lpwstr>
  </property>
  <property fmtid="{D5CDD505-2E9C-101B-9397-08002B2CF9AE}" pid="13" name="Mendeley Recent Style Name 5_1">
    <vt:lpwstr>Nature Communications</vt:lpwstr>
  </property>
  <property fmtid="{D5CDD505-2E9C-101B-9397-08002B2CF9AE}" pid="14" name="Mendeley Recent Style Id 6_1">
    <vt:lpwstr>http://www.zotero.org/styles/plos-biology</vt:lpwstr>
  </property>
  <property fmtid="{D5CDD505-2E9C-101B-9397-08002B2CF9AE}" pid="15" name="Mendeley Recent Style Name 6_1">
    <vt:lpwstr>PLOS Biology</vt:lpwstr>
  </property>
  <property fmtid="{D5CDD505-2E9C-101B-9397-08002B2CF9AE}" pid="16" name="Mendeley Recent Style Id 7_1">
    <vt:lpwstr>http://www.zotero.org/styles/pnas</vt:lpwstr>
  </property>
  <property fmtid="{D5CDD505-2E9C-101B-9397-08002B2CF9AE}" pid="17" name="Mendeley Recent Style Name 7_1">
    <vt:lpwstr>Proceedings of the National Academy of Sciences of the United States of America</vt:lpwstr>
  </property>
  <property fmtid="{D5CDD505-2E9C-101B-9397-08002B2CF9AE}" pid="18" name="Mendeley Recent Style Id 8_1">
    <vt:lpwstr>http://www.zotero.org/styles/psychological-medicine</vt:lpwstr>
  </property>
  <property fmtid="{D5CDD505-2E9C-101B-9397-08002B2CF9AE}" pid="19" name="Mendeley Recent Style Name 8_1">
    <vt:lpwstr>Psychological Medicine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7aa2c802-f5df-3694-8029-5e4e1e85798a</vt:lpwstr>
  </property>
  <property fmtid="{D5CDD505-2E9C-101B-9397-08002B2CF9AE}" pid="24" name="Mendeley Citation Style_1">
    <vt:lpwstr>http://www.zotero.org/styles/apa</vt:lpwstr>
  </property>
  <property fmtid="{D5CDD505-2E9C-101B-9397-08002B2CF9AE}" pid="25" name="grammarly_documentId">
    <vt:lpwstr>documentId_199</vt:lpwstr>
  </property>
  <property fmtid="{D5CDD505-2E9C-101B-9397-08002B2CF9AE}" pid="26" name="grammarly_documentContext">
    <vt:lpwstr>{"goals":[],"domain":"general","emotions":[],"dialect":"american"}</vt:lpwstr>
  </property>
</Properties>
</file>