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0D527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Table S1. Transcriptomic datasets used in this study.</w:t>
      </w:r>
    </w:p>
    <w:tbl>
      <w:tblPr>
        <w:tblStyle w:val="2"/>
        <w:tblpPr w:leftFromText="180" w:rightFromText="180" w:vertAnchor="text" w:horzAnchor="margin" w:tblpY="2777"/>
        <w:tblW w:w="499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917"/>
        <w:gridCol w:w="1663"/>
        <w:gridCol w:w="2398"/>
        <w:gridCol w:w="1599"/>
      </w:tblGrid>
      <w:tr w14:paraId="171D9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4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D256C4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Species</w:t>
            </w:r>
          </w:p>
        </w:tc>
        <w:tc>
          <w:tcPr>
            <w:tcW w:w="112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B757C6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Data type</w:t>
            </w:r>
          </w:p>
        </w:tc>
        <w:tc>
          <w:tcPr>
            <w:tcW w:w="97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AF41E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Region</w:t>
            </w:r>
          </w:p>
        </w:tc>
        <w:tc>
          <w:tcPr>
            <w:tcW w:w="1410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80EE0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Source</w:t>
            </w:r>
          </w:p>
        </w:tc>
        <w:tc>
          <w:tcPr>
            <w:tcW w:w="941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39311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Accession</w:t>
            </w:r>
          </w:p>
        </w:tc>
      </w:tr>
      <w:tr w14:paraId="334EF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54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647BF7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Mouse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9E90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10× Visium spatial transcriptomics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DFB2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Whole brain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9BF5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Cao et al., preprint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D7BB1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To be deposited</w:t>
            </w:r>
          </w:p>
        </w:tc>
      </w:tr>
      <w:tr w14:paraId="22093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545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6CEBA3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CBE72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snRNA-seq</w:t>
            </w:r>
          </w:p>
        </w:tc>
        <w:tc>
          <w:tcPr>
            <w:tcW w:w="97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6F2B6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MEC</w:t>
            </w:r>
          </w:p>
        </w:tc>
        <w:tc>
          <w:tcPr>
            <w:tcW w:w="14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E16B8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Bartas et al., 2025</w:t>
            </w:r>
          </w:p>
        </w:tc>
        <w:tc>
          <w:tcPr>
            <w:tcW w:w="94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E71B2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GSE296091</w:t>
            </w:r>
          </w:p>
        </w:tc>
      </w:tr>
      <w:tr w14:paraId="51528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545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5F981E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Human</w:t>
            </w:r>
          </w:p>
        </w:tc>
        <w:tc>
          <w:tcPr>
            <w:tcW w:w="112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F9232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10× Visium spatial transcriptomics</w:t>
            </w:r>
          </w:p>
        </w:tc>
        <w:tc>
          <w:tcPr>
            <w:tcW w:w="978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C67DC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EC</w:t>
            </w:r>
          </w:p>
        </w:tc>
        <w:tc>
          <w:tcPr>
            <w:tcW w:w="141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D37F94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Huuki-Myers et al., preprint</w:t>
            </w:r>
          </w:p>
        </w:tc>
        <w:tc>
          <w:tcPr>
            <w:tcW w:w="94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D20D3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GSE307990</w:t>
            </w:r>
          </w:p>
        </w:tc>
      </w:tr>
      <w:tr w14:paraId="72434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545" w:type="pct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51F4A9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C7D18E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Bulk transcriptomics</w:t>
            </w:r>
          </w:p>
        </w:tc>
        <w:tc>
          <w:tcPr>
            <w:tcW w:w="978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307F6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EC, FC, TC, HPC</w:t>
            </w:r>
          </w:p>
        </w:tc>
        <w:tc>
          <w:tcPr>
            <w:tcW w:w="141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9367A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Xu et al., ALZDATA</w:t>
            </w:r>
          </w:p>
        </w:tc>
        <w:tc>
          <w:tcPr>
            <w:tcW w:w="94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AFC737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Multiple </w:t>
            </w:r>
          </w:p>
          <w:p w14:paraId="51E5A6F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GEO datasets</w:t>
            </w:r>
          </w:p>
        </w:tc>
      </w:tr>
    </w:tbl>
    <w:p w14:paraId="62E6B02A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Transcriptomic datasets used for spatial, cell-type-specific, and disease-associated analyses of Gpr6/GPR6 expression are listed. Mouse whole-brain 10× Visium data were generated in this study; public mouse MEC single-nucleus RNA-seq, human EC 10× Visium, and human bulk transcriptomic datasets were used for comparative analyses in Figure 1 and Figure S2.</w:t>
      </w:r>
      <w:r>
        <w:rPr>
          <w:rFonts w:ascii="Arial" w:hAnsi="Arial" w:cs="Arial"/>
          <w:sz w:val="21"/>
          <w:szCs w:val="21"/>
        </w:rPr>
        <w:br w:type="page"/>
      </w:r>
    </w:p>
    <w:p w14:paraId="4701171F">
      <w:pPr>
        <w:widowControl/>
        <w:spacing w:line="360" w:lineRule="auto"/>
        <w:jc w:val="lef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Table S2. Activity features improve regression models of MEC spatial information.</w:t>
      </w:r>
    </w:p>
    <w:tbl>
      <w:tblPr>
        <w:tblStyle w:val="2"/>
        <w:tblpPr w:leftFromText="180" w:rightFromText="180" w:vertAnchor="text" w:horzAnchor="margin" w:tblpY="2707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653"/>
        <w:gridCol w:w="3218"/>
        <w:gridCol w:w="787"/>
        <w:gridCol w:w="857"/>
        <w:gridCol w:w="768"/>
      </w:tblGrid>
      <w:tr w14:paraId="446FC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41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851F0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Dependent variable</w:t>
            </w:r>
          </w:p>
        </w:tc>
        <w:tc>
          <w:tcPr>
            <w:tcW w:w="18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0478F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Model</w:t>
            </w:r>
          </w:p>
        </w:tc>
        <w:tc>
          <w:tcPr>
            <w:tcW w:w="36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A11CE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Predictors</w:t>
            </w:r>
          </w:p>
        </w:tc>
        <w:tc>
          <w:tcPr>
            <w:tcW w:w="9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FDFACB4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R²</w:t>
            </w:r>
          </w:p>
        </w:tc>
        <w:tc>
          <w:tcPr>
            <w:tcW w:w="9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2F151D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Adj. R²</w:t>
            </w:r>
          </w:p>
        </w:tc>
        <w:tc>
          <w:tcPr>
            <w:tcW w:w="8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DDF79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1"/>
                <w:szCs w:val="21"/>
                <w:lang w:bidi="ar"/>
              </w:rPr>
              <w:t>AIC</w:t>
            </w:r>
          </w:p>
        </w:tc>
      </w:tr>
      <w:tr w14:paraId="62D30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16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FD9D6D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Spatial information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3142CC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Group-only </w:t>
            </w:r>
          </w:p>
        </w:tc>
        <w:tc>
          <w:tcPr>
            <w:tcW w:w="36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06C85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Experimental group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40FA6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0.142</w:t>
            </w:r>
          </w:p>
        </w:tc>
        <w:tc>
          <w:tcPr>
            <w:tcW w:w="97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D3868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0.141</w:t>
            </w:r>
          </w:p>
        </w:tc>
        <w:tc>
          <w:tcPr>
            <w:tcW w:w="87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DDCB75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2361.8</w:t>
            </w:r>
          </w:p>
        </w:tc>
      </w:tr>
      <w:tr w14:paraId="1D5B5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416" w:type="dxa"/>
            <w:vMerge w:val="continue"/>
            <w:tcBorders>
              <w:left w:val="nil"/>
              <w:right w:val="nil"/>
            </w:tcBorders>
            <w:vAlign w:val="center"/>
          </w:tcPr>
          <w:p w14:paraId="53DF0D3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0BF245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Group </w:t>
            </w:r>
          </w:p>
          <w:p w14:paraId="785A065F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 xml:space="preserve">+ </w:t>
            </w: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Frequency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B36B64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Experimental group</w:t>
            </w:r>
          </w:p>
          <w:p w14:paraId="6E2B9EF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 xml:space="preserve">+ </w:t>
            </w: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mean calcium-event frequency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7F2A9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0.513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911B27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0.512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CB612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1650.4</w:t>
            </w:r>
          </w:p>
        </w:tc>
      </w:tr>
      <w:tr w14:paraId="3681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416" w:type="dxa"/>
            <w:vMerge w:val="continue"/>
            <w:tcBorders>
              <w:left w:val="nil"/>
              <w:right w:val="nil"/>
            </w:tcBorders>
            <w:vAlign w:val="center"/>
          </w:tcPr>
          <w:p w14:paraId="537385E9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1E52A77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Group </w:t>
            </w:r>
          </w:p>
          <w:p w14:paraId="1F9AE383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 xml:space="preserve">+ </w:t>
            </w: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Frequency CV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16C89F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Experimental group </w:t>
            </w:r>
          </w:p>
          <w:p w14:paraId="491B3FCC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 xml:space="preserve">+ </w:t>
            </w: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CV of calcium-event frequency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6B4C40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0.549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59169A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0.548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4C50C9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1556.8</w:t>
            </w:r>
          </w:p>
        </w:tc>
      </w:tr>
      <w:tr w14:paraId="47E6B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416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AF81EA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BD813B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Full model</w:t>
            </w:r>
          </w:p>
        </w:tc>
        <w:tc>
          <w:tcPr>
            <w:tcW w:w="36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013789E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Experimental group </w:t>
            </w:r>
          </w:p>
          <w:p w14:paraId="36072A7A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</w:pPr>
            <w:r>
              <w:rPr>
                <w:rFonts w:ascii="Arial" w:hAnsi="Arial" w:eastAsia="宋体" w:cs="Arial"/>
                <w:sz w:val="21"/>
                <w:szCs w:val="21"/>
              </w:rPr>
              <w:t xml:space="preserve">+ </w:t>
            </w: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 xml:space="preserve">mean calcium-event frequency </w:t>
            </w:r>
          </w:p>
          <w:p w14:paraId="4BF56582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+ CV of calcium-event frequency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44083E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0.635</w:t>
            </w:r>
          </w:p>
        </w:tc>
        <w:tc>
          <w:tcPr>
            <w:tcW w:w="9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FCE818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0.634</w:t>
            </w:r>
          </w:p>
        </w:tc>
        <w:tc>
          <w:tcPr>
            <w:tcW w:w="8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D60DC0D">
            <w:pPr>
              <w:widowControl/>
              <w:spacing w:line="360" w:lineRule="auto"/>
              <w:jc w:val="center"/>
              <w:rPr>
                <w:rFonts w:ascii="Arial" w:hAnsi="Arial" w:eastAsia="等线" w:cs="Arial"/>
                <w:color w:val="000000"/>
                <w:kern w:val="0"/>
                <w:sz w:val="21"/>
                <w:szCs w:val="21"/>
              </w:rPr>
            </w:pPr>
            <w:r>
              <w:rPr>
                <w:rFonts w:ascii="Arial" w:hAnsi="Arial" w:eastAsia="宋体" w:cs="Arial"/>
                <w:kern w:val="0"/>
                <w:sz w:val="21"/>
                <w:szCs w:val="21"/>
                <w:lang w:bidi="ar"/>
              </w:rPr>
              <w:t>1213.8</w:t>
            </w:r>
          </w:p>
        </w:tc>
      </w:tr>
    </w:tbl>
    <w:p w14:paraId="2CEC277F">
      <w:r>
        <w:rPr>
          <w:rFonts w:ascii="Arial" w:hAnsi="Arial" w:cs="Arial"/>
          <w:sz w:val="21"/>
          <w:szCs w:val="21"/>
        </w:rPr>
        <w:t>Model performance is shown for four regression models predicting spatial information in MEC neurons. Predictors included the experimental group, mean calcium-event frequency, and the coefficient of variation (CV) of calcium-event frequency. The experimental group was modeled as a categorical variable with three levels: WT, ADCon, and ADOe. R², adjusted R², and the Akaike Information Criterion (AIC) are reported.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0E00E4"/>
    <w:rsid w:val="490E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2026-08-24T12:37:00Z</dcterms:created>
  <dc:creator>ADIOS✨</dc:creator>
  <cp:lastModifiedBy>ADIOS✨</cp:lastModifiedBy>
  <dcterms:modified xsi:type="dcterms:W3CDTF">2026-08-24T12:39:15Z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BE6F3AA9B4CE40ED9E504BBAAC2399E0_11</vt:lpwstr>
  </property>
  <property fmtid="{D5CDD505-2E9C-101B-9397-08002B2CF9AE}" pid="4" name="KSOTemplateDocerSaveRecord">
    <vt:lpwstr>eyJoZGlkIjoiMzA4ODI2YjExZDQ5Y2UwYTIwODZlM2U2MzBiNDJkZGIiLCJ1c2VySWQiOiIyNTIyNDQ0OTgifQ==</vt:lpwstr>
  </property>
</Properties>
</file>