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5712" w14:textId="77777777" w:rsidR="00B7016B" w:rsidRDefault="00000000">
      <w:pPr>
        <w:spacing w:line="480" w:lineRule="auto"/>
        <w:rPr>
          <w:color w:val="333333"/>
        </w:rPr>
      </w:pPr>
      <w:r>
        <w:rPr>
          <w:b/>
          <w:bCs/>
          <w:sz w:val="36"/>
          <w:szCs w:val="36"/>
        </w:rPr>
        <w:t>Supplementary Material</w:t>
      </w:r>
    </w:p>
    <w:p w14:paraId="0DA81E2A" w14:textId="77777777" w:rsidR="00B7016B" w:rsidRDefault="00000000">
      <w:pPr>
        <w:widowControl w:val="0"/>
        <w:spacing w:after="160" w:line="360" w:lineRule="auto"/>
        <w:rPr>
          <w:color w:val="333333"/>
        </w:rPr>
      </w:pPr>
      <w:r>
        <w:rPr>
          <w:color w:val="333333"/>
        </w:rPr>
        <w:t>Supplementary Table 1. Summary of the foundation models evaluated in this study.</w:t>
      </w:r>
    </w:p>
    <w:tbl>
      <w:tblPr>
        <w:tblStyle w:val="ad"/>
        <w:tblW w:w="14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97"/>
        <w:gridCol w:w="2497"/>
        <w:gridCol w:w="2497"/>
        <w:gridCol w:w="2498"/>
        <w:gridCol w:w="2498"/>
        <w:gridCol w:w="2498"/>
      </w:tblGrid>
      <w:tr w:rsidR="00B7016B" w14:paraId="09269207" w14:textId="77777777">
        <w:trPr>
          <w:trHeight w:val="555"/>
        </w:trPr>
        <w:tc>
          <w:tcPr>
            <w:tcW w:w="2497" w:type="dxa"/>
            <w:tcBorders>
              <w:top w:val="single" w:sz="7" w:space="0" w:color="000000"/>
              <w:left w:val="nil"/>
              <w:bottom w:val="single" w:sz="7" w:space="0" w:color="000000"/>
              <w:right w:val="nil"/>
            </w:tcBorders>
            <w:tcMar>
              <w:top w:w="40" w:type="dxa"/>
              <w:left w:w="60" w:type="dxa"/>
              <w:bottom w:w="40" w:type="dxa"/>
              <w:right w:w="60" w:type="dxa"/>
            </w:tcMar>
          </w:tcPr>
          <w:p w14:paraId="0599F5D2" w14:textId="77777777" w:rsidR="00B7016B" w:rsidRDefault="00000000">
            <w:pPr>
              <w:widowControl w:val="0"/>
              <w:spacing w:before="40" w:after="40" w:line="360" w:lineRule="auto"/>
              <w:rPr>
                <w:color w:val="333333"/>
                <w:sz w:val="18"/>
                <w:szCs w:val="18"/>
              </w:rPr>
            </w:pPr>
            <w:r>
              <w:rPr>
                <w:color w:val="333333"/>
                <w:sz w:val="18"/>
                <w:szCs w:val="18"/>
              </w:rPr>
              <w:t>Model</w:t>
            </w:r>
          </w:p>
        </w:tc>
        <w:tc>
          <w:tcPr>
            <w:tcW w:w="2497" w:type="dxa"/>
            <w:tcBorders>
              <w:top w:val="single" w:sz="7" w:space="0" w:color="000000"/>
              <w:left w:val="nil"/>
              <w:bottom w:val="single" w:sz="7" w:space="0" w:color="000000"/>
              <w:right w:val="nil"/>
            </w:tcBorders>
            <w:tcMar>
              <w:top w:w="40" w:type="dxa"/>
              <w:left w:w="60" w:type="dxa"/>
              <w:bottom w:w="40" w:type="dxa"/>
              <w:right w:w="60" w:type="dxa"/>
            </w:tcMar>
          </w:tcPr>
          <w:p w14:paraId="7E78347B" w14:textId="77777777" w:rsidR="00B7016B" w:rsidRDefault="00000000">
            <w:pPr>
              <w:widowControl w:val="0"/>
              <w:spacing w:before="40" w:after="40" w:line="360" w:lineRule="auto"/>
              <w:rPr>
                <w:color w:val="333333"/>
                <w:sz w:val="18"/>
                <w:szCs w:val="18"/>
              </w:rPr>
            </w:pPr>
            <w:r>
              <w:rPr>
                <w:color w:val="333333"/>
                <w:sz w:val="18"/>
                <w:szCs w:val="18"/>
              </w:rPr>
              <w:t>Architecture/Patch Size</w:t>
            </w:r>
          </w:p>
        </w:tc>
        <w:tc>
          <w:tcPr>
            <w:tcW w:w="2497" w:type="dxa"/>
            <w:tcBorders>
              <w:top w:val="single" w:sz="7" w:space="0" w:color="000000"/>
              <w:left w:val="nil"/>
              <w:bottom w:val="single" w:sz="7" w:space="0" w:color="000000"/>
              <w:right w:val="nil"/>
            </w:tcBorders>
            <w:tcMar>
              <w:top w:w="40" w:type="dxa"/>
              <w:left w:w="60" w:type="dxa"/>
              <w:bottom w:w="40" w:type="dxa"/>
              <w:right w:w="60" w:type="dxa"/>
            </w:tcMar>
          </w:tcPr>
          <w:p w14:paraId="64823F8D" w14:textId="77777777" w:rsidR="00B7016B" w:rsidRDefault="00000000">
            <w:pPr>
              <w:widowControl w:val="0"/>
              <w:spacing w:before="40" w:after="40" w:line="360" w:lineRule="auto"/>
              <w:rPr>
                <w:color w:val="333333"/>
                <w:sz w:val="18"/>
                <w:szCs w:val="18"/>
              </w:rPr>
            </w:pPr>
            <w:r>
              <w:rPr>
                <w:color w:val="333333"/>
                <w:sz w:val="18"/>
                <w:szCs w:val="18"/>
              </w:rPr>
              <w:t>Pretraining resolution</w:t>
            </w:r>
          </w:p>
        </w:tc>
        <w:tc>
          <w:tcPr>
            <w:tcW w:w="2497" w:type="dxa"/>
            <w:tcBorders>
              <w:top w:val="single" w:sz="7" w:space="0" w:color="000000"/>
              <w:left w:val="nil"/>
              <w:bottom w:val="single" w:sz="7" w:space="0" w:color="000000"/>
              <w:right w:val="nil"/>
            </w:tcBorders>
            <w:tcMar>
              <w:top w:w="40" w:type="dxa"/>
              <w:left w:w="60" w:type="dxa"/>
              <w:bottom w:w="40" w:type="dxa"/>
              <w:right w:w="60" w:type="dxa"/>
            </w:tcMar>
          </w:tcPr>
          <w:p w14:paraId="73CD0193" w14:textId="77777777" w:rsidR="00B7016B" w:rsidRDefault="00000000">
            <w:pPr>
              <w:widowControl w:val="0"/>
              <w:spacing w:before="40" w:after="40" w:line="360" w:lineRule="auto"/>
              <w:rPr>
                <w:color w:val="333333"/>
                <w:sz w:val="18"/>
                <w:szCs w:val="18"/>
              </w:rPr>
            </w:pPr>
            <w:r>
              <w:rPr>
                <w:color w:val="333333"/>
                <w:sz w:val="18"/>
                <w:szCs w:val="18"/>
              </w:rPr>
              <w:t>Pretraining data</w:t>
            </w:r>
          </w:p>
        </w:tc>
        <w:tc>
          <w:tcPr>
            <w:tcW w:w="2497" w:type="dxa"/>
            <w:tcBorders>
              <w:top w:val="single" w:sz="7" w:space="0" w:color="000000"/>
              <w:left w:val="nil"/>
              <w:bottom w:val="single" w:sz="7" w:space="0" w:color="000000"/>
              <w:right w:val="nil"/>
            </w:tcBorders>
            <w:tcMar>
              <w:top w:w="40" w:type="dxa"/>
              <w:left w:w="60" w:type="dxa"/>
              <w:bottom w:w="40" w:type="dxa"/>
              <w:right w:w="60" w:type="dxa"/>
            </w:tcMar>
          </w:tcPr>
          <w:p w14:paraId="1AC26030" w14:textId="77777777" w:rsidR="00B7016B" w:rsidRDefault="00000000">
            <w:pPr>
              <w:widowControl w:val="0"/>
              <w:spacing w:before="40" w:after="40" w:line="360" w:lineRule="auto"/>
              <w:rPr>
                <w:color w:val="333333"/>
                <w:sz w:val="18"/>
                <w:szCs w:val="18"/>
              </w:rPr>
            </w:pPr>
            <w:r>
              <w:rPr>
                <w:color w:val="333333"/>
                <w:sz w:val="18"/>
                <w:szCs w:val="18"/>
              </w:rPr>
              <w:t>Class-token</w:t>
            </w:r>
          </w:p>
        </w:tc>
        <w:tc>
          <w:tcPr>
            <w:tcW w:w="2497" w:type="dxa"/>
            <w:tcBorders>
              <w:top w:val="single" w:sz="7" w:space="0" w:color="000000"/>
              <w:left w:val="nil"/>
              <w:bottom w:val="single" w:sz="7" w:space="0" w:color="000000"/>
              <w:right w:val="nil"/>
            </w:tcBorders>
            <w:tcMar>
              <w:top w:w="40" w:type="dxa"/>
              <w:left w:w="60" w:type="dxa"/>
              <w:bottom w:w="40" w:type="dxa"/>
              <w:right w:w="60" w:type="dxa"/>
            </w:tcMar>
          </w:tcPr>
          <w:p w14:paraId="2DF0C79D" w14:textId="77777777" w:rsidR="00B7016B" w:rsidRDefault="00000000">
            <w:pPr>
              <w:widowControl w:val="0"/>
              <w:spacing w:before="40" w:after="40" w:line="360" w:lineRule="auto"/>
              <w:rPr>
                <w:color w:val="333333"/>
                <w:sz w:val="18"/>
                <w:szCs w:val="18"/>
              </w:rPr>
            </w:pPr>
            <w:r>
              <w:rPr>
                <w:color w:val="333333"/>
                <w:sz w:val="18"/>
                <w:szCs w:val="18"/>
              </w:rPr>
              <w:t>Pooling</w:t>
            </w:r>
          </w:p>
        </w:tc>
      </w:tr>
      <w:tr w:rsidR="00B7016B" w14:paraId="254B8245" w14:textId="77777777">
        <w:trPr>
          <w:trHeight w:val="360"/>
        </w:trPr>
        <w:tc>
          <w:tcPr>
            <w:tcW w:w="9988" w:type="dxa"/>
            <w:gridSpan w:val="4"/>
            <w:tcBorders>
              <w:top w:val="nil"/>
              <w:left w:val="nil"/>
              <w:bottom w:val="nil"/>
              <w:right w:val="nil"/>
            </w:tcBorders>
            <w:tcMar>
              <w:top w:w="40" w:type="dxa"/>
              <w:left w:w="60" w:type="dxa"/>
              <w:bottom w:w="40" w:type="dxa"/>
              <w:right w:w="60" w:type="dxa"/>
            </w:tcMar>
          </w:tcPr>
          <w:p w14:paraId="27BCCEAB" w14:textId="77777777" w:rsidR="00B7016B" w:rsidRDefault="00000000">
            <w:pPr>
              <w:widowControl w:val="0"/>
              <w:spacing w:before="40" w:after="40" w:line="360" w:lineRule="auto"/>
              <w:rPr>
                <w:color w:val="333333"/>
                <w:sz w:val="18"/>
                <w:szCs w:val="18"/>
              </w:rPr>
            </w:pPr>
            <w:r>
              <w:rPr>
                <w:color w:val="333333"/>
                <w:sz w:val="18"/>
                <w:szCs w:val="18"/>
              </w:rPr>
              <w:t>General-purpose vision foundation models</w:t>
            </w:r>
          </w:p>
        </w:tc>
        <w:tc>
          <w:tcPr>
            <w:tcW w:w="2497" w:type="dxa"/>
            <w:tcBorders>
              <w:top w:val="nil"/>
              <w:left w:val="nil"/>
              <w:bottom w:val="nil"/>
              <w:right w:val="nil"/>
            </w:tcBorders>
            <w:tcMar>
              <w:top w:w="40" w:type="dxa"/>
              <w:left w:w="60" w:type="dxa"/>
              <w:bottom w:w="40" w:type="dxa"/>
              <w:right w:w="60" w:type="dxa"/>
            </w:tcMar>
          </w:tcPr>
          <w:p w14:paraId="11512B79" w14:textId="77777777" w:rsidR="00B7016B" w:rsidRDefault="00B7016B">
            <w:pPr>
              <w:widowControl w:val="0"/>
              <w:pBdr>
                <w:top w:val="nil"/>
                <w:left w:val="nil"/>
                <w:bottom w:val="nil"/>
                <w:right w:val="nil"/>
                <w:between w:val="nil"/>
              </w:pBdr>
              <w:rPr>
                <w:color w:val="333333"/>
                <w:sz w:val="18"/>
                <w:szCs w:val="18"/>
              </w:rPr>
            </w:pPr>
          </w:p>
        </w:tc>
        <w:tc>
          <w:tcPr>
            <w:tcW w:w="2497" w:type="dxa"/>
            <w:tcBorders>
              <w:top w:val="nil"/>
              <w:left w:val="nil"/>
              <w:bottom w:val="nil"/>
              <w:right w:val="nil"/>
            </w:tcBorders>
            <w:tcMar>
              <w:top w:w="40" w:type="dxa"/>
              <w:left w:w="60" w:type="dxa"/>
              <w:bottom w:w="40" w:type="dxa"/>
              <w:right w:w="60" w:type="dxa"/>
            </w:tcMar>
          </w:tcPr>
          <w:p w14:paraId="71FD8105" w14:textId="77777777" w:rsidR="00B7016B" w:rsidRDefault="00B7016B">
            <w:pPr>
              <w:widowControl w:val="0"/>
              <w:pBdr>
                <w:top w:val="nil"/>
                <w:left w:val="nil"/>
                <w:bottom w:val="nil"/>
                <w:right w:val="nil"/>
                <w:between w:val="nil"/>
              </w:pBdr>
              <w:rPr>
                <w:color w:val="333333"/>
                <w:sz w:val="18"/>
                <w:szCs w:val="18"/>
              </w:rPr>
            </w:pPr>
          </w:p>
        </w:tc>
      </w:tr>
      <w:tr w:rsidR="00B7016B" w14:paraId="613C7444" w14:textId="77777777">
        <w:trPr>
          <w:trHeight w:val="480"/>
        </w:trPr>
        <w:tc>
          <w:tcPr>
            <w:tcW w:w="2497" w:type="dxa"/>
            <w:tcBorders>
              <w:top w:val="nil"/>
              <w:left w:val="nil"/>
              <w:bottom w:val="nil"/>
              <w:right w:val="nil"/>
            </w:tcBorders>
            <w:tcMar>
              <w:top w:w="40" w:type="dxa"/>
              <w:left w:w="60" w:type="dxa"/>
              <w:bottom w:w="40" w:type="dxa"/>
              <w:right w:w="60" w:type="dxa"/>
            </w:tcMar>
          </w:tcPr>
          <w:p w14:paraId="5CD168A8" w14:textId="77777777" w:rsidR="00B7016B" w:rsidRDefault="00000000">
            <w:pPr>
              <w:widowControl w:val="0"/>
              <w:spacing w:before="40" w:after="40" w:line="360" w:lineRule="auto"/>
              <w:rPr>
                <w:color w:val="333333"/>
                <w:sz w:val="18"/>
                <w:szCs w:val="18"/>
              </w:rPr>
            </w:pPr>
            <w:r>
              <w:rPr>
                <w:color w:val="333333"/>
                <w:sz w:val="18"/>
                <w:szCs w:val="18"/>
              </w:rPr>
              <w:t>DINOv3-Large</w:t>
            </w:r>
          </w:p>
        </w:tc>
        <w:tc>
          <w:tcPr>
            <w:tcW w:w="2497" w:type="dxa"/>
            <w:tcBorders>
              <w:top w:val="nil"/>
              <w:left w:val="nil"/>
              <w:bottom w:val="nil"/>
              <w:right w:val="nil"/>
            </w:tcBorders>
            <w:tcMar>
              <w:top w:w="40" w:type="dxa"/>
              <w:left w:w="60" w:type="dxa"/>
              <w:bottom w:w="40" w:type="dxa"/>
              <w:right w:w="60" w:type="dxa"/>
            </w:tcMar>
          </w:tcPr>
          <w:p w14:paraId="68A8DBD5" w14:textId="77777777" w:rsidR="00B7016B" w:rsidRDefault="00000000">
            <w:pPr>
              <w:widowControl w:val="0"/>
              <w:spacing w:before="40" w:after="40" w:line="360" w:lineRule="auto"/>
              <w:rPr>
                <w:color w:val="333333"/>
                <w:sz w:val="18"/>
                <w:szCs w:val="18"/>
              </w:rPr>
            </w:pPr>
            <w:r>
              <w:rPr>
                <w:color w:val="333333"/>
                <w:sz w:val="18"/>
                <w:szCs w:val="18"/>
              </w:rPr>
              <w:t>ViT-Large/16</w:t>
            </w:r>
          </w:p>
        </w:tc>
        <w:tc>
          <w:tcPr>
            <w:tcW w:w="2497" w:type="dxa"/>
            <w:tcBorders>
              <w:top w:val="nil"/>
              <w:left w:val="nil"/>
              <w:bottom w:val="nil"/>
              <w:right w:val="nil"/>
            </w:tcBorders>
            <w:tcMar>
              <w:top w:w="40" w:type="dxa"/>
              <w:left w:w="60" w:type="dxa"/>
              <w:bottom w:w="40" w:type="dxa"/>
              <w:right w:w="60" w:type="dxa"/>
            </w:tcMar>
          </w:tcPr>
          <w:p w14:paraId="31065C50" w14:textId="77777777" w:rsidR="00B7016B" w:rsidRDefault="00000000">
            <w:pPr>
              <w:widowControl w:val="0"/>
              <w:spacing w:before="40" w:after="40" w:line="360" w:lineRule="auto"/>
              <w:rPr>
                <w:color w:val="333333"/>
                <w:sz w:val="18"/>
                <w:szCs w:val="18"/>
              </w:rPr>
            </w:pPr>
            <w:r>
              <w:rPr>
                <w:color w:val="333333"/>
                <w:sz w:val="18"/>
                <w:szCs w:val="18"/>
              </w:rPr>
              <w:t>224 × 224, 512 × 512</w:t>
            </w:r>
          </w:p>
        </w:tc>
        <w:tc>
          <w:tcPr>
            <w:tcW w:w="2497" w:type="dxa"/>
            <w:tcBorders>
              <w:top w:val="nil"/>
              <w:left w:val="nil"/>
              <w:bottom w:val="nil"/>
              <w:right w:val="nil"/>
            </w:tcBorders>
            <w:tcMar>
              <w:top w:w="40" w:type="dxa"/>
              <w:left w:w="60" w:type="dxa"/>
              <w:bottom w:w="40" w:type="dxa"/>
              <w:right w:w="60" w:type="dxa"/>
            </w:tcMar>
          </w:tcPr>
          <w:p w14:paraId="5C102C0C" w14:textId="77777777" w:rsidR="00B7016B" w:rsidRDefault="00000000">
            <w:pPr>
              <w:widowControl w:val="0"/>
              <w:spacing w:before="40" w:after="40" w:line="360" w:lineRule="auto"/>
              <w:rPr>
                <w:color w:val="333333"/>
                <w:sz w:val="18"/>
                <w:szCs w:val="18"/>
              </w:rPr>
            </w:pPr>
            <w:r>
              <w:rPr>
                <w:color w:val="333333"/>
                <w:sz w:val="18"/>
                <w:szCs w:val="18"/>
              </w:rPr>
              <w:t>LVD-1689M</w:t>
            </w:r>
          </w:p>
        </w:tc>
        <w:tc>
          <w:tcPr>
            <w:tcW w:w="2497" w:type="dxa"/>
            <w:tcBorders>
              <w:top w:val="nil"/>
              <w:left w:val="nil"/>
              <w:bottom w:val="nil"/>
              <w:right w:val="nil"/>
            </w:tcBorders>
            <w:tcMar>
              <w:top w:w="40" w:type="dxa"/>
              <w:left w:w="60" w:type="dxa"/>
              <w:bottom w:w="40" w:type="dxa"/>
              <w:right w:w="60" w:type="dxa"/>
            </w:tcMar>
          </w:tcPr>
          <w:p w14:paraId="7376B108" w14:textId="77777777" w:rsidR="00B7016B" w:rsidRDefault="00000000">
            <w:pPr>
              <w:widowControl w:val="0"/>
              <w:spacing w:before="40" w:after="40" w:line="360" w:lineRule="auto"/>
              <w:rPr>
                <w:color w:val="333333"/>
                <w:sz w:val="18"/>
                <w:szCs w:val="18"/>
              </w:rPr>
            </w:pPr>
            <w:r>
              <w:rPr>
                <w:color w:val="333333"/>
                <w:sz w:val="18"/>
                <w:szCs w:val="18"/>
              </w:rPr>
              <w:t>Yes</w:t>
            </w:r>
          </w:p>
        </w:tc>
        <w:tc>
          <w:tcPr>
            <w:tcW w:w="2497" w:type="dxa"/>
            <w:tcBorders>
              <w:top w:val="nil"/>
              <w:left w:val="nil"/>
              <w:bottom w:val="nil"/>
              <w:right w:val="nil"/>
            </w:tcBorders>
            <w:tcMar>
              <w:top w:w="40" w:type="dxa"/>
              <w:left w:w="60" w:type="dxa"/>
              <w:bottom w:w="40" w:type="dxa"/>
              <w:right w:w="60" w:type="dxa"/>
            </w:tcMar>
          </w:tcPr>
          <w:p w14:paraId="2B727698" w14:textId="77777777" w:rsidR="00B7016B" w:rsidRDefault="00000000">
            <w:pPr>
              <w:widowControl w:val="0"/>
              <w:spacing w:before="40" w:after="40" w:line="360" w:lineRule="auto"/>
              <w:rPr>
                <w:color w:val="333333"/>
                <w:sz w:val="18"/>
                <w:szCs w:val="18"/>
              </w:rPr>
            </w:pPr>
            <w:r>
              <w:rPr>
                <w:color w:val="333333"/>
                <w:sz w:val="18"/>
                <w:szCs w:val="18"/>
              </w:rPr>
              <w:t>Class-token</w:t>
            </w:r>
          </w:p>
        </w:tc>
      </w:tr>
      <w:tr w:rsidR="00B7016B" w14:paraId="34CAF5B6" w14:textId="77777777">
        <w:trPr>
          <w:trHeight w:val="705"/>
        </w:trPr>
        <w:tc>
          <w:tcPr>
            <w:tcW w:w="2497" w:type="dxa"/>
            <w:tcBorders>
              <w:top w:val="nil"/>
              <w:left w:val="nil"/>
              <w:bottom w:val="nil"/>
              <w:right w:val="nil"/>
            </w:tcBorders>
            <w:tcMar>
              <w:top w:w="40" w:type="dxa"/>
              <w:left w:w="60" w:type="dxa"/>
              <w:bottom w:w="40" w:type="dxa"/>
              <w:right w:w="60" w:type="dxa"/>
            </w:tcMar>
          </w:tcPr>
          <w:p w14:paraId="674546BE" w14:textId="77777777" w:rsidR="00B7016B" w:rsidRDefault="00000000">
            <w:pPr>
              <w:widowControl w:val="0"/>
              <w:spacing w:before="40" w:after="40" w:line="360" w:lineRule="auto"/>
              <w:rPr>
                <w:color w:val="333333"/>
                <w:sz w:val="18"/>
                <w:szCs w:val="18"/>
              </w:rPr>
            </w:pPr>
            <w:r>
              <w:rPr>
                <w:color w:val="333333"/>
                <w:sz w:val="18"/>
                <w:szCs w:val="18"/>
              </w:rPr>
              <w:t>Perception Encoder-Large</w:t>
            </w:r>
          </w:p>
        </w:tc>
        <w:tc>
          <w:tcPr>
            <w:tcW w:w="2497" w:type="dxa"/>
            <w:tcBorders>
              <w:top w:val="nil"/>
              <w:left w:val="nil"/>
              <w:bottom w:val="nil"/>
              <w:right w:val="nil"/>
            </w:tcBorders>
            <w:tcMar>
              <w:top w:w="40" w:type="dxa"/>
              <w:left w:w="60" w:type="dxa"/>
              <w:bottom w:w="40" w:type="dxa"/>
              <w:right w:w="60" w:type="dxa"/>
            </w:tcMar>
          </w:tcPr>
          <w:p w14:paraId="67B7D265" w14:textId="77777777" w:rsidR="00B7016B" w:rsidRDefault="00000000">
            <w:pPr>
              <w:widowControl w:val="0"/>
              <w:spacing w:before="40" w:after="40" w:line="360" w:lineRule="auto"/>
              <w:rPr>
                <w:color w:val="333333"/>
                <w:sz w:val="18"/>
                <w:szCs w:val="18"/>
              </w:rPr>
            </w:pPr>
            <w:r>
              <w:rPr>
                <w:color w:val="333333"/>
                <w:sz w:val="18"/>
                <w:szCs w:val="18"/>
              </w:rPr>
              <w:t>ViT-Large/14</w:t>
            </w:r>
          </w:p>
        </w:tc>
        <w:tc>
          <w:tcPr>
            <w:tcW w:w="2497" w:type="dxa"/>
            <w:tcBorders>
              <w:top w:val="nil"/>
              <w:left w:val="nil"/>
              <w:bottom w:val="nil"/>
              <w:right w:val="nil"/>
            </w:tcBorders>
            <w:tcMar>
              <w:top w:w="40" w:type="dxa"/>
              <w:left w:w="60" w:type="dxa"/>
              <w:bottom w:w="40" w:type="dxa"/>
              <w:right w:w="60" w:type="dxa"/>
            </w:tcMar>
          </w:tcPr>
          <w:p w14:paraId="120F51B3" w14:textId="77777777" w:rsidR="00B7016B" w:rsidRDefault="00000000">
            <w:pPr>
              <w:widowControl w:val="0"/>
              <w:spacing w:before="40" w:after="40" w:line="360" w:lineRule="auto"/>
              <w:rPr>
                <w:color w:val="333333"/>
                <w:sz w:val="18"/>
                <w:szCs w:val="18"/>
              </w:rPr>
            </w:pPr>
            <w:r>
              <w:rPr>
                <w:color w:val="333333"/>
                <w:sz w:val="18"/>
                <w:szCs w:val="18"/>
              </w:rPr>
              <w:t>336 × 336</w:t>
            </w:r>
          </w:p>
        </w:tc>
        <w:tc>
          <w:tcPr>
            <w:tcW w:w="2497" w:type="dxa"/>
            <w:tcBorders>
              <w:top w:val="nil"/>
              <w:left w:val="nil"/>
              <w:bottom w:val="nil"/>
              <w:right w:val="nil"/>
            </w:tcBorders>
            <w:tcMar>
              <w:top w:w="40" w:type="dxa"/>
              <w:left w:w="60" w:type="dxa"/>
              <w:bottom w:w="40" w:type="dxa"/>
              <w:right w:w="60" w:type="dxa"/>
            </w:tcMar>
          </w:tcPr>
          <w:p w14:paraId="70BDEDCE" w14:textId="77777777" w:rsidR="00B7016B" w:rsidRDefault="00000000">
            <w:pPr>
              <w:widowControl w:val="0"/>
              <w:spacing w:before="40" w:after="40" w:line="360" w:lineRule="auto"/>
              <w:rPr>
                <w:color w:val="333333"/>
                <w:sz w:val="18"/>
                <w:szCs w:val="18"/>
              </w:rPr>
            </w:pPr>
            <w:r>
              <w:rPr>
                <w:color w:val="333333"/>
                <w:sz w:val="18"/>
                <w:szCs w:val="18"/>
              </w:rPr>
              <w:t>5.4 billion image–text pairs</w:t>
            </w:r>
          </w:p>
        </w:tc>
        <w:tc>
          <w:tcPr>
            <w:tcW w:w="2497" w:type="dxa"/>
            <w:tcBorders>
              <w:top w:val="nil"/>
              <w:left w:val="nil"/>
              <w:bottom w:val="nil"/>
              <w:right w:val="nil"/>
            </w:tcBorders>
            <w:tcMar>
              <w:top w:w="40" w:type="dxa"/>
              <w:left w:w="60" w:type="dxa"/>
              <w:bottom w:w="40" w:type="dxa"/>
              <w:right w:w="60" w:type="dxa"/>
            </w:tcMar>
          </w:tcPr>
          <w:p w14:paraId="4158F75D" w14:textId="77777777" w:rsidR="00B7016B" w:rsidRDefault="00000000">
            <w:pPr>
              <w:widowControl w:val="0"/>
              <w:spacing w:before="40" w:after="40" w:line="360" w:lineRule="auto"/>
              <w:rPr>
                <w:color w:val="333333"/>
                <w:sz w:val="18"/>
                <w:szCs w:val="18"/>
              </w:rPr>
            </w:pPr>
            <w:r>
              <w:rPr>
                <w:color w:val="333333"/>
                <w:sz w:val="18"/>
                <w:szCs w:val="18"/>
              </w:rPr>
              <w:t>Yes</w:t>
            </w:r>
          </w:p>
        </w:tc>
        <w:tc>
          <w:tcPr>
            <w:tcW w:w="2497" w:type="dxa"/>
            <w:tcBorders>
              <w:top w:val="nil"/>
              <w:left w:val="nil"/>
              <w:bottom w:val="nil"/>
              <w:right w:val="nil"/>
            </w:tcBorders>
            <w:tcMar>
              <w:top w:w="40" w:type="dxa"/>
              <w:left w:w="60" w:type="dxa"/>
              <w:bottom w:w="40" w:type="dxa"/>
              <w:right w:w="60" w:type="dxa"/>
            </w:tcMar>
          </w:tcPr>
          <w:p w14:paraId="0D168A79" w14:textId="77777777" w:rsidR="00B7016B" w:rsidRDefault="00000000">
            <w:pPr>
              <w:widowControl w:val="0"/>
              <w:spacing w:before="40" w:after="40" w:line="360" w:lineRule="auto"/>
              <w:rPr>
                <w:color w:val="333333"/>
                <w:sz w:val="18"/>
                <w:szCs w:val="18"/>
              </w:rPr>
            </w:pPr>
            <w:r>
              <w:rPr>
                <w:color w:val="333333"/>
                <w:sz w:val="18"/>
                <w:szCs w:val="18"/>
              </w:rPr>
              <w:t>Attention-pooling</w:t>
            </w:r>
          </w:p>
        </w:tc>
      </w:tr>
      <w:tr w:rsidR="00B7016B" w14:paraId="45D89C4A" w14:textId="77777777">
        <w:trPr>
          <w:trHeight w:val="750"/>
        </w:trPr>
        <w:tc>
          <w:tcPr>
            <w:tcW w:w="2497" w:type="dxa"/>
            <w:tcBorders>
              <w:top w:val="nil"/>
              <w:left w:val="nil"/>
              <w:bottom w:val="single" w:sz="7" w:space="0" w:color="000000"/>
              <w:right w:val="nil"/>
            </w:tcBorders>
            <w:tcMar>
              <w:top w:w="40" w:type="dxa"/>
              <w:left w:w="60" w:type="dxa"/>
              <w:bottom w:w="40" w:type="dxa"/>
              <w:right w:w="60" w:type="dxa"/>
            </w:tcMar>
          </w:tcPr>
          <w:p w14:paraId="694111F8" w14:textId="77777777" w:rsidR="00B7016B" w:rsidRDefault="00000000">
            <w:pPr>
              <w:widowControl w:val="0"/>
              <w:spacing w:before="40" w:after="40" w:line="360" w:lineRule="auto"/>
              <w:rPr>
                <w:color w:val="333333"/>
                <w:sz w:val="18"/>
                <w:szCs w:val="18"/>
              </w:rPr>
            </w:pPr>
            <w:r>
              <w:rPr>
                <w:color w:val="333333"/>
                <w:sz w:val="18"/>
                <w:szCs w:val="18"/>
              </w:rPr>
              <w:t>Efficient Universal Perception Encoder-Base</w:t>
            </w:r>
          </w:p>
        </w:tc>
        <w:tc>
          <w:tcPr>
            <w:tcW w:w="2497" w:type="dxa"/>
            <w:tcBorders>
              <w:top w:val="nil"/>
              <w:left w:val="nil"/>
              <w:bottom w:val="single" w:sz="7" w:space="0" w:color="000000"/>
              <w:right w:val="nil"/>
            </w:tcBorders>
            <w:tcMar>
              <w:top w:w="40" w:type="dxa"/>
              <w:left w:w="60" w:type="dxa"/>
              <w:bottom w:w="40" w:type="dxa"/>
              <w:right w:w="60" w:type="dxa"/>
            </w:tcMar>
          </w:tcPr>
          <w:p w14:paraId="005B428C" w14:textId="77777777" w:rsidR="00B7016B" w:rsidRDefault="00000000">
            <w:pPr>
              <w:widowControl w:val="0"/>
              <w:spacing w:before="40" w:after="40" w:line="360" w:lineRule="auto"/>
              <w:rPr>
                <w:color w:val="333333"/>
                <w:sz w:val="18"/>
                <w:szCs w:val="18"/>
              </w:rPr>
            </w:pPr>
            <w:r>
              <w:rPr>
                <w:color w:val="333333"/>
                <w:sz w:val="18"/>
                <w:szCs w:val="18"/>
              </w:rPr>
              <w:t>ViT-Base/16</w:t>
            </w:r>
          </w:p>
        </w:tc>
        <w:tc>
          <w:tcPr>
            <w:tcW w:w="2497" w:type="dxa"/>
            <w:tcBorders>
              <w:top w:val="nil"/>
              <w:left w:val="nil"/>
              <w:bottom w:val="single" w:sz="7" w:space="0" w:color="000000"/>
              <w:right w:val="nil"/>
            </w:tcBorders>
            <w:tcMar>
              <w:top w:w="40" w:type="dxa"/>
              <w:left w:w="60" w:type="dxa"/>
              <w:bottom w:w="40" w:type="dxa"/>
              <w:right w:w="60" w:type="dxa"/>
            </w:tcMar>
          </w:tcPr>
          <w:p w14:paraId="4814941B" w14:textId="77777777" w:rsidR="00B7016B" w:rsidRDefault="00000000">
            <w:pPr>
              <w:widowControl w:val="0"/>
              <w:spacing w:before="40" w:after="40" w:line="360" w:lineRule="auto"/>
              <w:rPr>
                <w:color w:val="333333"/>
                <w:sz w:val="18"/>
                <w:szCs w:val="18"/>
              </w:rPr>
            </w:pPr>
            <w:r>
              <w:rPr>
                <w:color w:val="333333"/>
                <w:sz w:val="18"/>
                <w:szCs w:val="18"/>
              </w:rPr>
              <w:t>256 × 256, 384 × 384, 512 × 512</w:t>
            </w:r>
          </w:p>
        </w:tc>
        <w:tc>
          <w:tcPr>
            <w:tcW w:w="2497" w:type="dxa"/>
            <w:tcBorders>
              <w:top w:val="nil"/>
              <w:left w:val="nil"/>
              <w:bottom w:val="single" w:sz="7" w:space="0" w:color="000000"/>
              <w:right w:val="nil"/>
            </w:tcBorders>
            <w:tcMar>
              <w:top w:w="40" w:type="dxa"/>
              <w:left w:w="60" w:type="dxa"/>
              <w:bottom w:w="40" w:type="dxa"/>
              <w:right w:w="60" w:type="dxa"/>
            </w:tcMar>
          </w:tcPr>
          <w:p w14:paraId="58829FD5" w14:textId="77777777" w:rsidR="00B7016B" w:rsidRDefault="00000000">
            <w:pPr>
              <w:widowControl w:val="0"/>
              <w:spacing w:before="40" w:after="40" w:line="360" w:lineRule="auto"/>
              <w:rPr>
                <w:color w:val="333333"/>
                <w:sz w:val="18"/>
                <w:szCs w:val="18"/>
              </w:rPr>
            </w:pPr>
            <w:r>
              <w:rPr>
                <w:color w:val="333333"/>
                <w:sz w:val="18"/>
                <w:szCs w:val="18"/>
              </w:rPr>
              <w:t>LVD-1689M</w:t>
            </w:r>
          </w:p>
        </w:tc>
        <w:tc>
          <w:tcPr>
            <w:tcW w:w="2497" w:type="dxa"/>
            <w:tcBorders>
              <w:top w:val="nil"/>
              <w:left w:val="nil"/>
              <w:bottom w:val="single" w:sz="7" w:space="0" w:color="000000"/>
              <w:right w:val="nil"/>
            </w:tcBorders>
            <w:tcMar>
              <w:top w:w="40" w:type="dxa"/>
              <w:left w:w="60" w:type="dxa"/>
              <w:bottom w:w="40" w:type="dxa"/>
              <w:right w:w="60" w:type="dxa"/>
            </w:tcMar>
          </w:tcPr>
          <w:p w14:paraId="263A964E" w14:textId="77777777" w:rsidR="00B7016B" w:rsidRDefault="00000000">
            <w:pPr>
              <w:widowControl w:val="0"/>
              <w:spacing w:before="40" w:after="40" w:line="360" w:lineRule="auto"/>
              <w:rPr>
                <w:color w:val="333333"/>
                <w:sz w:val="18"/>
                <w:szCs w:val="18"/>
              </w:rPr>
            </w:pPr>
            <w:r>
              <w:rPr>
                <w:color w:val="333333"/>
                <w:sz w:val="18"/>
                <w:szCs w:val="18"/>
              </w:rPr>
              <w:t>Yes</w:t>
            </w:r>
          </w:p>
        </w:tc>
        <w:tc>
          <w:tcPr>
            <w:tcW w:w="2497" w:type="dxa"/>
            <w:tcBorders>
              <w:top w:val="nil"/>
              <w:left w:val="nil"/>
              <w:bottom w:val="single" w:sz="7" w:space="0" w:color="000000"/>
              <w:right w:val="nil"/>
            </w:tcBorders>
            <w:tcMar>
              <w:top w:w="40" w:type="dxa"/>
              <w:left w:w="60" w:type="dxa"/>
              <w:bottom w:w="40" w:type="dxa"/>
              <w:right w:w="60" w:type="dxa"/>
            </w:tcMar>
          </w:tcPr>
          <w:p w14:paraId="30A505B4" w14:textId="77777777" w:rsidR="00B7016B" w:rsidRDefault="00000000">
            <w:pPr>
              <w:widowControl w:val="0"/>
              <w:spacing w:before="40" w:after="40" w:line="360" w:lineRule="auto"/>
              <w:rPr>
                <w:color w:val="333333"/>
                <w:sz w:val="18"/>
                <w:szCs w:val="18"/>
              </w:rPr>
            </w:pPr>
            <w:r>
              <w:rPr>
                <w:color w:val="333333"/>
                <w:sz w:val="18"/>
                <w:szCs w:val="18"/>
              </w:rPr>
              <w:t>Class-token</w:t>
            </w:r>
          </w:p>
        </w:tc>
      </w:tr>
      <w:tr w:rsidR="00B7016B" w14:paraId="3E8CF2C1" w14:textId="77777777">
        <w:trPr>
          <w:trHeight w:val="360"/>
        </w:trPr>
        <w:tc>
          <w:tcPr>
            <w:tcW w:w="9988" w:type="dxa"/>
            <w:gridSpan w:val="4"/>
            <w:tcBorders>
              <w:top w:val="nil"/>
              <w:left w:val="nil"/>
              <w:bottom w:val="nil"/>
              <w:right w:val="nil"/>
            </w:tcBorders>
            <w:tcMar>
              <w:top w:w="40" w:type="dxa"/>
              <w:left w:w="60" w:type="dxa"/>
              <w:bottom w:w="40" w:type="dxa"/>
              <w:right w:w="60" w:type="dxa"/>
            </w:tcMar>
          </w:tcPr>
          <w:p w14:paraId="21F08AD1" w14:textId="77777777" w:rsidR="00B7016B" w:rsidRDefault="00000000">
            <w:pPr>
              <w:widowControl w:val="0"/>
              <w:spacing w:before="40" w:after="40" w:line="360" w:lineRule="auto"/>
              <w:rPr>
                <w:color w:val="333333"/>
                <w:sz w:val="18"/>
                <w:szCs w:val="18"/>
              </w:rPr>
            </w:pPr>
            <w:r>
              <w:rPr>
                <w:color w:val="333333"/>
                <w:sz w:val="18"/>
                <w:szCs w:val="18"/>
              </w:rPr>
              <w:t>CFP-based foundation models</w:t>
            </w:r>
          </w:p>
        </w:tc>
        <w:tc>
          <w:tcPr>
            <w:tcW w:w="2497" w:type="dxa"/>
            <w:tcBorders>
              <w:top w:val="nil"/>
              <w:left w:val="nil"/>
              <w:bottom w:val="nil"/>
              <w:right w:val="nil"/>
            </w:tcBorders>
            <w:tcMar>
              <w:top w:w="40" w:type="dxa"/>
              <w:left w:w="60" w:type="dxa"/>
              <w:bottom w:w="40" w:type="dxa"/>
              <w:right w:w="60" w:type="dxa"/>
            </w:tcMar>
          </w:tcPr>
          <w:p w14:paraId="240A35CA" w14:textId="77777777" w:rsidR="00B7016B" w:rsidRDefault="00B7016B">
            <w:pPr>
              <w:widowControl w:val="0"/>
              <w:pBdr>
                <w:top w:val="nil"/>
                <w:left w:val="nil"/>
                <w:bottom w:val="nil"/>
                <w:right w:val="nil"/>
                <w:between w:val="nil"/>
              </w:pBdr>
              <w:rPr>
                <w:color w:val="333333"/>
                <w:sz w:val="18"/>
                <w:szCs w:val="18"/>
              </w:rPr>
            </w:pPr>
          </w:p>
        </w:tc>
        <w:tc>
          <w:tcPr>
            <w:tcW w:w="2497" w:type="dxa"/>
            <w:tcBorders>
              <w:top w:val="nil"/>
              <w:left w:val="nil"/>
              <w:bottom w:val="nil"/>
              <w:right w:val="nil"/>
            </w:tcBorders>
            <w:tcMar>
              <w:top w:w="40" w:type="dxa"/>
              <w:left w:w="60" w:type="dxa"/>
              <w:bottom w:w="40" w:type="dxa"/>
              <w:right w:w="60" w:type="dxa"/>
            </w:tcMar>
          </w:tcPr>
          <w:p w14:paraId="36BE5343" w14:textId="77777777" w:rsidR="00B7016B" w:rsidRDefault="00B7016B">
            <w:pPr>
              <w:widowControl w:val="0"/>
              <w:pBdr>
                <w:top w:val="nil"/>
                <w:left w:val="nil"/>
                <w:bottom w:val="nil"/>
                <w:right w:val="nil"/>
                <w:between w:val="nil"/>
              </w:pBdr>
              <w:rPr>
                <w:color w:val="333333"/>
                <w:sz w:val="18"/>
                <w:szCs w:val="18"/>
              </w:rPr>
            </w:pPr>
          </w:p>
        </w:tc>
      </w:tr>
      <w:tr w:rsidR="00B7016B" w14:paraId="4F457F23" w14:textId="77777777">
        <w:trPr>
          <w:trHeight w:val="735"/>
        </w:trPr>
        <w:tc>
          <w:tcPr>
            <w:tcW w:w="2497" w:type="dxa"/>
            <w:tcBorders>
              <w:top w:val="nil"/>
              <w:left w:val="nil"/>
              <w:bottom w:val="nil"/>
              <w:right w:val="nil"/>
            </w:tcBorders>
            <w:tcMar>
              <w:top w:w="40" w:type="dxa"/>
              <w:left w:w="60" w:type="dxa"/>
              <w:bottom w:w="40" w:type="dxa"/>
              <w:right w:w="60" w:type="dxa"/>
            </w:tcMar>
          </w:tcPr>
          <w:p w14:paraId="40499F8B" w14:textId="77777777" w:rsidR="00B7016B" w:rsidRDefault="00000000">
            <w:pPr>
              <w:widowControl w:val="0"/>
              <w:spacing w:before="40" w:after="40" w:line="360" w:lineRule="auto"/>
              <w:rPr>
                <w:color w:val="333333"/>
                <w:sz w:val="18"/>
                <w:szCs w:val="18"/>
              </w:rPr>
            </w:pPr>
            <w:r>
              <w:rPr>
                <w:color w:val="333333"/>
                <w:sz w:val="18"/>
                <w:szCs w:val="18"/>
              </w:rPr>
              <w:t>RETFound-DINOv2</w:t>
            </w:r>
          </w:p>
        </w:tc>
        <w:tc>
          <w:tcPr>
            <w:tcW w:w="2497" w:type="dxa"/>
            <w:tcBorders>
              <w:top w:val="nil"/>
              <w:left w:val="nil"/>
              <w:bottom w:val="nil"/>
              <w:right w:val="nil"/>
            </w:tcBorders>
            <w:tcMar>
              <w:top w:w="40" w:type="dxa"/>
              <w:left w:w="60" w:type="dxa"/>
              <w:bottom w:w="40" w:type="dxa"/>
              <w:right w:w="60" w:type="dxa"/>
            </w:tcMar>
          </w:tcPr>
          <w:p w14:paraId="637A71A2" w14:textId="77777777" w:rsidR="00B7016B" w:rsidRDefault="00000000">
            <w:pPr>
              <w:widowControl w:val="0"/>
              <w:spacing w:before="40" w:after="40" w:line="360" w:lineRule="auto"/>
              <w:rPr>
                <w:color w:val="333333"/>
                <w:sz w:val="18"/>
                <w:szCs w:val="18"/>
              </w:rPr>
            </w:pPr>
            <w:r>
              <w:rPr>
                <w:color w:val="333333"/>
                <w:sz w:val="18"/>
                <w:szCs w:val="18"/>
              </w:rPr>
              <w:t>ViT-Large/14</w:t>
            </w:r>
          </w:p>
        </w:tc>
        <w:tc>
          <w:tcPr>
            <w:tcW w:w="2497" w:type="dxa"/>
            <w:tcBorders>
              <w:top w:val="nil"/>
              <w:left w:val="nil"/>
              <w:bottom w:val="nil"/>
              <w:right w:val="nil"/>
            </w:tcBorders>
            <w:tcMar>
              <w:top w:w="40" w:type="dxa"/>
              <w:left w:w="60" w:type="dxa"/>
              <w:bottom w:w="40" w:type="dxa"/>
              <w:right w:w="60" w:type="dxa"/>
            </w:tcMar>
          </w:tcPr>
          <w:p w14:paraId="6B664165" w14:textId="77777777" w:rsidR="00B7016B" w:rsidRDefault="00000000">
            <w:pPr>
              <w:widowControl w:val="0"/>
              <w:spacing w:before="40" w:after="40" w:line="360" w:lineRule="auto"/>
              <w:rPr>
                <w:color w:val="333333"/>
                <w:sz w:val="18"/>
                <w:szCs w:val="18"/>
              </w:rPr>
            </w:pPr>
            <w:r>
              <w:rPr>
                <w:color w:val="333333"/>
                <w:sz w:val="18"/>
                <w:szCs w:val="18"/>
              </w:rPr>
              <w:t>224 × 224</w:t>
            </w:r>
          </w:p>
        </w:tc>
        <w:tc>
          <w:tcPr>
            <w:tcW w:w="2497" w:type="dxa"/>
            <w:tcBorders>
              <w:top w:val="nil"/>
              <w:left w:val="nil"/>
              <w:bottom w:val="nil"/>
              <w:right w:val="nil"/>
            </w:tcBorders>
            <w:tcMar>
              <w:top w:w="40" w:type="dxa"/>
              <w:left w:w="60" w:type="dxa"/>
              <w:bottom w:w="40" w:type="dxa"/>
              <w:right w:w="60" w:type="dxa"/>
            </w:tcMar>
          </w:tcPr>
          <w:p w14:paraId="4CE7AEF6" w14:textId="77777777" w:rsidR="00B7016B" w:rsidRDefault="00000000">
            <w:pPr>
              <w:widowControl w:val="0"/>
              <w:spacing w:before="40" w:after="40" w:line="360" w:lineRule="auto"/>
              <w:rPr>
                <w:color w:val="333333"/>
                <w:sz w:val="18"/>
                <w:szCs w:val="18"/>
              </w:rPr>
            </w:pPr>
            <w:r>
              <w:rPr>
                <w:color w:val="333333"/>
                <w:sz w:val="18"/>
                <w:szCs w:val="18"/>
              </w:rPr>
              <w:t>904,170 CFPs</w:t>
            </w:r>
          </w:p>
        </w:tc>
        <w:tc>
          <w:tcPr>
            <w:tcW w:w="2497" w:type="dxa"/>
            <w:tcBorders>
              <w:top w:val="nil"/>
              <w:left w:val="nil"/>
              <w:bottom w:val="nil"/>
              <w:right w:val="nil"/>
            </w:tcBorders>
            <w:tcMar>
              <w:top w:w="40" w:type="dxa"/>
              <w:left w:w="60" w:type="dxa"/>
              <w:bottom w:w="40" w:type="dxa"/>
              <w:right w:w="60" w:type="dxa"/>
            </w:tcMar>
          </w:tcPr>
          <w:p w14:paraId="6F2FE32A" w14:textId="77777777" w:rsidR="00B7016B" w:rsidRDefault="00000000">
            <w:pPr>
              <w:widowControl w:val="0"/>
              <w:spacing w:before="40" w:after="40" w:line="360" w:lineRule="auto"/>
              <w:rPr>
                <w:color w:val="333333"/>
                <w:sz w:val="18"/>
                <w:szCs w:val="18"/>
              </w:rPr>
            </w:pPr>
            <w:r>
              <w:rPr>
                <w:color w:val="333333"/>
                <w:sz w:val="18"/>
                <w:szCs w:val="18"/>
              </w:rPr>
              <w:t>Yes</w:t>
            </w:r>
          </w:p>
        </w:tc>
        <w:tc>
          <w:tcPr>
            <w:tcW w:w="2497" w:type="dxa"/>
            <w:tcBorders>
              <w:top w:val="nil"/>
              <w:left w:val="nil"/>
              <w:bottom w:val="nil"/>
              <w:right w:val="nil"/>
            </w:tcBorders>
            <w:tcMar>
              <w:top w:w="40" w:type="dxa"/>
              <w:left w:w="60" w:type="dxa"/>
              <w:bottom w:w="40" w:type="dxa"/>
              <w:right w:w="60" w:type="dxa"/>
            </w:tcMar>
          </w:tcPr>
          <w:p w14:paraId="1B2AAD42" w14:textId="77777777" w:rsidR="00B7016B" w:rsidRDefault="00000000">
            <w:pPr>
              <w:widowControl w:val="0"/>
              <w:spacing w:before="40" w:after="40" w:line="360" w:lineRule="auto"/>
              <w:rPr>
                <w:color w:val="333333"/>
                <w:sz w:val="18"/>
                <w:szCs w:val="18"/>
              </w:rPr>
            </w:pPr>
            <w:r>
              <w:rPr>
                <w:color w:val="333333"/>
                <w:sz w:val="18"/>
                <w:szCs w:val="18"/>
              </w:rPr>
              <w:t>Class-token</w:t>
            </w:r>
          </w:p>
        </w:tc>
      </w:tr>
      <w:tr w:rsidR="00B7016B" w14:paraId="0E5697DA" w14:textId="77777777">
        <w:trPr>
          <w:trHeight w:val="735"/>
        </w:trPr>
        <w:tc>
          <w:tcPr>
            <w:tcW w:w="2497" w:type="dxa"/>
            <w:tcBorders>
              <w:top w:val="nil"/>
              <w:left w:val="nil"/>
              <w:bottom w:val="nil"/>
              <w:right w:val="nil"/>
            </w:tcBorders>
            <w:tcMar>
              <w:top w:w="40" w:type="dxa"/>
              <w:left w:w="60" w:type="dxa"/>
              <w:bottom w:w="40" w:type="dxa"/>
              <w:right w:w="60" w:type="dxa"/>
            </w:tcMar>
          </w:tcPr>
          <w:p w14:paraId="382B4A77" w14:textId="77777777" w:rsidR="00B7016B" w:rsidRDefault="00000000">
            <w:pPr>
              <w:widowControl w:val="0"/>
              <w:spacing w:before="40" w:after="40" w:line="360" w:lineRule="auto"/>
              <w:rPr>
                <w:color w:val="333333"/>
                <w:sz w:val="18"/>
                <w:szCs w:val="18"/>
              </w:rPr>
            </w:pPr>
            <w:r>
              <w:rPr>
                <w:color w:val="333333"/>
                <w:sz w:val="18"/>
                <w:szCs w:val="18"/>
              </w:rPr>
              <w:t>VisionFM-CFP</w:t>
            </w:r>
          </w:p>
        </w:tc>
        <w:tc>
          <w:tcPr>
            <w:tcW w:w="2497" w:type="dxa"/>
            <w:tcBorders>
              <w:top w:val="nil"/>
              <w:left w:val="nil"/>
              <w:bottom w:val="nil"/>
              <w:right w:val="nil"/>
            </w:tcBorders>
            <w:tcMar>
              <w:top w:w="40" w:type="dxa"/>
              <w:left w:w="60" w:type="dxa"/>
              <w:bottom w:w="40" w:type="dxa"/>
              <w:right w:w="60" w:type="dxa"/>
            </w:tcMar>
          </w:tcPr>
          <w:p w14:paraId="6FD48E85" w14:textId="77777777" w:rsidR="00B7016B" w:rsidRDefault="00000000">
            <w:pPr>
              <w:widowControl w:val="0"/>
              <w:spacing w:before="40" w:after="40" w:line="360" w:lineRule="auto"/>
              <w:rPr>
                <w:color w:val="333333"/>
                <w:sz w:val="18"/>
                <w:szCs w:val="18"/>
              </w:rPr>
            </w:pPr>
            <w:r>
              <w:rPr>
                <w:color w:val="333333"/>
                <w:sz w:val="18"/>
                <w:szCs w:val="18"/>
              </w:rPr>
              <w:t>ViT-Base/16</w:t>
            </w:r>
          </w:p>
        </w:tc>
        <w:tc>
          <w:tcPr>
            <w:tcW w:w="2497" w:type="dxa"/>
            <w:tcBorders>
              <w:top w:val="nil"/>
              <w:left w:val="nil"/>
              <w:bottom w:val="nil"/>
              <w:right w:val="nil"/>
            </w:tcBorders>
            <w:tcMar>
              <w:top w:w="40" w:type="dxa"/>
              <w:left w:w="60" w:type="dxa"/>
              <w:bottom w:w="40" w:type="dxa"/>
              <w:right w:w="60" w:type="dxa"/>
            </w:tcMar>
          </w:tcPr>
          <w:p w14:paraId="486C759C" w14:textId="77777777" w:rsidR="00B7016B" w:rsidRDefault="00000000">
            <w:pPr>
              <w:widowControl w:val="0"/>
              <w:spacing w:before="40" w:after="40" w:line="360" w:lineRule="auto"/>
              <w:rPr>
                <w:color w:val="333333"/>
                <w:sz w:val="18"/>
                <w:szCs w:val="18"/>
              </w:rPr>
            </w:pPr>
            <w:r>
              <w:rPr>
                <w:color w:val="333333"/>
                <w:sz w:val="18"/>
                <w:szCs w:val="18"/>
              </w:rPr>
              <w:t>224 × 224</w:t>
            </w:r>
          </w:p>
        </w:tc>
        <w:tc>
          <w:tcPr>
            <w:tcW w:w="2497" w:type="dxa"/>
            <w:tcBorders>
              <w:top w:val="nil"/>
              <w:left w:val="nil"/>
              <w:bottom w:val="nil"/>
              <w:right w:val="nil"/>
            </w:tcBorders>
            <w:tcMar>
              <w:top w:w="40" w:type="dxa"/>
              <w:left w:w="60" w:type="dxa"/>
              <w:bottom w:w="40" w:type="dxa"/>
              <w:right w:w="60" w:type="dxa"/>
            </w:tcMar>
          </w:tcPr>
          <w:p w14:paraId="03E8ADBA" w14:textId="77777777" w:rsidR="00B7016B" w:rsidRDefault="00000000">
            <w:pPr>
              <w:widowControl w:val="0"/>
              <w:spacing w:before="40" w:after="40" w:line="360" w:lineRule="auto"/>
              <w:rPr>
                <w:color w:val="333333"/>
                <w:sz w:val="18"/>
                <w:szCs w:val="18"/>
              </w:rPr>
            </w:pPr>
            <w:r>
              <w:rPr>
                <w:color w:val="333333"/>
                <w:sz w:val="18"/>
                <w:szCs w:val="18"/>
              </w:rPr>
              <w:t>1,010,293 CFPs</w:t>
            </w:r>
          </w:p>
        </w:tc>
        <w:tc>
          <w:tcPr>
            <w:tcW w:w="2497" w:type="dxa"/>
            <w:tcBorders>
              <w:top w:val="nil"/>
              <w:left w:val="nil"/>
              <w:bottom w:val="nil"/>
              <w:right w:val="nil"/>
            </w:tcBorders>
            <w:tcMar>
              <w:top w:w="40" w:type="dxa"/>
              <w:left w:w="60" w:type="dxa"/>
              <w:bottom w:w="40" w:type="dxa"/>
              <w:right w:w="60" w:type="dxa"/>
            </w:tcMar>
          </w:tcPr>
          <w:p w14:paraId="105D7A10" w14:textId="77777777" w:rsidR="00B7016B" w:rsidRDefault="00000000">
            <w:pPr>
              <w:widowControl w:val="0"/>
              <w:spacing w:before="40" w:after="40" w:line="360" w:lineRule="auto"/>
              <w:rPr>
                <w:color w:val="333333"/>
                <w:sz w:val="18"/>
                <w:szCs w:val="18"/>
              </w:rPr>
            </w:pPr>
            <w:r>
              <w:rPr>
                <w:color w:val="333333"/>
                <w:sz w:val="18"/>
                <w:szCs w:val="18"/>
              </w:rPr>
              <w:t>Yes</w:t>
            </w:r>
          </w:p>
        </w:tc>
        <w:tc>
          <w:tcPr>
            <w:tcW w:w="2497" w:type="dxa"/>
            <w:tcBorders>
              <w:top w:val="nil"/>
              <w:left w:val="nil"/>
              <w:bottom w:val="nil"/>
              <w:right w:val="nil"/>
            </w:tcBorders>
            <w:tcMar>
              <w:top w:w="40" w:type="dxa"/>
              <w:left w:w="60" w:type="dxa"/>
              <w:bottom w:w="40" w:type="dxa"/>
              <w:right w:w="60" w:type="dxa"/>
            </w:tcMar>
          </w:tcPr>
          <w:p w14:paraId="6D2061D8" w14:textId="77777777" w:rsidR="00B7016B" w:rsidRDefault="00000000">
            <w:pPr>
              <w:widowControl w:val="0"/>
              <w:spacing w:before="40" w:after="40" w:line="360" w:lineRule="auto"/>
              <w:rPr>
                <w:color w:val="333333"/>
                <w:sz w:val="18"/>
                <w:szCs w:val="18"/>
              </w:rPr>
            </w:pPr>
            <w:r>
              <w:rPr>
                <w:color w:val="333333"/>
                <w:sz w:val="18"/>
                <w:szCs w:val="18"/>
              </w:rPr>
              <w:t>Class-token</w:t>
            </w:r>
          </w:p>
        </w:tc>
      </w:tr>
      <w:tr w:rsidR="00B7016B" w14:paraId="2EF59370" w14:textId="77777777">
        <w:trPr>
          <w:trHeight w:val="735"/>
        </w:trPr>
        <w:tc>
          <w:tcPr>
            <w:tcW w:w="2497" w:type="dxa"/>
            <w:tcBorders>
              <w:top w:val="nil"/>
              <w:left w:val="nil"/>
              <w:bottom w:val="nil"/>
              <w:right w:val="nil"/>
            </w:tcBorders>
            <w:tcMar>
              <w:top w:w="40" w:type="dxa"/>
              <w:left w:w="60" w:type="dxa"/>
              <w:bottom w:w="40" w:type="dxa"/>
              <w:right w:w="60" w:type="dxa"/>
            </w:tcMar>
          </w:tcPr>
          <w:p w14:paraId="2B0C4DC1" w14:textId="77777777" w:rsidR="00B7016B" w:rsidRDefault="00000000">
            <w:pPr>
              <w:widowControl w:val="0"/>
              <w:spacing w:before="40" w:after="40" w:line="360" w:lineRule="auto"/>
              <w:rPr>
                <w:color w:val="333333"/>
                <w:sz w:val="18"/>
                <w:szCs w:val="18"/>
              </w:rPr>
            </w:pPr>
            <w:r>
              <w:rPr>
                <w:color w:val="333333"/>
                <w:sz w:val="18"/>
                <w:szCs w:val="18"/>
              </w:rPr>
              <w:t>RETFound-Green</w:t>
            </w:r>
          </w:p>
        </w:tc>
        <w:tc>
          <w:tcPr>
            <w:tcW w:w="2497" w:type="dxa"/>
            <w:tcBorders>
              <w:top w:val="nil"/>
              <w:left w:val="nil"/>
              <w:bottom w:val="nil"/>
              <w:right w:val="nil"/>
            </w:tcBorders>
            <w:tcMar>
              <w:top w:w="40" w:type="dxa"/>
              <w:left w:w="60" w:type="dxa"/>
              <w:bottom w:w="40" w:type="dxa"/>
              <w:right w:w="60" w:type="dxa"/>
            </w:tcMar>
          </w:tcPr>
          <w:p w14:paraId="120FAA80" w14:textId="77777777" w:rsidR="00B7016B" w:rsidRDefault="00000000">
            <w:pPr>
              <w:widowControl w:val="0"/>
              <w:spacing w:before="40" w:after="40" w:line="360" w:lineRule="auto"/>
              <w:rPr>
                <w:color w:val="333333"/>
                <w:sz w:val="18"/>
                <w:szCs w:val="18"/>
              </w:rPr>
            </w:pPr>
            <w:r>
              <w:rPr>
                <w:color w:val="333333"/>
                <w:sz w:val="18"/>
                <w:szCs w:val="18"/>
              </w:rPr>
              <w:t>ViT-Small/14</w:t>
            </w:r>
          </w:p>
        </w:tc>
        <w:tc>
          <w:tcPr>
            <w:tcW w:w="2497" w:type="dxa"/>
            <w:tcBorders>
              <w:top w:val="nil"/>
              <w:left w:val="nil"/>
              <w:bottom w:val="nil"/>
              <w:right w:val="nil"/>
            </w:tcBorders>
            <w:tcMar>
              <w:top w:w="40" w:type="dxa"/>
              <w:left w:w="60" w:type="dxa"/>
              <w:bottom w:w="40" w:type="dxa"/>
              <w:right w:w="60" w:type="dxa"/>
            </w:tcMar>
          </w:tcPr>
          <w:p w14:paraId="7E0CAB9D" w14:textId="77777777" w:rsidR="00B7016B" w:rsidRDefault="00000000">
            <w:pPr>
              <w:widowControl w:val="0"/>
              <w:spacing w:before="40" w:after="40" w:line="360" w:lineRule="auto"/>
              <w:rPr>
                <w:color w:val="333333"/>
                <w:sz w:val="18"/>
                <w:szCs w:val="18"/>
              </w:rPr>
            </w:pPr>
            <w:r>
              <w:rPr>
                <w:color w:val="333333"/>
                <w:sz w:val="18"/>
                <w:szCs w:val="18"/>
              </w:rPr>
              <w:t>392 × 392</w:t>
            </w:r>
          </w:p>
        </w:tc>
        <w:tc>
          <w:tcPr>
            <w:tcW w:w="2497" w:type="dxa"/>
            <w:tcBorders>
              <w:top w:val="nil"/>
              <w:left w:val="nil"/>
              <w:bottom w:val="nil"/>
              <w:right w:val="nil"/>
            </w:tcBorders>
            <w:tcMar>
              <w:top w:w="40" w:type="dxa"/>
              <w:left w:w="60" w:type="dxa"/>
              <w:bottom w:w="40" w:type="dxa"/>
              <w:right w:w="60" w:type="dxa"/>
            </w:tcMar>
          </w:tcPr>
          <w:p w14:paraId="4720B24D" w14:textId="77777777" w:rsidR="00B7016B" w:rsidRDefault="00000000">
            <w:pPr>
              <w:widowControl w:val="0"/>
              <w:spacing w:before="40" w:after="40" w:line="360" w:lineRule="auto"/>
              <w:rPr>
                <w:color w:val="333333"/>
                <w:sz w:val="18"/>
                <w:szCs w:val="18"/>
              </w:rPr>
            </w:pPr>
            <w:r>
              <w:rPr>
                <w:color w:val="333333"/>
                <w:sz w:val="18"/>
                <w:szCs w:val="18"/>
              </w:rPr>
              <w:t>75,000 CFPs</w:t>
            </w:r>
          </w:p>
        </w:tc>
        <w:tc>
          <w:tcPr>
            <w:tcW w:w="2497" w:type="dxa"/>
            <w:tcBorders>
              <w:top w:val="nil"/>
              <w:left w:val="nil"/>
              <w:bottom w:val="nil"/>
              <w:right w:val="nil"/>
            </w:tcBorders>
            <w:tcMar>
              <w:top w:w="40" w:type="dxa"/>
              <w:left w:w="60" w:type="dxa"/>
              <w:bottom w:w="40" w:type="dxa"/>
              <w:right w:w="60" w:type="dxa"/>
            </w:tcMar>
          </w:tcPr>
          <w:p w14:paraId="4C650F03" w14:textId="77777777" w:rsidR="00B7016B" w:rsidRDefault="00000000">
            <w:pPr>
              <w:widowControl w:val="0"/>
              <w:spacing w:before="40" w:after="40" w:line="360" w:lineRule="auto"/>
              <w:rPr>
                <w:color w:val="333333"/>
                <w:sz w:val="18"/>
                <w:szCs w:val="18"/>
              </w:rPr>
            </w:pPr>
            <w:r>
              <w:rPr>
                <w:color w:val="333333"/>
                <w:sz w:val="18"/>
                <w:szCs w:val="18"/>
              </w:rPr>
              <w:t>No</w:t>
            </w:r>
          </w:p>
        </w:tc>
        <w:tc>
          <w:tcPr>
            <w:tcW w:w="2497" w:type="dxa"/>
            <w:tcBorders>
              <w:top w:val="nil"/>
              <w:left w:val="nil"/>
              <w:bottom w:val="nil"/>
              <w:right w:val="nil"/>
            </w:tcBorders>
            <w:tcMar>
              <w:top w:w="40" w:type="dxa"/>
              <w:left w:w="60" w:type="dxa"/>
              <w:bottom w:w="40" w:type="dxa"/>
              <w:right w:w="60" w:type="dxa"/>
            </w:tcMar>
          </w:tcPr>
          <w:p w14:paraId="5BFDB42A" w14:textId="77777777" w:rsidR="00B7016B" w:rsidRDefault="00000000">
            <w:pPr>
              <w:widowControl w:val="0"/>
              <w:spacing w:before="40" w:after="40" w:line="360" w:lineRule="auto"/>
              <w:rPr>
                <w:color w:val="333333"/>
                <w:sz w:val="18"/>
                <w:szCs w:val="18"/>
              </w:rPr>
            </w:pPr>
            <w:r>
              <w:rPr>
                <w:color w:val="333333"/>
                <w:sz w:val="18"/>
                <w:szCs w:val="18"/>
              </w:rPr>
              <w:t>Global Average Pooling</w:t>
            </w:r>
          </w:p>
        </w:tc>
      </w:tr>
      <w:tr w:rsidR="00B7016B" w14:paraId="7D565AD7" w14:textId="77777777">
        <w:trPr>
          <w:trHeight w:val="930"/>
        </w:trPr>
        <w:tc>
          <w:tcPr>
            <w:tcW w:w="2497" w:type="dxa"/>
            <w:tcBorders>
              <w:top w:val="nil"/>
              <w:left w:val="nil"/>
              <w:bottom w:val="nil"/>
              <w:right w:val="nil"/>
            </w:tcBorders>
            <w:tcMar>
              <w:top w:w="40" w:type="dxa"/>
              <w:left w:w="60" w:type="dxa"/>
              <w:bottom w:w="40" w:type="dxa"/>
              <w:right w:w="60" w:type="dxa"/>
            </w:tcMar>
          </w:tcPr>
          <w:p w14:paraId="1E2603E9" w14:textId="77777777" w:rsidR="00B7016B" w:rsidRDefault="00000000">
            <w:pPr>
              <w:widowControl w:val="0"/>
              <w:spacing w:before="40" w:after="40" w:line="360" w:lineRule="auto"/>
              <w:rPr>
                <w:color w:val="333333"/>
                <w:sz w:val="18"/>
                <w:szCs w:val="18"/>
              </w:rPr>
            </w:pPr>
            <w:r>
              <w:rPr>
                <w:color w:val="333333"/>
                <w:sz w:val="18"/>
                <w:szCs w:val="18"/>
              </w:rPr>
              <w:t>UrFound</w:t>
            </w:r>
          </w:p>
        </w:tc>
        <w:tc>
          <w:tcPr>
            <w:tcW w:w="2497" w:type="dxa"/>
            <w:tcBorders>
              <w:top w:val="nil"/>
              <w:left w:val="nil"/>
              <w:bottom w:val="nil"/>
              <w:right w:val="nil"/>
            </w:tcBorders>
            <w:tcMar>
              <w:top w:w="40" w:type="dxa"/>
              <w:left w:w="60" w:type="dxa"/>
              <w:bottom w:w="40" w:type="dxa"/>
              <w:right w:w="60" w:type="dxa"/>
            </w:tcMar>
          </w:tcPr>
          <w:p w14:paraId="3370BB6A" w14:textId="77777777" w:rsidR="00B7016B" w:rsidRDefault="00000000">
            <w:pPr>
              <w:widowControl w:val="0"/>
              <w:spacing w:before="40" w:after="40" w:line="360" w:lineRule="auto"/>
              <w:rPr>
                <w:color w:val="333333"/>
                <w:sz w:val="18"/>
                <w:szCs w:val="18"/>
              </w:rPr>
            </w:pPr>
            <w:r>
              <w:rPr>
                <w:color w:val="333333"/>
                <w:sz w:val="18"/>
                <w:szCs w:val="18"/>
              </w:rPr>
              <w:t>ViT-Base/16</w:t>
            </w:r>
          </w:p>
        </w:tc>
        <w:tc>
          <w:tcPr>
            <w:tcW w:w="2497" w:type="dxa"/>
            <w:tcBorders>
              <w:top w:val="nil"/>
              <w:left w:val="nil"/>
              <w:bottom w:val="nil"/>
              <w:right w:val="nil"/>
            </w:tcBorders>
            <w:tcMar>
              <w:top w:w="40" w:type="dxa"/>
              <w:left w:w="60" w:type="dxa"/>
              <w:bottom w:w="40" w:type="dxa"/>
              <w:right w:w="60" w:type="dxa"/>
            </w:tcMar>
          </w:tcPr>
          <w:p w14:paraId="06D2AD13" w14:textId="77777777" w:rsidR="00B7016B" w:rsidRDefault="00000000">
            <w:pPr>
              <w:widowControl w:val="0"/>
              <w:spacing w:before="40" w:after="40" w:line="360" w:lineRule="auto"/>
              <w:rPr>
                <w:color w:val="333333"/>
                <w:sz w:val="18"/>
                <w:szCs w:val="18"/>
              </w:rPr>
            </w:pPr>
            <w:r>
              <w:rPr>
                <w:color w:val="333333"/>
                <w:sz w:val="18"/>
                <w:szCs w:val="18"/>
              </w:rPr>
              <w:t>224 × 224</w:t>
            </w:r>
          </w:p>
        </w:tc>
        <w:tc>
          <w:tcPr>
            <w:tcW w:w="2497" w:type="dxa"/>
            <w:tcBorders>
              <w:top w:val="nil"/>
              <w:left w:val="nil"/>
              <w:bottom w:val="nil"/>
              <w:right w:val="nil"/>
            </w:tcBorders>
            <w:tcMar>
              <w:top w:w="40" w:type="dxa"/>
              <w:left w:w="60" w:type="dxa"/>
              <w:bottom w:w="40" w:type="dxa"/>
              <w:right w:w="60" w:type="dxa"/>
            </w:tcMar>
          </w:tcPr>
          <w:p w14:paraId="5B466407" w14:textId="77777777" w:rsidR="00B7016B" w:rsidRDefault="00000000">
            <w:pPr>
              <w:widowControl w:val="0"/>
              <w:spacing w:before="40" w:after="40" w:line="360" w:lineRule="auto"/>
              <w:rPr>
                <w:color w:val="333333"/>
                <w:sz w:val="18"/>
                <w:szCs w:val="18"/>
              </w:rPr>
            </w:pPr>
            <w:r>
              <w:rPr>
                <w:color w:val="333333"/>
                <w:sz w:val="18"/>
                <w:szCs w:val="18"/>
              </w:rPr>
              <w:t>103,786 CFPs and 83,484 OCT slices with paired text</w:t>
            </w:r>
          </w:p>
        </w:tc>
        <w:tc>
          <w:tcPr>
            <w:tcW w:w="2497" w:type="dxa"/>
            <w:tcBorders>
              <w:top w:val="nil"/>
              <w:left w:val="nil"/>
              <w:bottom w:val="nil"/>
              <w:right w:val="nil"/>
            </w:tcBorders>
            <w:tcMar>
              <w:top w:w="40" w:type="dxa"/>
              <w:left w:w="60" w:type="dxa"/>
              <w:bottom w:w="40" w:type="dxa"/>
              <w:right w:w="60" w:type="dxa"/>
            </w:tcMar>
          </w:tcPr>
          <w:p w14:paraId="36784E3D" w14:textId="77777777" w:rsidR="00B7016B" w:rsidRDefault="00000000">
            <w:pPr>
              <w:widowControl w:val="0"/>
              <w:spacing w:before="40" w:after="40" w:line="360" w:lineRule="auto"/>
              <w:rPr>
                <w:color w:val="333333"/>
                <w:sz w:val="18"/>
                <w:szCs w:val="18"/>
              </w:rPr>
            </w:pPr>
            <w:r>
              <w:rPr>
                <w:color w:val="333333"/>
                <w:sz w:val="18"/>
                <w:szCs w:val="18"/>
              </w:rPr>
              <w:t>No</w:t>
            </w:r>
          </w:p>
        </w:tc>
        <w:tc>
          <w:tcPr>
            <w:tcW w:w="2497" w:type="dxa"/>
            <w:tcBorders>
              <w:top w:val="nil"/>
              <w:left w:val="nil"/>
              <w:bottom w:val="nil"/>
              <w:right w:val="nil"/>
            </w:tcBorders>
            <w:tcMar>
              <w:top w:w="40" w:type="dxa"/>
              <w:left w:w="60" w:type="dxa"/>
              <w:bottom w:w="40" w:type="dxa"/>
              <w:right w:w="60" w:type="dxa"/>
            </w:tcMar>
          </w:tcPr>
          <w:p w14:paraId="405E5101" w14:textId="77777777" w:rsidR="00B7016B" w:rsidRDefault="00000000">
            <w:pPr>
              <w:widowControl w:val="0"/>
              <w:spacing w:before="40" w:after="40" w:line="360" w:lineRule="auto"/>
              <w:rPr>
                <w:color w:val="333333"/>
                <w:sz w:val="18"/>
                <w:szCs w:val="18"/>
              </w:rPr>
            </w:pPr>
            <w:r>
              <w:rPr>
                <w:color w:val="333333"/>
                <w:sz w:val="18"/>
                <w:szCs w:val="18"/>
              </w:rPr>
              <w:t>Global Average Pooling</w:t>
            </w:r>
          </w:p>
        </w:tc>
      </w:tr>
      <w:tr w:rsidR="00B7016B" w14:paraId="7331C74B" w14:textId="77777777">
        <w:trPr>
          <w:trHeight w:val="930"/>
        </w:trPr>
        <w:tc>
          <w:tcPr>
            <w:tcW w:w="2497" w:type="dxa"/>
            <w:tcBorders>
              <w:top w:val="nil"/>
              <w:left w:val="nil"/>
              <w:bottom w:val="single" w:sz="7" w:space="0" w:color="000000"/>
              <w:right w:val="nil"/>
            </w:tcBorders>
            <w:tcMar>
              <w:top w:w="40" w:type="dxa"/>
              <w:left w:w="60" w:type="dxa"/>
              <w:bottom w:w="40" w:type="dxa"/>
              <w:right w:w="60" w:type="dxa"/>
            </w:tcMar>
          </w:tcPr>
          <w:p w14:paraId="74E7F53F" w14:textId="77777777" w:rsidR="00B7016B" w:rsidRDefault="00000000">
            <w:pPr>
              <w:widowControl w:val="0"/>
              <w:spacing w:before="40" w:after="40" w:line="360" w:lineRule="auto"/>
              <w:rPr>
                <w:color w:val="333333"/>
                <w:sz w:val="18"/>
                <w:szCs w:val="18"/>
              </w:rPr>
            </w:pPr>
            <w:r>
              <w:rPr>
                <w:color w:val="333333"/>
                <w:sz w:val="18"/>
                <w:szCs w:val="18"/>
              </w:rPr>
              <w:t>RetiZero</w:t>
            </w:r>
          </w:p>
        </w:tc>
        <w:tc>
          <w:tcPr>
            <w:tcW w:w="2497" w:type="dxa"/>
            <w:tcBorders>
              <w:top w:val="nil"/>
              <w:left w:val="nil"/>
              <w:bottom w:val="single" w:sz="7" w:space="0" w:color="000000"/>
              <w:right w:val="nil"/>
            </w:tcBorders>
            <w:tcMar>
              <w:top w:w="40" w:type="dxa"/>
              <w:left w:w="60" w:type="dxa"/>
              <w:bottom w:w="40" w:type="dxa"/>
              <w:right w:w="60" w:type="dxa"/>
            </w:tcMar>
          </w:tcPr>
          <w:p w14:paraId="01B85792" w14:textId="77777777" w:rsidR="00B7016B" w:rsidRDefault="00000000">
            <w:pPr>
              <w:widowControl w:val="0"/>
              <w:spacing w:before="40" w:after="40" w:line="360" w:lineRule="auto"/>
              <w:rPr>
                <w:color w:val="333333"/>
                <w:sz w:val="18"/>
                <w:szCs w:val="18"/>
              </w:rPr>
            </w:pPr>
            <w:r>
              <w:rPr>
                <w:color w:val="333333"/>
                <w:sz w:val="18"/>
                <w:szCs w:val="18"/>
              </w:rPr>
              <w:t>ViT-Large/16</w:t>
            </w:r>
          </w:p>
        </w:tc>
        <w:tc>
          <w:tcPr>
            <w:tcW w:w="2497" w:type="dxa"/>
            <w:tcBorders>
              <w:top w:val="nil"/>
              <w:left w:val="nil"/>
              <w:bottom w:val="single" w:sz="7" w:space="0" w:color="000000"/>
              <w:right w:val="nil"/>
            </w:tcBorders>
            <w:tcMar>
              <w:top w:w="40" w:type="dxa"/>
              <w:left w:w="60" w:type="dxa"/>
              <w:bottom w:w="40" w:type="dxa"/>
              <w:right w:w="60" w:type="dxa"/>
            </w:tcMar>
          </w:tcPr>
          <w:p w14:paraId="18041BE3" w14:textId="77777777" w:rsidR="00B7016B" w:rsidRDefault="00000000">
            <w:pPr>
              <w:widowControl w:val="0"/>
              <w:spacing w:before="40" w:after="40" w:line="360" w:lineRule="auto"/>
              <w:rPr>
                <w:color w:val="333333"/>
                <w:sz w:val="18"/>
                <w:szCs w:val="18"/>
              </w:rPr>
            </w:pPr>
            <w:r>
              <w:rPr>
                <w:color w:val="333333"/>
                <w:sz w:val="18"/>
                <w:szCs w:val="18"/>
              </w:rPr>
              <w:t>224 × 224</w:t>
            </w:r>
          </w:p>
        </w:tc>
        <w:tc>
          <w:tcPr>
            <w:tcW w:w="2497" w:type="dxa"/>
            <w:tcBorders>
              <w:top w:val="nil"/>
              <w:left w:val="nil"/>
              <w:bottom w:val="single" w:sz="7" w:space="0" w:color="000000"/>
              <w:right w:val="nil"/>
            </w:tcBorders>
            <w:tcMar>
              <w:top w:w="40" w:type="dxa"/>
              <w:left w:w="60" w:type="dxa"/>
              <w:bottom w:w="40" w:type="dxa"/>
              <w:right w:w="60" w:type="dxa"/>
            </w:tcMar>
          </w:tcPr>
          <w:p w14:paraId="70AE8E82" w14:textId="77777777" w:rsidR="00B7016B" w:rsidRDefault="00000000">
            <w:pPr>
              <w:widowControl w:val="0"/>
              <w:spacing w:before="40" w:after="40" w:line="360" w:lineRule="auto"/>
              <w:rPr>
                <w:color w:val="333333"/>
                <w:sz w:val="18"/>
                <w:szCs w:val="18"/>
              </w:rPr>
            </w:pPr>
            <w:r>
              <w:rPr>
                <w:color w:val="333333"/>
                <w:sz w:val="18"/>
                <w:szCs w:val="18"/>
              </w:rPr>
              <w:t>341,896 CFPs with paired text</w:t>
            </w:r>
          </w:p>
        </w:tc>
        <w:tc>
          <w:tcPr>
            <w:tcW w:w="2497" w:type="dxa"/>
            <w:tcBorders>
              <w:top w:val="nil"/>
              <w:left w:val="nil"/>
              <w:bottom w:val="single" w:sz="7" w:space="0" w:color="000000"/>
              <w:right w:val="nil"/>
            </w:tcBorders>
            <w:tcMar>
              <w:top w:w="40" w:type="dxa"/>
              <w:left w:w="60" w:type="dxa"/>
              <w:bottom w:w="40" w:type="dxa"/>
              <w:right w:w="60" w:type="dxa"/>
            </w:tcMar>
          </w:tcPr>
          <w:p w14:paraId="739E0729" w14:textId="77777777" w:rsidR="00B7016B" w:rsidRDefault="00000000">
            <w:pPr>
              <w:widowControl w:val="0"/>
              <w:spacing w:before="40" w:after="40" w:line="360" w:lineRule="auto"/>
              <w:rPr>
                <w:color w:val="333333"/>
                <w:sz w:val="18"/>
                <w:szCs w:val="18"/>
              </w:rPr>
            </w:pPr>
            <w:r>
              <w:rPr>
                <w:color w:val="333333"/>
                <w:sz w:val="18"/>
                <w:szCs w:val="18"/>
              </w:rPr>
              <w:t>No</w:t>
            </w:r>
          </w:p>
        </w:tc>
        <w:tc>
          <w:tcPr>
            <w:tcW w:w="2497" w:type="dxa"/>
            <w:tcBorders>
              <w:top w:val="nil"/>
              <w:left w:val="nil"/>
              <w:bottom w:val="single" w:sz="7" w:space="0" w:color="000000"/>
              <w:right w:val="nil"/>
            </w:tcBorders>
            <w:tcMar>
              <w:top w:w="40" w:type="dxa"/>
              <w:left w:w="60" w:type="dxa"/>
              <w:bottom w:w="40" w:type="dxa"/>
              <w:right w:w="60" w:type="dxa"/>
            </w:tcMar>
          </w:tcPr>
          <w:p w14:paraId="1085AC5B" w14:textId="77777777" w:rsidR="00B7016B" w:rsidRDefault="00000000">
            <w:pPr>
              <w:widowControl w:val="0"/>
              <w:spacing w:before="40" w:after="40" w:line="360" w:lineRule="auto"/>
              <w:rPr>
                <w:color w:val="333333"/>
                <w:sz w:val="18"/>
                <w:szCs w:val="18"/>
              </w:rPr>
            </w:pPr>
            <w:r>
              <w:rPr>
                <w:color w:val="333333"/>
                <w:sz w:val="18"/>
                <w:szCs w:val="18"/>
              </w:rPr>
              <w:t>Global Average Pooling</w:t>
            </w:r>
          </w:p>
        </w:tc>
      </w:tr>
      <w:tr w:rsidR="00B7016B" w14:paraId="43181E32" w14:textId="77777777">
        <w:trPr>
          <w:trHeight w:val="360"/>
        </w:trPr>
        <w:tc>
          <w:tcPr>
            <w:tcW w:w="9988" w:type="dxa"/>
            <w:gridSpan w:val="4"/>
            <w:tcBorders>
              <w:top w:val="nil"/>
              <w:left w:val="nil"/>
              <w:bottom w:val="nil"/>
              <w:right w:val="nil"/>
            </w:tcBorders>
            <w:tcMar>
              <w:top w:w="40" w:type="dxa"/>
              <w:left w:w="60" w:type="dxa"/>
              <w:bottom w:w="40" w:type="dxa"/>
              <w:right w:w="60" w:type="dxa"/>
            </w:tcMar>
          </w:tcPr>
          <w:p w14:paraId="57B776D7" w14:textId="77777777" w:rsidR="00B7016B" w:rsidRDefault="00000000">
            <w:pPr>
              <w:widowControl w:val="0"/>
              <w:spacing w:before="40" w:after="40" w:line="360" w:lineRule="auto"/>
              <w:rPr>
                <w:color w:val="333333"/>
                <w:sz w:val="18"/>
                <w:szCs w:val="18"/>
              </w:rPr>
            </w:pPr>
            <w:r>
              <w:rPr>
                <w:color w:val="333333"/>
                <w:sz w:val="18"/>
                <w:szCs w:val="18"/>
              </w:rPr>
              <w:lastRenderedPageBreak/>
              <w:t>OCT-based foundation models</w:t>
            </w:r>
          </w:p>
        </w:tc>
        <w:tc>
          <w:tcPr>
            <w:tcW w:w="2497" w:type="dxa"/>
            <w:tcBorders>
              <w:top w:val="nil"/>
              <w:left w:val="nil"/>
              <w:bottom w:val="nil"/>
              <w:right w:val="nil"/>
            </w:tcBorders>
            <w:tcMar>
              <w:top w:w="40" w:type="dxa"/>
              <w:left w:w="60" w:type="dxa"/>
              <w:bottom w:w="40" w:type="dxa"/>
              <w:right w:w="60" w:type="dxa"/>
            </w:tcMar>
          </w:tcPr>
          <w:p w14:paraId="3456F3D8" w14:textId="77777777" w:rsidR="00B7016B" w:rsidRDefault="00B7016B">
            <w:pPr>
              <w:widowControl w:val="0"/>
              <w:pBdr>
                <w:top w:val="nil"/>
                <w:left w:val="nil"/>
                <w:bottom w:val="nil"/>
                <w:right w:val="nil"/>
                <w:between w:val="nil"/>
              </w:pBdr>
              <w:rPr>
                <w:color w:val="333333"/>
                <w:sz w:val="18"/>
                <w:szCs w:val="18"/>
              </w:rPr>
            </w:pPr>
          </w:p>
        </w:tc>
        <w:tc>
          <w:tcPr>
            <w:tcW w:w="2497" w:type="dxa"/>
            <w:tcBorders>
              <w:top w:val="nil"/>
              <w:left w:val="nil"/>
              <w:bottom w:val="nil"/>
              <w:right w:val="nil"/>
            </w:tcBorders>
            <w:tcMar>
              <w:top w:w="40" w:type="dxa"/>
              <w:left w:w="60" w:type="dxa"/>
              <w:bottom w:w="40" w:type="dxa"/>
              <w:right w:w="60" w:type="dxa"/>
            </w:tcMar>
          </w:tcPr>
          <w:p w14:paraId="06D561DD" w14:textId="77777777" w:rsidR="00B7016B" w:rsidRDefault="00B7016B">
            <w:pPr>
              <w:widowControl w:val="0"/>
              <w:pBdr>
                <w:top w:val="nil"/>
                <w:left w:val="nil"/>
                <w:bottom w:val="nil"/>
                <w:right w:val="nil"/>
                <w:between w:val="nil"/>
              </w:pBdr>
              <w:rPr>
                <w:color w:val="333333"/>
                <w:sz w:val="18"/>
                <w:szCs w:val="18"/>
              </w:rPr>
            </w:pPr>
          </w:p>
        </w:tc>
      </w:tr>
      <w:tr w:rsidR="00B7016B" w14:paraId="4A94B6A3" w14:textId="77777777">
        <w:trPr>
          <w:trHeight w:val="735"/>
        </w:trPr>
        <w:tc>
          <w:tcPr>
            <w:tcW w:w="2497" w:type="dxa"/>
            <w:tcBorders>
              <w:top w:val="nil"/>
              <w:left w:val="nil"/>
              <w:bottom w:val="nil"/>
              <w:right w:val="nil"/>
            </w:tcBorders>
            <w:tcMar>
              <w:top w:w="40" w:type="dxa"/>
              <w:left w:w="60" w:type="dxa"/>
              <w:bottom w:w="40" w:type="dxa"/>
              <w:right w:w="60" w:type="dxa"/>
            </w:tcMar>
          </w:tcPr>
          <w:p w14:paraId="0F4B45E0" w14:textId="77777777" w:rsidR="00B7016B" w:rsidRDefault="00000000">
            <w:pPr>
              <w:widowControl w:val="0"/>
              <w:spacing w:before="40" w:after="40" w:line="360" w:lineRule="auto"/>
              <w:rPr>
                <w:color w:val="333333"/>
                <w:sz w:val="18"/>
                <w:szCs w:val="18"/>
              </w:rPr>
            </w:pPr>
            <w:r>
              <w:rPr>
                <w:color w:val="333333"/>
                <w:sz w:val="18"/>
                <w:szCs w:val="18"/>
              </w:rPr>
              <w:t>RETFound-MAE</w:t>
            </w:r>
          </w:p>
        </w:tc>
        <w:tc>
          <w:tcPr>
            <w:tcW w:w="2497" w:type="dxa"/>
            <w:tcBorders>
              <w:top w:val="nil"/>
              <w:left w:val="nil"/>
              <w:bottom w:val="nil"/>
              <w:right w:val="nil"/>
            </w:tcBorders>
            <w:tcMar>
              <w:top w:w="40" w:type="dxa"/>
              <w:left w:w="60" w:type="dxa"/>
              <w:bottom w:w="40" w:type="dxa"/>
              <w:right w:w="60" w:type="dxa"/>
            </w:tcMar>
          </w:tcPr>
          <w:p w14:paraId="55C45074" w14:textId="77777777" w:rsidR="00B7016B" w:rsidRDefault="00000000">
            <w:pPr>
              <w:widowControl w:val="0"/>
              <w:spacing w:before="40" w:after="40" w:line="360" w:lineRule="auto"/>
              <w:rPr>
                <w:color w:val="333333"/>
                <w:sz w:val="18"/>
                <w:szCs w:val="18"/>
              </w:rPr>
            </w:pPr>
            <w:r>
              <w:rPr>
                <w:color w:val="333333"/>
                <w:sz w:val="18"/>
                <w:szCs w:val="18"/>
              </w:rPr>
              <w:t>ViT-Large/16</w:t>
            </w:r>
          </w:p>
        </w:tc>
        <w:tc>
          <w:tcPr>
            <w:tcW w:w="2497" w:type="dxa"/>
            <w:tcBorders>
              <w:top w:val="nil"/>
              <w:left w:val="nil"/>
              <w:bottom w:val="nil"/>
              <w:right w:val="nil"/>
            </w:tcBorders>
            <w:tcMar>
              <w:top w:w="40" w:type="dxa"/>
              <w:left w:w="60" w:type="dxa"/>
              <w:bottom w:w="40" w:type="dxa"/>
              <w:right w:w="60" w:type="dxa"/>
            </w:tcMar>
          </w:tcPr>
          <w:p w14:paraId="674F672D" w14:textId="77777777" w:rsidR="00B7016B" w:rsidRDefault="00000000">
            <w:pPr>
              <w:widowControl w:val="0"/>
              <w:spacing w:before="40" w:after="40" w:line="360" w:lineRule="auto"/>
              <w:rPr>
                <w:color w:val="333333"/>
                <w:sz w:val="18"/>
                <w:szCs w:val="18"/>
              </w:rPr>
            </w:pPr>
            <w:r>
              <w:rPr>
                <w:color w:val="333333"/>
                <w:sz w:val="18"/>
                <w:szCs w:val="18"/>
              </w:rPr>
              <w:t>224 × 224</w:t>
            </w:r>
          </w:p>
        </w:tc>
        <w:tc>
          <w:tcPr>
            <w:tcW w:w="2497" w:type="dxa"/>
            <w:tcBorders>
              <w:top w:val="nil"/>
              <w:left w:val="nil"/>
              <w:bottom w:val="nil"/>
              <w:right w:val="nil"/>
            </w:tcBorders>
            <w:tcMar>
              <w:top w:w="40" w:type="dxa"/>
              <w:left w:w="60" w:type="dxa"/>
              <w:bottom w:w="40" w:type="dxa"/>
              <w:right w:w="60" w:type="dxa"/>
            </w:tcMar>
          </w:tcPr>
          <w:p w14:paraId="6C361EE8" w14:textId="77777777" w:rsidR="00B7016B" w:rsidRDefault="00000000">
            <w:pPr>
              <w:widowControl w:val="0"/>
              <w:spacing w:before="40" w:after="40" w:line="360" w:lineRule="auto"/>
              <w:rPr>
                <w:color w:val="333333"/>
                <w:sz w:val="18"/>
                <w:szCs w:val="18"/>
              </w:rPr>
            </w:pPr>
            <w:r>
              <w:rPr>
                <w:color w:val="333333"/>
                <w:sz w:val="18"/>
                <w:szCs w:val="18"/>
              </w:rPr>
              <w:t>736,442 OCT slices (Moorfields Eye Hospital and Kermany dataset)</w:t>
            </w:r>
          </w:p>
        </w:tc>
        <w:tc>
          <w:tcPr>
            <w:tcW w:w="2497" w:type="dxa"/>
            <w:tcBorders>
              <w:top w:val="nil"/>
              <w:left w:val="nil"/>
              <w:bottom w:val="nil"/>
              <w:right w:val="nil"/>
            </w:tcBorders>
            <w:tcMar>
              <w:top w:w="40" w:type="dxa"/>
              <w:left w:w="60" w:type="dxa"/>
              <w:bottom w:w="40" w:type="dxa"/>
              <w:right w:w="60" w:type="dxa"/>
            </w:tcMar>
          </w:tcPr>
          <w:p w14:paraId="734CAA42" w14:textId="77777777" w:rsidR="00B7016B" w:rsidRDefault="00000000">
            <w:pPr>
              <w:widowControl w:val="0"/>
              <w:spacing w:before="40" w:after="40" w:line="360" w:lineRule="auto"/>
              <w:rPr>
                <w:color w:val="333333"/>
                <w:sz w:val="18"/>
                <w:szCs w:val="18"/>
              </w:rPr>
            </w:pPr>
            <w:r>
              <w:rPr>
                <w:color w:val="333333"/>
                <w:sz w:val="18"/>
                <w:szCs w:val="18"/>
              </w:rPr>
              <w:t>No</w:t>
            </w:r>
          </w:p>
        </w:tc>
        <w:tc>
          <w:tcPr>
            <w:tcW w:w="2497" w:type="dxa"/>
            <w:tcBorders>
              <w:top w:val="nil"/>
              <w:left w:val="nil"/>
              <w:bottom w:val="nil"/>
              <w:right w:val="nil"/>
            </w:tcBorders>
            <w:tcMar>
              <w:top w:w="40" w:type="dxa"/>
              <w:left w:w="60" w:type="dxa"/>
              <w:bottom w:w="40" w:type="dxa"/>
              <w:right w:w="60" w:type="dxa"/>
            </w:tcMar>
          </w:tcPr>
          <w:p w14:paraId="5F2C891B" w14:textId="77777777" w:rsidR="00B7016B" w:rsidRDefault="00000000">
            <w:pPr>
              <w:widowControl w:val="0"/>
              <w:spacing w:before="40" w:after="40" w:line="360" w:lineRule="auto"/>
              <w:rPr>
                <w:color w:val="333333"/>
                <w:sz w:val="18"/>
                <w:szCs w:val="18"/>
              </w:rPr>
            </w:pPr>
            <w:r>
              <w:rPr>
                <w:color w:val="333333"/>
                <w:sz w:val="18"/>
                <w:szCs w:val="18"/>
              </w:rPr>
              <w:t>Global Average Pooling</w:t>
            </w:r>
          </w:p>
        </w:tc>
      </w:tr>
      <w:tr w:rsidR="00B7016B" w14:paraId="19DDE49D" w14:textId="77777777">
        <w:trPr>
          <w:trHeight w:val="540"/>
        </w:trPr>
        <w:tc>
          <w:tcPr>
            <w:tcW w:w="2497" w:type="dxa"/>
            <w:tcBorders>
              <w:top w:val="nil"/>
              <w:left w:val="nil"/>
              <w:bottom w:val="nil"/>
              <w:right w:val="nil"/>
            </w:tcBorders>
            <w:tcMar>
              <w:top w:w="40" w:type="dxa"/>
              <w:left w:w="60" w:type="dxa"/>
              <w:bottom w:w="40" w:type="dxa"/>
              <w:right w:w="60" w:type="dxa"/>
            </w:tcMar>
          </w:tcPr>
          <w:p w14:paraId="462F5F49" w14:textId="77777777" w:rsidR="00B7016B" w:rsidRDefault="00000000">
            <w:pPr>
              <w:widowControl w:val="0"/>
              <w:spacing w:before="40" w:after="40" w:line="360" w:lineRule="auto"/>
              <w:rPr>
                <w:color w:val="333333"/>
                <w:sz w:val="18"/>
                <w:szCs w:val="18"/>
              </w:rPr>
            </w:pPr>
            <w:r>
              <w:rPr>
                <w:color w:val="333333"/>
                <w:sz w:val="18"/>
                <w:szCs w:val="18"/>
              </w:rPr>
              <w:t>VisionFM-OCT</w:t>
            </w:r>
          </w:p>
        </w:tc>
        <w:tc>
          <w:tcPr>
            <w:tcW w:w="2497" w:type="dxa"/>
            <w:tcBorders>
              <w:top w:val="nil"/>
              <w:left w:val="nil"/>
              <w:bottom w:val="nil"/>
              <w:right w:val="nil"/>
            </w:tcBorders>
            <w:tcMar>
              <w:top w:w="40" w:type="dxa"/>
              <w:left w:w="60" w:type="dxa"/>
              <w:bottom w:w="40" w:type="dxa"/>
              <w:right w:w="60" w:type="dxa"/>
            </w:tcMar>
          </w:tcPr>
          <w:p w14:paraId="226745B8" w14:textId="77777777" w:rsidR="00B7016B" w:rsidRDefault="00000000">
            <w:pPr>
              <w:widowControl w:val="0"/>
              <w:spacing w:before="40" w:after="40" w:line="360" w:lineRule="auto"/>
              <w:rPr>
                <w:color w:val="333333"/>
                <w:sz w:val="18"/>
                <w:szCs w:val="18"/>
              </w:rPr>
            </w:pPr>
            <w:r>
              <w:rPr>
                <w:color w:val="333333"/>
                <w:sz w:val="18"/>
                <w:szCs w:val="18"/>
              </w:rPr>
              <w:t>ViT-Base/16</w:t>
            </w:r>
          </w:p>
        </w:tc>
        <w:tc>
          <w:tcPr>
            <w:tcW w:w="2497" w:type="dxa"/>
            <w:tcBorders>
              <w:top w:val="nil"/>
              <w:left w:val="nil"/>
              <w:bottom w:val="nil"/>
              <w:right w:val="nil"/>
            </w:tcBorders>
            <w:tcMar>
              <w:top w:w="40" w:type="dxa"/>
              <w:left w:w="60" w:type="dxa"/>
              <w:bottom w:w="40" w:type="dxa"/>
              <w:right w:w="60" w:type="dxa"/>
            </w:tcMar>
          </w:tcPr>
          <w:p w14:paraId="6EEA6148" w14:textId="77777777" w:rsidR="00B7016B" w:rsidRDefault="00000000">
            <w:pPr>
              <w:widowControl w:val="0"/>
              <w:spacing w:before="40" w:after="40" w:line="360" w:lineRule="auto"/>
              <w:rPr>
                <w:color w:val="333333"/>
                <w:sz w:val="18"/>
                <w:szCs w:val="18"/>
              </w:rPr>
            </w:pPr>
            <w:r>
              <w:rPr>
                <w:color w:val="333333"/>
                <w:sz w:val="18"/>
                <w:szCs w:val="18"/>
              </w:rPr>
              <w:t>224 × 224</w:t>
            </w:r>
          </w:p>
        </w:tc>
        <w:tc>
          <w:tcPr>
            <w:tcW w:w="2497" w:type="dxa"/>
            <w:tcBorders>
              <w:top w:val="nil"/>
              <w:left w:val="nil"/>
              <w:bottom w:val="nil"/>
              <w:right w:val="nil"/>
            </w:tcBorders>
            <w:tcMar>
              <w:top w:w="40" w:type="dxa"/>
              <w:left w:w="60" w:type="dxa"/>
              <w:bottom w:w="40" w:type="dxa"/>
              <w:right w:w="60" w:type="dxa"/>
            </w:tcMar>
          </w:tcPr>
          <w:p w14:paraId="30A30543" w14:textId="77777777" w:rsidR="00B7016B" w:rsidRDefault="00000000">
            <w:pPr>
              <w:widowControl w:val="0"/>
              <w:spacing w:before="40" w:after="40" w:line="360" w:lineRule="auto"/>
              <w:rPr>
                <w:color w:val="333333"/>
                <w:sz w:val="18"/>
                <w:szCs w:val="18"/>
              </w:rPr>
            </w:pPr>
            <w:r>
              <w:rPr>
                <w:color w:val="333333"/>
                <w:sz w:val="18"/>
                <w:szCs w:val="18"/>
              </w:rPr>
              <w:t>1,420,357 OCT slices</w:t>
            </w:r>
          </w:p>
        </w:tc>
        <w:tc>
          <w:tcPr>
            <w:tcW w:w="2497" w:type="dxa"/>
            <w:tcBorders>
              <w:top w:val="nil"/>
              <w:left w:val="nil"/>
              <w:bottom w:val="nil"/>
              <w:right w:val="nil"/>
            </w:tcBorders>
            <w:tcMar>
              <w:top w:w="40" w:type="dxa"/>
              <w:left w:w="60" w:type="dxa"/>
              <w:bottom w:w="40" w:type="dxa"/>
              <w:right w:w="60" w:type="dxa"/>
            </w:tcMar>
          </w:tcPr>
          <w:p w14:paraId="790DA9C9" w14:textId="77777777" w:rsidR="00B7016B" w:rsidRDefault="00000000">
            <w:pPr>
              <w:widowControl w:val="0"/>
              <w:spacing w:before="40" w:after="40" w:line="360" w:lineRule="auto"/>
              <w:rPr>
                <w:color w:val="333333"/>
                <w:sz w:val="18"/>
                <w:szCs w:val="18"/>
              </w:rPr>
            </w:pPr>
            <w:r>
              <w:rPr>
                <w:color w:val="333333"/>
                <w:sz w:val="18"/>
                <w:szCs w:val="18"/>
              </w:rPr>
              <w:t>Yes</w:t>
            </w:r>
          </w:p>
        </w:tc>
        <w:tc>
          <w:tcPr>
            <w:tcW w:w="2497" w:type="dxa"/>
            <w:tcBorders>
              <w:top w:val="nil"/>
              <w:left w:val="nil"/>
              <w:bottom w:val="nil"/>
              <w:right w:val="nil"/>
            </w:tcBorders>
            <w:tcMar>
              <w:top w:w="40" w:type="dxa"/>
              <w:left w:w="60" w:type="dxa"/>
              <w:bottom w:w="40" w:type="dxa"/>
              <w:right w:w="60" w:type="dxa"/>
            </w:tcMar>
          </w:tcPr>
          <w:p w14:paraId="1C378B0B" w14:textId="77777777" w:rsidR="00B7016B" w:rsidRDefault="00000000">
            <w:pPr>
              <w:widowControl w:val="0"/>
              <w:spacing w:before="40" w:after="40" w:line="360" w:lineRule="auto"/>
              <w:rPr>
                <w:color w:val="333333"/>
                <w:sz w:val="18"/>
                <w:szCs w:val="18"/>
              </w:rPr>
            </w:pPr>
            <w:r>
              <w:rPr>
                <w:color w:val="333333"/>
                <w:sz w:val="18"/>
                <w:szCs w:val="18"/>
              </w:rPr>
              <w:t>Class-token</w:t>
            </w:r>
          </w:p>
        </w:tc>
      </w:tr>
      <w:tr w:rsidR="00B7016B" w14:paraId="12FC8B3F" w14:textId="77777777">
        <w:trPr>
          <w:trHeight w:val="930"/>
        </w:trPr>
        <w:tc>
          <w:tcPr>
            <w:tcW w:w="2497" w:type="dxa"/>
            <w:tcBorders>
              <w:top w:val="nil"/>
              <w:left w:val="nil"/>
              <w:bottom w:val="single" w:sz="7" w:space="0" w:color="000000"/>
              <w:right w:val="nil"/>
            </w:tcBorders>
            <w:tcMar>
              <w:top w:w="40" w:type="dxa"/>
              <w:left w:w="60" w:type="dxa"/>
              <w:bottom w:w="40" w:type="dxa"/>
              <w:right w:w="60" w:type="dxa"/>
            </w:tcMar>
          </w:tcPr>
          <w:p w14:paraId="709816AD" w14:textId="77777777" w:rsidR="00B7016B" w:rsidRDefault="00000000">
            <w:pPr>
              <w:widowControl w:val="0"/>
              <w:spacing w:before="40" w:after="40" w:line="360" w:lineRule="auto"/>
              <w:rPr>
                <w:color w:val="333333"/>
                <w:sz w:val="18"/>
                <w:szCs w:val="18"/>
              </w:rPr>
            </w:pPr>
            <w:r>
              <w:rPr>
                <w:color w:val="333333"/>
                <w:sz w:val="18"/>
                <w:szCs w:val="18"/>
              </w:rPr>
              <w:t>MIRAGE-Large</w:t>
            </w:r>
          </w:p>
        </w:tc>
        <w:tc>
          <w:tcPr>
            <w:tcW w:w="2497" w:type="dxa"/>
            <w:tcBorders>
              <w:top w:val="nil"/>
              <w:left w:val="nil"/>
              <w:bottom w:val="single" w:sz="7" w:space="0" w:color="000000"/>
              <w:right w:val="nil"/>
            </w:tcBorders>
            <w:tcMar>
              <w:top w:w="40" w:type="dxa"/>
              <w:left w:w="60" w:type="dxa"/>
              <w:bottom w:w="40" w:type="dxa"/>
              <w:right w:w="60" w:type="dxa"/>
            </w:tcMar>
          </w:tcPr>
          <w:p w14:paraId="15AADB2B" w14:textId="77777777" w:rsidR="00B7016B" w:rsidRDefault="00000000">
            <w:pPr>
              <w:widowControl w:val="0"/>
              <w:spacing w:before="40" w:after="40" w:line="360" w:lineRule="auto"/>
              <w:rPr>
                <w:color w:val="333333"/>
                <w:sz w:val="18"/>
                <w:szCs w:val="18"/>
              </w:rPr>
            </w:pPr>
            <w:r>
              <w:rPr>
                <w:color w:val="333333"/>
                <w:sz w:val="18"/>
                <w:szCs w:val="18"/>
              </w:rPr>
              <w:t>ViT-Large/32</w:t>
            </w:r>
          </w:p>
        </w:tc>
        <w:tc>
          <w:tcPr>
            <w:tcW w:w="2497" w:type="dxa"/>
            <w:tcBorders>
              <w:top w:val="nil"/>
              <w:left w:val="nil"/>
              <w:bottom w:val="single" w:sz="7" w:space="0" w:color="000000"/>
              <w:right w:val="nil"/>
            </w:tcBorders>
            <w:tcMar>
              <w:top w:w="40" w:type="dxa"/>
              <w:left w:w="60" w:type="dxa"/>
              <w:bottom w:w="40" w:type="dxa"/>
              <w:right w:w="60" w:type="dxa"/>
            </w:tcMar>
          </w:tcPr>
          <w:p w14:paraId="56A6BEE3" w14:textId="77777777" w:rsidR="00B7016B" w:rsidRDefault="00000000">
            <w:pPr>
              <w:widowControl w:val="0"/>
              <w:spacing w:before="40" w:after="40" w:line="360" w:lineRule="auto"/>
              <w:rPr>
                <w:color w:val="333333"/>
                <w:sz w:val="18"/>
                <w:szCs w:val="18"/>
              </w:rPr>
            </w:pPr>
            <w:r>
              <w:rPr>
                <w:color w:val="333333"/>
                <w:sz w:val="18"/>
                <w:szCs w:val="18"/>
              </w:rPr>
              <w:t>512 × 512</w:t>
            </w:r>
          </w:p>
        </w:tc>
        <w:tc>
          <w:tcPr>
            <w:tcW w:w="2497" w:type="dxa"/>
            <w:tcBorders>
              <w:top w:val="nil"/>
              <w:left w:val="nil"/>
              <w:bottom w:val="single" w:sz="7" w:space="0" w:color="000000"/>
              <w:right w:val="nil"/>
            </w:tcBorders>
            <w:tcMar>
              <w:top w:w="40" w:type="dxa"/>
              <w:left w:w="60" w:type="dxa"/>
              <w:bottom w:w="40" w:type="dxa"/>
              <w:right w:w="60" w:type="dxa"/>
            </w:tcMar>
          </w:tcPr>
          <w:p w14:paraId="55F5E221" w14:textId="77777777" w:rsidR="00B7016B" w:rsidRDefault="00000000">
            <w:pPr>
              <w:widowControl w:val="0"/>
              <w:spacing w:before="40" w:after="40" w:line="360" w:lineRule="auto"/>
              <w:rPr>
                <w:color w:val="333333"/>
                <w:sz w:val="18"/>
                <w:szCs w:val="18"/>
              </w:rPr>
            </w:pPr>
            <w:r>
              <w:rPr>
                <w:color w:val="333333"/>
                <w:sz w:val="18"/>
                <w:szCs w:val="18"/>
              </w:rPr>
              <w:t>261,184 paired OCT slices and SLO images</w:t>
            </w:r>
          </w:p>
        </w:tc>
        <w:tc>
          <w:tcPr>
            <w:tcW w:w="2497" w:type="dxa"/>
            <w:tcBorders>
              <w:top w:val="nil"/>
              <w:left w:val="nil"/>
              <w:bottom w:val="single" w:sz="7" w:space="0" w:color="000000"/>
              <w:right w:val="nil"/>
            </w:tcBorders>
            <w:tcMar>
              <w:top w:w="40" w:type="dxa"/>
              <w:left w:w="60" w:type="dxa"/>
              <w:bottom w:w="40" w:type="dxa"/>
              <w:right w:w="60" w:type="dxa"/>
            </w:tcMar>
          </w:tcPr>
          <w:p w14:paraId="54F0F9C2" w14:textId="77777777" w:rsidR="00B7016B" w:rsidRDefault="00000000">
            <w:pPr>
              <w:widowControl w:val="0"/>
              <w:spacing w:before="40" w:after="40" w:line="360" w:lineRule="auto"/>
              <w:rPr>
                <w:color w:val="333333"/>
                <w:sz w:val="18"/>
                <w:szCs w:val="18"/>
              </w:rPr>
            </w:pPr>
            <w:r>
              <w:rPr>
                <w:color w:val="333333"/>
                <w:sz w:val="18"/>
                <w:szCs w:val="18"/>
              </w:rPr>
              <w:t>No</w:t>
            </w:r>
          </w:p>
        </w:tc>
        <w:tc>
          <w:tcPr>
            <w:tcW w:w="2497" w:type="dxa"/>
            <w:tcBorders>
              <w:top w:val="nil"/>
              <w:left w:val="nil"/>
              <w:bottom w:val="single" w:sz="7" w:space="0" w:color="000000"/>
              <w:right w:val="nil"/>
            </w:tcBorders>
            <w:tcMar>
              <w:top w:w="40" w:type="dxa"/>
              <w:left w:w="60" w:type="dxa"/>
              <w:bottom w:w="40" w:type="dxa"/>
              <w:right w:w="60" w:type="dxa"/>
            </w:tcMar>
          </w:tcPr>
          <w:p w14:paraId="3BAA654A" w14:textId="77777777" w:rsidR="00B7016B" w:rsidRDefault="00000000">
            <w:pPr>
              <w:widowControl w:val="0"/>
              <w:spacing w:before="40" w:after="40" w:line="360" w:lineRule="auto"/>
              <w:rPr>
                <w:color w:val="333333"/>
                <w:sz w:val="18"/>
                <w:szCs w:val="18"/>
              </w:rPr>
            </w:pPr>
            <w:r>
              <w:rPr>
                <w:color w:val="333333"/>
                <w:sz w:val="18"/>
                <w:szCs w:val="18"/>
              </w:rPr>
              <w:t>Global Average Pooling</w:t>
            </w:r>
          </w:p>
        </w:tc>
      </w:tr>
    </w:tbl>
    <w:p w14:paraId="7D76AEAC" w14:textId="77777777" w:rsidR="00B7016B" w:rsidRDefault="00000000">
      <w:pPr>
        <w:widowControl w:val="0"/>
        <w:spacing w:before="240" w:after="240" w:line="360" w:lineRule="auto"/>
        <w:rPr>
          <w:color w:val="333333"/>
        </w:rPr>
      </w:pPr>
      <w:r>
        <w:rPr>
          <w:color w:val="333333"/>
        </w:rPr>
        <w:t>Models are grouped by the domain of their pretraining data: general-purpose models pretrained on natural images, models pretrained on colour fundus photographs (CFP), and models pretrained on OCT. For each model, the table lists the backbone architecture and patch size, the input resolution used during pretraining, a summary of the pretraining data, whether the backbone has a class token, and the pooling strategy used to obtain the image-level embedding. Architecture is denoted as ViT-size/patch size; for example, ViT-Large/16 indicates a large vision transformer operating on 16 × 16 pixel patches.</w:t>
      </w:r>
    </w:p>
    <w:p w14:paraId="4D1804EE" w14:textId="77777777" w:rsidR="00B7016B" w:rsidRDefault="00000000">
      <w:pPr>
        <w:widowControl w:val="0"/>
        <w:spacing w:before="240" w:after="240" w:line="360" w:lineRule="auto"/>
        <w:rPr>
          <w:color w:val="333333"/>
        </w:rPr>
      </w:pPr>
      <w:r>
        <w:rPr>
          <w:color w:val="333333"/>
        </w:rPr>
        <w:t>Abbreviations: CFP, colour fundus photograph;OCT, optical coherence tomography; SLO, scanning laser ophthalmoscopy; ViT, vision transformer.</w:t>
      </w:r>
    </w:p>
    <w:p w14:paraId="2D81EF76" w14:textId="77777777" w:rsidR="00B7016B" w:rsidRDefault="00B7016B">
      <w:pPr>
        <w:widowControl w:val="0"/>
        <w:spacing w:before="160" w:line="360" w:lineRule="auto"/>
        <w:rPr>
          <w:color w:val="333333"/>
        </w:rPr>
      </w:pPr>
    </w:p>
    <w:p w14:paraId="6CCC42E7" w14:textId="77777777" w:rsidR="00B7016B" w:rsidRDefault="00B7016B">
      <w:pPr>
        <w:widowControl w:val="0"/>
        <w:spacing w:after="160" w:line="360" w:lineRule="auto"/>
        <w:rPr>
          <w:color w:val="333333"/>
        </w:rPr>
      </w:pPr>
    </w:p>
    <w:p w14:paraId="732F8B3B" w14:textId="77777777" w:rsidR="00B7016B" w:rsidRDefault="00000000">
      <w:pPr>
        <w:spacing w:line="360" w:lineRule="auto"/>
        <w:rPr>
          <w:b/>
          <w:bCs/>
        </w:rPr>
        <w:sectPr w:rsidR="00B7016B">
          <w:headerReference w:type="default" r:id="rId8"/>
          <w:footerReference w:type="default" r:id="rId9"/>
          <w:pgSz w:w="16838" w:h="11906" w:orient="landscape"/>
          <w:pgMar w:top="873" w:right="873" w:bottom="873" w:left="873" w:header="720" w:footer="567" w:gutter="0"/>
          <w:cols w:space="720"/>
        </w:sectPr>
      </w:pPr>
      <w:r>
        <w:br w:type="page"/>
      </w:r>
    </w:p>
    <w:p w14:paraId="01FD4542" w14:textId="77777777" w:rsidR="00B7016B" w:rsidRDefault="00000000">
      <w:pPr>
        <w:spacing w:line="360" w:lineRule="auto"/>
        <w:rPr>
          <w:b/>
          <w:bCs/>
        </w:rPr>
      </w:pPr>
      <w:r>
        <w:rPr>
          <w:b/>
          <w:bCs/>
        </w:rPr>
        <w:lastRenderedPageBreak/>
        <w:t>Supplementary Figure 1. Point-based annotation and the point-guided clinical sign retrieval protocol used in Task 2.</w:t>
      </w:r>
    </w:p>
    <w:p w14:paraId="6C569AF6" w14:textId="77777777" w:rsidR="00B7016B" w:rsidRDefault="00000000">
      <w:pPr>
        <w:spacing w:line="360" w:lineRule="auto"/>
        <w:rPr>
          <w:b/>
          <w:bCs/>
        </w:rPr>
      </w:pPr>
      <w:r>
        <w:rPr>
          <w:noProof/>
        </w:rPr>
        <w:drawing>
          <wp:anchor distT="0" distB="0" distL="114300" distR="114300" simplePos="0" relativeHeight="251658240" behindDoc="0" locked="0" layoutInCell="1" hidden="0" allowOverlap="1" wp14:anchorId="75904095" wp14:editId="3A0A9BD3">
            <wp:simplePos x="0" y="0"/>
            <wp:positionH relativeFrom="column">
              <wp:posOffset>114300</wp:posOffset>
            </wp:positionH>
            <wp:positionV relativeFrom="paragraph">
              <wp:posOffset>0</wp:posOffset>
            </wp:positionV>
            <wp:extent cx="5908358" cy="8352128"/>
            <wp:effectExtent l="0" t="0" r="0" b="0"/>
            <wp:wrapTopAndBottom distT="0" distB="0"/>
            <wp:docPr id="3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5908358" cy="8352128"/>
                    </a:xfrm>
                    <a:prstGeom prst="rect">
                      <a:avLst/>
                    </a:prstGeom>
                    <a:ln/>
                  </pic:spPr>
                </pic:pic>
              </a:graphicData>
            </a:graphic>
          </wp:anchor>
        </w:drawing>
      </w:r>
    </w:p>
    <w:p w14:paraId="5183D318" w14:textId="77777777" w:rsidR="00B7016B" w:rsidRDefault="00B7016B">
      <w:pPr>
        <w:spacing w:line="360" w:lineRule="auto"/>
        <w:rPr>
          <w:color w:val="1A1A1A"/>
        </w:rPr>
      </w:pPr>
    </w:p>
    <w:p w14:paraId="4946168F" w14:textId="77777777" w:rsidR="00B7016B" w:rsidRDefault="00B7016B">
      <w:pPr>
        <w:spacing w:line="360" w:lineRule="auto"/>
        <w:rPr>
          <w:color w:val="1A1A1A"/>
        </w:rPr>
      </w:pPr>
    </w:p>
    <w:p w14:paraId="20DC59CC" w14:textId="0B24D934" w:rsidR="00B7016B" w:rsidRPr="00F36F3D" w:rsidRDefault="00000000">
      <w:pPr>
        <w:spacing w:before="240" w:after="240" w:line="360" w:lineRule="auto"/>
        <w:rPr>
          <w:i/>
          <w:iCs/>
          <w:color w:val="1A1A1A"/>
        </w:rPr>
      </w:pPr>
      <w:r w:rsidRPr="00F36F3D">
        <w:rPr>
          <w:rFonts w:eastAsia="Arial Unicode MS"/>
          <w:color w:val="1A1A1A"/>
        </w:rPr>
        <w:lastRenderedPageBreak/>
        <w:t xml:space="preserve">Overview of point-based annotation and point-guided clinical sign retrieval (Task 2). (A) Necessity of point guidance. (1) When the query is only an image, the target of the search is unclear: an ophthalmic image (a fundus photograph or an OCT B-scan) typically contains several coexisting findings, so retrieval may instead be driven by the camera or device, by age, or by a disease other than the one of interest. (2) A point annotation specifies which clinical sign the query refers to, so that the gallery is ranked by similarity with respect to that sign and the top-ranked images are expected to exhibit the same sign as the query. (B) Query-to-gallery patch similarity. The spatial feature map is taken from the frozen backbone before any aggregation, such as global average pooling, attention pooling, or class-token (CLS) pooling, and without task-specific adaptation. For each query patch containing the annotated points of a given clinical sign (defined in C), the patch's feature vector q is compared by cosine similarity with the feature vector at every position of the gallery image's </w:t>
      </w:r>
      <w:r w:rsidRPr="00F36F3D">
        <w:rPr>
          <w:rFonts w:ascii="Cambria Math" w:eastAsia="Arial Unicode MS" w:hAnsi="Cambria Math" w:cs="Cambria Math"/>
          <w:color w:val="1A1A1A"/>
        </w:rPr>
        <w:t>⌊</w:t>
      </w:r>
      <w:r w:rsidRPr="00F36F3D">
        <w:rPr>
          <w:rFonts w:eastAsia="Arial Unicode MS"/>
          <w:color w:val="1A1A1A"/>
        </w:rPr>
        <w:t>H/P</w:t>
      </w:r>
      <w:r w:rsidRPr="00F36F3D">
        <w:rPr>
          <w:rFonts w:ascii="Cambria Math" w:eastAsia="Arial Unicode MS" w:hAnsi="Cambria Math" w:cs="Cambria Math"/>
          <w:color w:val="1A1A1A"/>
        </w:rPr>
        <w:t>⌋</w:t>
      </w:r>
      <w:r w:rsidRPr="00F36F3D">
        <w:rPr>
          <w:rFonts w:eastAsia="Arial Unicode MS"/>
          <w:color w:val="1A1A1A"/>
        </w:rPr>
        <w:t xml:space="preserve"> × </w:t>
      </w:r>
      <w:r w:rsidRPr="00F36F3D">
        <w:rPr>
          <w:rFonts w:ascii="Cambria Math" w:eastAsia="Arial Unicode MS" w:hAnsi="Cambria Math" w:cs="Cambria Math"/>
          <w:color w:val="1A1A1A"/>
        </w:rPr>
        <w:t>⌊</w:t>
      </w:r>
      <w:r w:rsidRPr="00F36F3D">
        <w:rPr>
          <w:rFonts w:eastAsia="Arial Unicode MS"/>
          <w:color w:val="1A1A1A"/>
        </w:rPr>
        <w:t>W/P</w:t>
      </w:r>
      <w:r w:rsidRPr="00F36F3D">
        <w:rPr>
          <w:rFonts w:ascii="Cambria Math" w:eastAsia="Arial Unicode MS" w:hAnsi="Cambria Math" w:cs="Cambria Math"/>
          <w:color w:val="1A1A1A"/>
        </w:rPr>
        <w:t>⌋</w:t>
      </w:r>
      <w:r w:rsidRPr="00F36F3D">
        <w:rPr>
          <w:rFonts w:eastAsia="Arial Unicode MS"/>
          <w:color w:val="1A1A1A"/>
        </w:rPr>
        <w:t xml:space="preserve"> feature map, where H and W are the image height and width and P is the patch size, and the maximum score over all positions is taken as the patch score s (the star marks the arg max location). (C) Merging several points. The binary point map of a given sign (1 at an annotated point, 0 elsewhere) is smoothed with a 7 × 7 Gaussian kernel and average-pooled onto the </w:t>
      </w:r>
      <w:r w:rsidRPr="00F36F3D">
        <w:rPr>
          <w:rFonts w:ascii="Cambria Math" w:eastAsia="Arial Unicode MS" w:hAnsi="Cambria Math" w:cs="Cambria Math"/>
          <w:color w:val="1A1A1A"/>
        </w:rPr>
        <w:t>⌊</w:t>
      </w:r>
      <w:r w:rsidRPr="00F36F3D">
        <w:rPr>
          <w:rFonts w:eastAsia="Arial Unicode MS"/>
          <w:color w:val="1A1A1A"/>
        </w:rPr>
        <w:t>H/P</w:t>
      </w:r>
      <w:r w:rsidRPr="00F36F3D">
        <w:rPr>
          <w:rFonts w:ascii="Cambria Math" w:eastAsia="Arial Unicode MS" w:hAnsi="Cambria Math" w:cs="Cambria Math"/>
          <w:color w:val="1A1A1A"/>
        </w:rPr>
        <w:t>⌋</w:t>
      </w:r>
      <w:r w:rsidRPr="00F36F3D">
        <w:rPr>
          <w:rFonts w:eastAsia="Arial Unicode MS"/>
          <w:color w:val="1A1A1A"/>
        </w:rPr>
        <w:t xml:space="preserve"> × </w:t>
      </w:r>
      <w:r w:rsidRPr="00F36F3D">
        <w:rPr>
          <w:rFonts w:ascii="Cambria Math" w:eastAsia="Arial Unicode MS" w:hAnsi="Cambria Math" w:cs="Cambria Math"/>
          <w:color w:val="1A1A1A"/>
        </w:rPr>
        <w:t>⌊</w:t>
      </w:r>
      <w:r w:rsidRPr="00F36F3D">
        <w:rPr>
          <w:rFonts w:eastAsia="Arial Unicode MS"/>
          <w:color w:val="1A1A1A"/>
        </w:rPr>
        <w:t>W/P</w:t>
      </w:r>
      <w:r w:rsidRPr="00F36F3D">
        <w:rPr>
          <w:rFonts w:ascii="Cambria Math" w:eastAsia="Arial Unicode MS" w:hAnsi="Cambria Math" w:cs="Cambria Math"/>
          <w:color w:val="1A1A1A"/>
        </w:rPr>
        <w:t>⌋</w:t>
      </w:r>
      <w:r w:rsidRPr="00F36F3D">
        <w:rPr>
          <w:rFonts w:eastAsia="Arial Unicode MS"/>
          <w:color w:val="1A1A1A"/>
        </w:rPr>
        <w:t xml:space="preserve"> patch grid, which matches the feature map after patchification, then normalised so that the weights sum to one. Patches whose weight exceeds 1/(</w:t>
      </w:r>
      <w:r w:rsidRPr="00F36F3D">
        <w:rPr>
          <w:rFonts w:ascii="Cambria Math" w:eastAsia="Arial Unicode MS" w:hAnsi="Cambria Math" w:cs="Cambria Math"/>
          <w:color w:val="1A1A1A"/>
        </w:rPr>
        <w:t>⌊</w:t>
      </w:r>
      <w:r w:rsidRPr="00F36F3D">
        <w:rPr>
          <w:rFonts w:eastAsia="Arial Unicode MS"/>
          <w:color w:val="1A1A1A"/>
        </w:rPr>
        <w:t>H/P</w:t>
      </w:r>
      <w:r w:rsidRPr="00F36F3D">
        <w:rPr>
          <w:rFonts w:ascii="Cambria Math" w:eastAsia="Arial Unicode MS" w:hAnsi="Cambria Math" w:cs="Cambria Math"/>
          <w:color w:val="1A1A1A"/>
        </w:rPr>
        <w:t>⌋</w:t>
      </w:r>
      <w:r w:rsidRPr="00F36F3D">
        <w:rPr>
          <w:rFonts w:eastAsia="Arial Unicode MS"/>
          <w:color w:val="1A1A1A"/>
        </w:rPr>
        <w:t xml:space="preserve"> × </w:t>
      </w:r>
      <w:r w:rsidRPr="00F36F3D">
        <w:rPr>
          <w:rFonts w:ascii="Cambria Math" w:eastAsia="Arial Unicode MS" w:hAnsi="Cambria Math" w:cs="Cambria Math"/>
          <w:color w:val="1A1A1A"/>
        </w:rPr>
        <w:t>⌊</w:t>
      </w:r>
      <w:r w:rsidRPr="00F36F3D">
        <w:rPr>
          <w:rFonts w:eastAsia="Arial Unicode MS"/>
          <w:color w:val="1A1A1A"/>
        </w:rPr>
        <w:t>W/P</w:t>
      </w:r>
      <w:r w:rsidRPr="00F36F3D">
        <w:rPr>
          <w:rFonts w:ascii="Cambria Math" w:eastAsia="Arial Unicode MS" w:hAnsi="Cambria Math" w:cs="Cambria Math"/>
          <w:color w:val="1A1A1A"/>
        </w:rPr>
        <w:t>⌋</w:t>
      </w:r>
      <w:r w:rsidRPr="00F36F3D">
        <w:rPr>
          <w:rFonts w:eastAsia="Arial Unicode MS"/>
          <w:color w:val="1A1A1A"/>
        </w:rPr>
        <w:t xml:space="preserve">) are taken as the query patches. The image-level score S for a query-gallery image pair is the weighted average of the patch-wise maxima s from (B), using these weights, so that all points annotated for the sign of interest in the query image (for example, several hard exudates) are summarised into a single score, with the weights reflecting both the proximity and the density of the annotated points. (D) Annotation. (1) A single image may contain several annotated points for the same clinical sign. (2) Following (C), the binary point map is smoothed with a Gaussian kernel. (3) The weight map is then average-pooled onto the </w:t>
      </w:r>
      <w:r w:rsidRPr="00F36F3D">
        <w:rPr>
          <w:rFonts w:ascii="Cambria Math" w:eastAsia="Arial Unicode MS" w:hAnsi="Cambria Math" w:cs="Cambria Math"/>
          <w:color w:val="1A1A1A"/>
        </w:rPr>
        <w:t>⌊</w:t>
      </w:r>
      <w:r w:rsidRPr="00F36F3D">
        <w:rPr>
          <w:rFonts w:eastAsia="Arial Unicode MS"/>
          <w:color w:val="1A1A1A"/>
        </w:rPr>
        <w:t>H/P</w:t>
      </w:r>
      <w:r w:rsidRPr="00F36F3D">
        <w:rPr>
          <w:rFonts w:ascii="Cambria Math" w:eastAsia="Arial Unicode MS" w:hAnsi="Cambria Math" w:cs="Cambria Math"/>
          <w:color w:val="1A1A1A"/>
        </w:rPr>
        <w:t>⌋</w:t>
      </w:r>
      <w:r w:rsidRPr="00F36F3D">
        <w:rPr>
          <w:rFonts w:eastAsia="Arial Unicode MS"/>
          <w:color w:val="1A1A1A"/>
        </w:rPr>
        <w:t xml:space="preserve"> × </w:t>
      </w:r>
      <w:r w:rsidRPr="00F36F3D">
        <w:rPr>
          <w:rFonts w:ascii="Cambria Math" w:eastAsia="Arial Unicode MS" w:hAnsi="Cambria Math" w:cs="Cambria Math"/>
          <w:color w:val="1A1A1A"/>
        </w:rPr>
        <w:t>⌊</w:t>
      </w:r>
      <w:r w:rsidRPr="00F36F3D">
        <w:rPr>
          <w:rFonts w:eastAsia="Arial Unicode MS"/>
          <w:color w:val="1A1A1A"/>
        </w:rPr>
        <w:t>W/P</w:t>
      </w:r>
      <w:r w:rsidRPr="00F36F3D">
        <w:rPr>
          <w:rFonts w:ascii="Cambria Math" w:eastAsia="Arial Unicode MS" w:hAnsi="Cambria Math" w:cs="Cambria Math"/>
          <w:color w:val="1A1A1A"/>
        </w:rPr>
        <w:t>⌋</w:t>
      </w:r>
      <w:r w:rsidRPr="00F36F3D">
        <w:rPr>
          <w:rFonts w:eastAsia="Arial Unicode MS"/>
          <w:color w:val="1A1A1A"/>
        </w:rPr>
        <w:t xml:space="preserve"> patch grid (P = 16 in this example) and normalised so that the weights sum to one. (4) Conventional dense pixel-wise segmentation instead requires every lesion boundary to be delineated, which makes annotation considerably more costly. Colour fundus photographs are shown for illustration only, and all annotations drawn on them are illustrative examples rather than the study ground truth.</w:t>
      </w:r>
    </w:p>
    <w:p w14:paraId="406DA586" w14:textId="77777777" w:rsidR="00B7016B" w:rsidRDefault="00B7016B">
      <w:pPr>
        <w:spacing w:line="360" w:lineRule="auto"/>
        <w:rPr>
          <w:b/>
          <w:bCs/>
        </w:rPr>
      </w:pPr>
    </w:p>
    <w:p w14:paraId="4973EB48" w14:textId="77777777" w:rsidR="00B7016B" w:rsidRDefault="00000000">
      <w:pPr>
        <w:spacing w:before="240" w:after="240" w:line="360" w:lineRule="auto"/>
        <w:rPr>
          <w:b/>
          <w:bCs/>
        </w:rPr>
      </w:pPr>
      <w:r>
        <w:br w:type="page"/>
      </w:r>
    </w:p>
    <w:p w14:paraId="7F160EAE" w14:textId="77777777" w:rsidR="00B7016B" w:rsidRDefault="00000000">
      <w:pPr>
        <w:spacing w:before="240" w:after="240" w:line="360" w:lineRule="auto"/>
        <w:rPr>
          <w:b/>
          <w:bCs/>
        </w:rPr>
      </w:pPr>
      <w:r>
        <w:rPr>
          <w:b/>
          <w:bCs/>
        </w:rPr>
        <w:lastRenderedPageBreak/>
        <w:t>Supplementary Figure 2. Task 1 (DR-CFP) performance on the internal validation dataset and four external validation datasets.</w:t>
      </w:r>
    </w:p>
    <w:p w14:paraId="0C3E2E23" w14:textId="77777777" w:rsidR="00B7016B" w:rsidRDefault="00000000">
      <w:pPr>
        <w:spacing w:before="240" w:after="240" w:line="360" w:lineRule="auto"/>
      </w:pPr>
      <w:r>
        <w:rPr>
          <w:noProof/>
        </w:rPr>
        <w:drawing>
          <wp:inline distT="114300" distB="114300" distL="114300" distR="114300" wp14:anchorId="4408C5B1" wp14:editId="1F95018D">
            <wp:extent cx="6451290" cy="7747000"/>
            <wp:effectExtent l="0" t="0" r="0" b="0"/>
            <wp:docPr id="4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6451290" cy="7747000"/>
                    </a:xfrm>
                    <a:prstGeom prst="rect">
                      <a:avLst/>
                    </a:prstGeom>
                    <a:ln/>
                  </pic:spPr>
                </pic:pic>
              </a:graphicData>
            </a:graphic>
          </wp:inline>
        </w:drawing>
      </w:r>
    </w:p>
    <w:p w14:paraId="487CB108" w14:textId="77777777" w:rsidR="00B7016B" w:rsidRDefault="00000000">
      <w:pPr>
        <w:spacing w:before="240" w:after="240" w:line="360" w:lineRule="auto"/>
      </w:pPr>
      <w:r>
        <w:t xml:space="preserve">Quadratic weighted kappa (QWK) for each foundation model on International Clinical Diabetic Retinopathy (ICDR) severity grading from colour fundus photographs (CFP), evaluated on the internal validation dataset and on four external validation datasets (IDRiD, CIEMS, UEMS, and BES), and </w:t>
      </w:r>
      <w:r>
        <w:lastRenderedPageBreak/>
        <w:t>shown separately for the low-resolution (224 px) and high-resolution (512/518 px) settings. Bars represent point estimates and error bars denote 95% bootstrap confidence intervals from 2000 replicates. Resampling was performed at the patient level for all datasets except IDRiD, for which patient identifiers were unavailable and resampling was therefore performed at the image level. Orange bars indicate ophthalmic foundation models, and blue bars indicate general-purpose foundation models. Within each column, models are ordered by their QWK on the internal validation dataset.</w:t>
      </w:r>
    </w:p>
    <w:p w14:paraId="72A06236" w14:textId="77777777" w:rsidR="00B7016B" w:rsidRDefault="00000000">
      <w:pPr>
        <w:spacing w:before="240" w:after="240" w:line="360" w:lineRule="auto"/>
        <w:rPr>
          <w:b/>
          <w:bCs/>
        </w:rPr>
      </w:pPr>
      <w:r>
        <w:t>Abbreviations: BES, Beijing Eye Study; CFP, colour fundus photograph; CIEMS, Central India Eye and Medical Study; DR, diabetic retinopathy; ICDR, International Clinical Diabetic Retinopathy; IDRiD, Indian Diabetic Retinopathy Image Dataset; QWK, quadratic weighted kappa; UEMS, Ural Eye and Medical Study.</w:t>
      </w:r>
      <w:r>
        <w:br w:type="page"/>
      </w:r>
      <w:r>
        <w:rPr>
          <w:b/>
          <w:bCs/>
        </w:rPr>
        <w:lastRenderedPageBreak/>
        <w:t>Supplementary Figure 3. Task 1 (AMD-CFP) performance on the internal validation dataset and the external validation dataset.</w:t>
      </w:r>
    </w:p>
    <w:p w14:paraId="0DE49773" w14:textId="77777777" w:rsidR="00B7016B" w:rsidRDefault="00000000">
      <w:pPr>
        <w:spacing w:before="240" w:after="240" w:line="360" w:lineRule="auto"/>
      </w:pPr>
      <w:r>
        <w:rPr>
          <w:noProof/>
        </w:rPr>
        <w:drawing>
          <wp:inline distT="114300" distB="114300" distL="114300" distR="114300" wp14:anchorId="3269476E" wp14:editId="0BE60C33">
            <wp:extent cx="6451290" cy="3390900"/>
            <wp:effectExtent l="0" t="0" r="0" b="0"/>
            <wp:docPr id="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6451290" cy="3390900"/>
                    </a:xfrm>
                    <a:prstGeom prst="rect">
                      <a:avLst/>
                    </a:prstGeom>
                    <a:ln/>
                  </pic:spPr>
                </pic:pic>
              </a:graphicData>
            </a:graphic>
          </wp:inline>
        </w:drawing>
      </w:r>
    </w:p>
    <w:p w14:paraId="1592C490" w14:textId="77777777" w:rsidR="00B7016B" w:rsidRDefault="00000000">
      <w:pPr>
        <w:spacing w:before="240" w:after="240" w:line="360" w:lineRule="auto"/>
      </w:pPr>
      <w:r>
        <w:t>Quadratic weighted kappa (QWK) for each foundation model on four-class age-related macular degeneration (AMD) severity grading from colour fundus photographs (CFP), evaluated on the internal validation dataset and on the external validation dataset (ADAM), and shown separately for the low-resolution (224 px) and high-resolution (512/518 px) settings. Bars represent point estimates and error bars denote 95% bootstrap confidence intervals from 2000 replicates. Resampling was performed at the patient level for the internal validation dataset and at the image level for ADAM, for which patient identifiers were unavailable. Orange bars indicate ophthalmic foundation models, and blue bars indicate general-purpose foundation models. Within each column, models are ordered by their QWK on the internal validation dataset.</w:t>
      </w:r>
    </w:p>
    <w:p w14:paraId="3A8B7B1D" w14:textId="77777777" w:rsidR="00B7016B" w:rsidRDefault="00000000">
      <w:pPr>
        <w:spacing w:before="240" w:after="240" w:line="360" w:lineRule="auto"/>
      </w:pPr>
      <w:r>
        <w:t>Abbreviations: ADAM, Automatic Detection challenge on Age-related Macular degeneration; AMD, age-related macular degeneration; CFP, colour fundus photograph; QWK, quadratic weighted kappa.</w:t>
      </w:r>
    </w:p>
    <w:p w14:paraId="13FEE739" w14:textId="77777777" w:rsidR="00B7016B" w:rsidRDefault="00B7016B">
      <w:pPr>
        <w:spacing w:before="240" w:after="240" w:line="360" w:lineRule="auto"/>
      </w:pPr>
    </w:p>
    <w:p w14:paraId="34F92776" w14:textId="77777777" w:rsidR="00B7016B" w:rsidRDefault="00000000">
      <w:pPr>
        <w:spacing w:before="240" w:after="240" w:line="360" w:lineRule="auto"/>
      </w:pPr>
      <w:r>
        <w:br w:type="page"/>
      </w:r>
    </w:p>
    <w:p w14:paraId="556BA4B8" w14:textId="77777777" w:rsidR="00B7016B" w:rsidRDefault="00000000">
      <w:pPr>
        <w:spacing w:before="240" w:after="240" w:line="360" w:lineRule="auto"/>
        <w:rPr>
          <w:b/>
          <w:bCs/>
        </w:rPr>
      </w:pPr>
      <w:r>
        <w:rPr>
          <w:b/>
          <w:bCs/>
        </w:rPr>
        <w:lastRenderedPageBreak/>
        <w:t>Supplementary Figure 4. Task 1 (AMD-OCT) performance on the internal validation dataset and the external validation dataset.</w:t>
      </w:r>
    </w:p>
    <w:p w14:paraId="1D9B124B" w14:textId="77777777" w:rsidR="00B7016B" w:rsidRDefault="00000000">
      <w:pPr>
        <w:spacing w:before="240" w:after="240" w:line="360" w:lineRule="auto"/>
        <w:rPr>
          <w:b/>
          <w:bCs/>
        </w:rPr>
      </w:pPr>
      <w:r>
        <w:rPr>
          <w:b/>
          <w:bCs/>
          <w:noProof/>
        </w:rPr>
        <w:drawing>
          <wp:inline distT="114300" distB="114300" distL="114300" distR="114300" wp14:anchorId="136EADB6" wp14:editId="180AE6E7">
            <wp:extent cx="6451290" cy="3390900"/>
            <wp:effectExtent l="0" t="0" r="0" b="0"/>
            <wp:docPr id="4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6451290" cy="3390900"/>
                    </a:xfrm>
                    <a:prstGeom prst="rect">
                      <a:avLst/>
                    </a:prstGeom>
                    <a:ln/>
                  </pic:spPr>
                </pic:pic>
              </a:graphicData>
            </a:graphic>
          </wp:inline>
        </w:drawing>
      </w:r>
    </w:p>
    <w:p w14:paraId="61198CDA" w14:textId="77777777" w:rsidR="00B7016B" w:rsidRDefault="00000000">
      <w:pPr>
        <w:spacing w:before="240" w:after="240" w:line="360" w:lineRule="auto"/>
      </w:pPr>
      <w:r>
        <w:t>F1 score for each foundation model on three-class age-related macular degeneration (AMD) classification from optical coherence tomography (OCT) B-scans, evaluated on the internal validation dataset and on the external validation dataset (Yonsei), and shown separately for the low-resolution (224 px) and high-resolution (512/518 px) settings. Bars represent point estimates and error bars denote 95% bootstrap confidence intervals from 2000 replicates. Resampling was performed at the patient level for both the internal and the external validation datasets. Orange bars indicate ophthalmic foundation models, and blue bars indicate general-purpose foundation models. Within each column, models are ordered by their F1 score on the internal validation dataset.</w:t>
      </w:r>
    </w:p>
    <w:p w14:paraId="2C3D7D95" w14:textId="77777777" w:rsidR="00B7016B" w:rsidRDefault="00000000">
      <w:pPr>
        <w:spacing w:before="240" w:after="240" w:line="360" w:lineRule="auto"/>
      </w:pPr>
      <w:r>
        <w:t>Abbreviations: AMD, age-related macular degeneration; CI, confidence interval; OCT, optical coherence tomography.</w:t>
      </w:r>
    </w:p>
    <w:p w14:paraId="4E0796AB" w14:textId="77777777" w:rsidR="00B7016B" w:rsidRDefault="00B7016B">
      <w:pPr>
        <w:spacing w:before="240" w:after="240" w:line="360" w:lineRule="auto"/>
      </w:pPr>
    </w:p>
    <w:p w14:paraId="142BFA49" w14:textId="77777777" w:rsidR="00B7016B" w:rsidRDefault="00000000">
      <w:pPr>
        <w:spacing w:before="240" w:after="240" w:line="360" w:lineRule="auto"/>
        <w:rPr>
          <w:b/>
          <w:bCs/>
        </w:rPr>
      </w:pPr>
      <w:r>
        <w:br w:type="page"/>
      </w:r>
    </w:p>
    <w:p w14:paraId="762D8607" w14:textId="77777777" w:rsidR="00B7016B" w:rsidRDefault="00000000">
      <w:pPr>
        <w:spacing w:before="240" w:after="240" w:line="360" w:lineRule="auto"/>
        <w:rPr>
          <w:b/>
          <w:bCs/>
        </w:rPr>
      </w:pPr>
      <w:r>
        <w:rPr>
          <w:b/>
          <w:bCs/>
        </w:rPr>
        <w:lastRenderedPageBreak/>
        <w:t>Supplementary Figure 5. Task 2 (DR-CFP) retrieval performance for individual clinical signs across the internal and external datasets.</w:t>
      </w:r>
    </w:p>
    <w:p w14:paraId="4B7BADA2" w14:textId="77777777" w:rsidR="00B7016B" w:rsidRDefault="00000000">
      <w:pPr>
        <w:spacing w:before="240" w:after="240" w:line="360" w:lineRule="auto"/>
        <w:rPr>
          <w:b/>
          <w:bCs/>
        </w:rPr>
      </w:pPr>
      <w:r>
        <w:rPr>
          <w:b/>
          <w:bCs/>
          <w:noProof/>
        </w:rPr>
        <w:drawing>
          <wp:inline distT="114300" distB="114300" distL="114300" distR="114300" wp14:anchorId="7548DFD7" wp14:editId="07C03697">
            <wp:extent cx="6451290" cy="8636000"/>
            <wp:effectExtent l="0" t="0" r="0" b="0"/>
            <wp:docPr id="4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6451290" cy="8636000"/>
                    </a:xfrm>
                    <a:prstGeom prst="rect">
                      <a:avLst/>
                    </a:prstGeom>
                    <a:ln/>
                  </pic:spPr>
                </pic:pic>
              </a:graphicData>
            </a:graphic>
          </wp:inline>
        </w:drawing>
      </w:r>
    </w:p>
    <w:p w14:paraId="62C0F9B0" w14:textId="77777777" w:rsidR="00B7016B" w:rsidRDefault="00000000">
      <w:pPr>
        <w:spacing w:before="240" w:after="240" w:line="360" w:lineRule="auto"/>
      </w:pPr>
      <w:r>
        <w:lastRenderedPageBreak/>
        <w:t>Mean average precision (mAP) for point-guided retrieval of each of seven clinical signs, shown separately for the internal dataset (HYU-DR-CFP, within-dataset retrieval) and each external dataset (CIEMS, BES, IDRiD, and UKB, cross-dataset retrieval), and for the low-resolution (224 px) and high-resolution (512/518 px) settings. Each query consists of a single image annotated for one clinical sign, with one or more points of that sign (for example, one or several hard exudates). Bars represent individual foundation models, colour-coded as in the key: orange bars indicate ophthalmic foundation models, and blue bars indicate general-purpose foundation models. Error bars denote 95% bootstrap confidence intervals from 2000 replicates, with resampling performed at the patient level over the query images. Dashed lines mark the chance level, given by the prevalence of each sign in the corresponding gallery. Shaded panels labelled n.a. indicate signs that were not annotated in that dataset. Note the differing y-axis scales across datasets.</w:t>
      </w:r>
    </w:p>
    <w:p w14:paraId="2037CCFA" w14:textId="77777777" w:rsidR="00B7016B" w:rsidRDefault="00000000">
      <w:pPr>
        <w:spacing w:before="240" w:after="240" w:line="360" w:lineRule="auto"/>
      </w:pPr>
      <w:r>
        <w:t>Abbreviations: BES, Beijing Eye Study; CFP, colour fundus photograph; CIEMS, Central India Eye and Medical Study; DR, diabetic retinopathy; IDRiD, Indian Diabetic Retinopathy Image Dataset; IRMA, intraretinal microvascular abnormality; mAP, mean average precision; UKB, UK Biobank.</w:t>
      </w:r>
    </w:p>
    <w:p w14:paraId="17BF45D9" w14:textId="77777777" w:rsidR="00B7016B" w:rsidRDefault="00B7016B">
      <w:pPr>
        <w:spacing w:before="240" w:after="240" w:line="360" w:lineRule="auto"/>
      </w:pPr>
    </w:p>
    <w:p w14:paraId="1FE7640F" w14:textId="77777777" w:rsidR="00B7016B" w:rsidRDefault="00B7016B">
      <w:pPr>
        <w:spacing w:before="240" w:after="240" w:line="360" w:lineRule="auto"/>
      </w:pPr>
    </w:p>
    <w:p w14:paraId="0AF65F35" w14:textId="77777777" w:rsidR="00B7016B" w:rsidRDefault="00000000">
      <w:pPr>
        <w:spacing w:before="240" w:after="240" w:line="360" w:lineRule="auto"/>
        <w:rPr>
          <w:b/>
          <w:bCs/>
        </w:rPr>
      </w:pPr>
      <w:r>
        <w:br w:type="page"/>
      </w:r>
    </w:p>
    <w:p w14:paraId="28AF19DF" w14:textId="77777777" w:rsidR="00B7016B" w:rsidRDefault="00000000">
      <w:pPr>
        <w:spacing w:before="240" w:after="240" w:line="360" w:lineRule="auto"/>
      </w:pPr>
      <w:r>
        <w:rPr>
          <w:b/>
          <w:bCs/>
        </w:rPr>
        <w:lastRenderedPageBreak/>
        <w:t>Supplementary Figure 6. Task 2 (AMD-CFP) retrieval performance for individual clinical signs across the internal and external datasets.</w:t>
      </w:r>
    </w:p>
    <w:p w14:paraId="60803A87" w14:textId="77777777" w:rsidR="00B7016B" w:rsidRDefault="00000000">
      <w:pPr>
        <w:spacing w:before="240" w:after="240" w:line="360" w:lineRule="auto"/>
      </w:pPr>
      <w:r>
        <w:rPr>
          <w:noProof/>
        </w:rPr>
        <w:drawing>
          <wp:inline distT="114300" distB="114300" distL="114300" distR="114300" wp14:anchorId="73FAFF84" wp14:editId="7F2961C9">
            <wp:extent cx="6451290" cy="6413500"/>
            <wp:effectExtent l="0" t="0" r="0" b="0"/>
            <wp:docPr id="4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6451290" cy="6413500"/>
                    </a:xfrm>
                    <a:prstGeom prst="rect">
                      <a:avLst/>
                    </a:prstGeom>
                    <a:ln/>
                  </pic:spPr>
                </pic:pic>
              </a:graphicData>
            </a:graphic>
          </wp:inline>
        </w:drawing>
      </w:r>
    </w:p>
    <w:p w14:paraId="325247ED" w14:textId="77777777" w:rsidR="00B7016B" w:rsidRDefault="00000000">
      <w:pPr>
        <w:spacing w:before="240" w:after="240" w:line="360" w:lineRule="auto"/>
      </w:pPr>
      <w:r>
        <w:t xml:space="preserve">Mean average precision (mAP) for point-guided retrieval of each of eight clinical signs, shown separately for the internal dataset (HYU-AMD-CFP, within-dataset retrieval) and each external dataset (BES, ADAM, and UKB, cross-dataset retrieval), and for the low-resolution (224 px) and high-resolution (512/518 px) settings. Each query consists of a single image annotated for one clinical sign, with one or more points of that sign (for example, one or several large drusen). Bars represent individual foundation models, colour-coded as in the key: orange bars indicate ophthalmic foundation models, and blue bars indicate general-purpose foundation models. Error bars denote 95% bootstrap confidence intervals from 2000 replicates, with resampling performed at the patient level over the query images. Dashed lines mark the chance level, given by the prevalence of each sign in the corresponding gallery. Shaded </w:t>
      </w:r>
      <w:r>
        <w:lastRenderedPageBreak/>
        <w:t>panels labelled n.a. indicate signs that were not annotated in that dataset. Note the differing y-axis scales across datasets.</w:t>
      </w:r>
    </w:p>
    <w:p w14:paraId="199E24BE" w14:textId="77777777" w:rsidR="00B7016B" w:rsidRDefault="00000000">
      <w:pPr>
        <w:spacing w:before="240" w:after="240" w:line="360" w:lineRule="auto"/>
      </w:pPr>
      <w:r>
        <w:t>Abbreviations: ADAM, Automatic Detection challenge on Age-related Macular degeneration; AMD, age-related macular degeneration; BES, Beijing Eye Study; CFP, colour fundus photograph; CNV, choroidal neovascularisation; mAP, mean average precision; UKB, UK Biobank.</w:t>
      </w:r>
      <w:r>
        <w:br w:type="page"/>
      </w:r>
    </w:p>
    <w:p w14:paraId="62F4581A" w14:textId="77777777" w:rsidR="00B7016B" w:rsidRDefault="00000000">
      <w:pPr>
        <w:spacing w:before="240" w:after="240" w:line="360" w:lineRule="auto"/>
      </w:pPr>
      <w:r>
        <w:rPr>
          <w:b/>
          <w:bCs/>
        </w:rPr>
        <w:lastRenderedPageBreak/>
        <w:t>Supplementary Figure 7. Task 2 (AMD-OCT) retrieval performance for individual clinical signs across the internal and external datasets.</w:t>
      </w:r>
    </w:p>
    <w:p w14:paraId="52E4B76F" w14:textId="77777777" w:rsidR="00B7016B" w:rsidRDefault="00000000">
      <w:pPr>
        <w:spacing w:before="240" w:after="240" w:line="360" w:lineRule="auto"/>
      </w:pPr>
      <w:r>
        <w:rPr>
          <w:noProof/>
        </w:rPr>
        <w:drawing>
          <wp:inline distT="114300" distB="114300" distL="114300" distR="114300" wp14:anchorId="71995F5E" wp14:editId="23EC8306">
            <wp:extent cx="6451290" cy="4622800"/>
            <wp:effectExtent l="0" t="0" r="0" b="0"/>
            <wp:docPr id="4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6451290" cy="4622800"/>
                    </a:xfrm>
                    <a:prstGeom prst="rect">
                      <a:avLst/>
                    </a:prstGeom>
                    <a:ln/>
                  </pic:spPr>
                </pic:pic>
              </a:graphicData>
            </a:graphic>
          </wp:inline>
        </w:drawing>
      </w:r>
    </w:p>
    <w:p w14:paraId="2B5DFCEF" w14:textId="77777777" w:rsidR="00B7016B" w:rsidRDefault="00000000">
      <w:pPr>
        <w:spacing w:before="240" w:after="240" w:line="360" w:lineRule="auto"/>
      </w:pPr>
      <w:r>
        <w:t>Mean average precision (mAP) for point-guided retrieval of each of seven clinical signs, shown separately for the internal dataset (HYU-AMD-OCT, within-dataset retrieval) and the external dataset (Yonsei, cross-dataset retrieval), and for the low-resolution (224 px) and high-resolution (512/518 px) settings. Each query consists of a single optical coherence tomography (OCT) B-scan annotated for one clinical sign, with one or more points of that sign. Bars represent individual foundation models, colour-coded as in the key: orange bars indicate ophthalmic foundation models, and blue bars indicate general-purpose foundation models. Error bars denote 95% bootstrap confidence intervals from 2000 replicates, with resampling performed at the patient level over the query images. Dashed lines mark the chance level, given by the prevalence of each sign in the corresponding gallery. All seven signs were annotated in both datasets.</w:t>
      </w:r>
    </w:p>
    <w:p w14:paraId="4FBD2DF9" w14:textId="77777777" w:rsidR="00B7016B" w:rsidRDefault="00000000">
      <w:pPr>
        <w:spacing w:before="240" w:after="240" w:line="360" w:lineRule="auto"/>
      </w:pPr>
      <w:r>
        <w:t>Abbreviations: AMD, age-related macular degeneration; EZ, ellipsoid zone; IRF, intraretinal fluid; mAP, mean average precision; OCT, optical coherence tomography; PED, pigment epithelial detachment; RPE, retinal pigment epithelium; SHRM, subretinal hyperreflective material; SRF, subretinal fluid.</w:t>
      </w:r>
    </w:p>
    <w:p w14:paraId="2799786F" w14:textId="77777777" w:rsidR="00B7016B" w:rsidRDefault="00B7016B">
      <w:pPr>
        <w:spacing w:before="240" w:after="240" w:line="360" w:lineRule="auto"/>
        <w:rPr>
          <w:b/>
          <w:bCs/>
        </w:rPr>
      </w:pPr>
    </w:p>
    <w:p w14:paraId="45ADFF09" w14:textId="77777777" w:rsidR="00B7016B" w:rsidRDefault="00000000">
      <w:pPr>
        <w:spacing w:before="240" w:after="240" w:line="360" w:lineRule="auto"/>
        <w:rPr>
          <w:b/>
          <w:bCs/>
        </w:rPr>
      </w:pPr>
      <w:r>
        <w:rPr>
          <w:b/>
          <w:bCs/>
        </w:rPr>
        <w:lastRenderedPageBreak/>
        <w:t>Supplementary Figure 8. Retrieval performance of attention probing, image-level features, and point-guided features taken across encoder depth.</w:t>
      </w:r>
    </w:p>
    <w:p w14:paraId="3F1DC566" w14:textId="77777777" w:rsidR="00B7016B" w:rsidRDefault="00000000">
      <w:pPr>
        <w:spacing w:before="240" w:after="240" w:line="360" w:lineRule="auto"/>
        <w:rPr>
          <w:b/>
          <w:bCs/>
        </w:rPr>
      </w:pPr>
      <w:r>
        <w:rPr>
          <w:b/>
          <w:bCs/>
          <w:noProof/>
        </w:rPr>
        <w:drawing>
          <wp:inline distT="114300" distB="114300" distL="114300" distR="114300" wp14:anchorId="436B49FB" wp14:editId="060202FF">
            <wp:extent cx="6451290" cy="3492500"/>
            <wp:effectExtent l="0" t="0" r="0" b="0"/>
            <wp:docPr id="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6451290" cy="3492500"/>
                    </a:xfrm>
                    <a:prstGeom prst="rect">
                      <a:avLst/>
                    </a:prstGeom>
                    <a:ln/>
                  </pic:spPr>
                </pic:pic>
              </a:graphicData>
            </a:graphic>
          </wp:inline>
        </w:drawing>
      </w:r>
    </w:p>
    <w:p w14:paraId="742ABEAE" w14:textId="77777777" w:rsidR="00B7016B" w:rsidRDefault="00000000">
      <w:pPr>
        <w:spacing w:after="160" w:line="360" w:lineRule="auto"/>
      </w:pPr>
      <w:r>
        <w:t>Retrieval performance, measured by mean average precision, was evaluated under the three settings shown along the x axis. In attention probing, the backbone was kept frozen and an attention-pooling head was trained for each clinical sign as a binary classification task; candidates were then ranked by the predicted probability. Pooled is the image-level feature produced by each frozen pretrained model's own aggregation scheme (class-token, average pooling or attention pooling). 25–100 % is point-guided feature aggregation applied to patch tokens taken from a given relative depth of the frozen encoder (25, 50, 75 and 100 % of network depth). In these two feature-based settings, candidates were ranked by cosine similarity to the query feature. Because the attention-probing heads were trained on all within (internal) data, only cross-cohort (external) retrieval is reported for that setting; ophthalmic foundation models retained their advantage there. Each dot and line represents one model, coloured warm for ophthalmic foundation models and cool for general-purpose vision models. Rows correspond to the three tasks (DR CFP, AMD CFP, OCT AMD), and columns to retrieval scope and input resolution; external retrieval was macro-averaged across independent cohorts so that each cohort contributes equally. The y axis is shared across columns within each row.</w:t>
      </w:r>
    </w:p>
    <w:p w14:paraId="26E2173E" w14:textId="77777777" w:rsidR="00B7016B" w:rsidRDefault="00B7016B">
      <w:pPr>
        <w:spacing w:before="240" w:after="240" w:line="360" w:lineRule="auto"/>
      </w:pPr>
    </w:p>
    <w:p w14:paraId="4AA26CEE" w14:textId="77777777" w:rsidR="00B7016B" w:rsidRDefault="00000000">
      <w:pPr>
        <w:spacing w:before="240" w:after="240" w:line="360" w:lineRule="auto"/>
        <w:rPr>
          <w:b/>
          <w:bCs/>
        </w:rPr>
      </w:pPr>
      <w:r>
        <w:br w:type="page"/>
      </w:r>
    </w:p>
    <w:p w14:paraId="5439C445" w14:textId="77777777" w:rsidR="00B7016B" w:rsidRDefault="00000000">
      <w:pPr>
        <w:spacing w:before="240" w:after="240" w:line="360" w:lineRule="auto"/>
        <w:rPr>
          <w:b/>
          <w:bCs/>
        </w:rPr>
      </w:pPr>
      <w:r>
        <w:rPr>
          <w:b/>
          <w:bCs/>
        </w:rPr>
        <w:lastRenderedPageBreak/>
        <w:t>Supplementary Figure 9. Pointing Accuracy.</w:t>
      </w:r>
    </w:p>
    <w:p w14:paraId="472B74CA" w14:textId="77777777" w:rsidR="00B7016B" w:rsidRDefault="00000000">
      <w:pPr>
        <w:spacing w:before="240" w:after="240" w:line="360" w:lineRule="auto"/>
        <w:rPr>
          <w:b/>
          <w:bCs/>
        </w:rPr>
      </w:pPr>
      <w:r>
        <w:rPr>
          <w:b/>
          <w:bCs/>
          <w:noProof/>
        </w:rPr>
        <w:drawing>
          <wp:inline distT="114300" distB="114300" distL="114300" distR="114300" wp14:anchorId="163997D4" wp14:editId="3A82536B">
            <wp:extent cx="6451290" cy="5245100"/>
            <wp:effectExtent l="0" t="0" r="0" b="0"/>
            <wp:docPr id="4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6451290" cy="5245100"/>
                    </a:xfrm>
                    <a:prstGeom prst="rect">
                      <a:avLst/>
                    </a:prstGeom>
                    <a:ln/>
                  </pic:spPr>
                </pic:pic>
              </a:graphicData>
            </a:graphic>
          </wp:inline>
        </w:drawing>
      </w:r>
    </w:p>
    <w:p w14:paraId="692C4E89" w14:textId="77777777" w:rsidR="00B7016B" w:rsidRDefault="00000000">
      <w:pPr>
        <w:spacing w:after="160" w:line="360" w:lineRule="auto"/>
      </w:pPr>
      <w:r>
        <w:t>For each gallery image, the patch most similar to the query image is selected. Pointing accuracy is defined as the proportion of these selected patches that contain the queried clinical sign, and is computed only on correct top-1 retrievals (i.e., gallery images sharing the same clinical sign as the query), so that the metric reflects localisation quality rather than retrieval correctness. Panels correspond to the three tasks (DR CFP, AMD CFP, AMD OCT). Within each cell, the upper-left triangle shows the high-resolution input (512/518 px) and the lower-right triangle the low-resolution input (224 px). Values are unweighted means across lesion types within each task.</w:t>
      </w:r>
    </w:p>
    <w:p w14:paraId="63CDBFD9" w14:textId="77777777" w:rsidR="00B7016B" w:rsidRDefault="00B7016B">
      <w:pPr>
        <w:spacing w:before="240" w:after="240" w:line="360" w:lineRule="auto"/>
      </w:pPr>
    </w:p>
    <w:sectPr w:rsidR="00B7016B">
      <w:pgSz w:w="11906" w:h="16838"/>
      <w:pgMar w:top="873" w:right="873" w:bottom="873" w:left="873"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79BBA" w14:textId="77777777" w:rsidR="009B781E" w:rsidRDefault="009B781E">
      <w:pPr>
        <w:spacing w:line="240" w:lineRule="auto"/>
      </w:pPr>
      <w:r>
        <w:separator/>
      </w:r>
    </w:p>
  </w:endnote>
  <w:endnote w:type="continuationSeparator" w:id="0">
    <w:p w14:paraId="7D679D51" w14:textId="77777777" w:rsidR="009B781E" w:rsidRDefault="009B78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C7E0B64-745F-564D-995E-072C2F180606}"/>
    <w:embedBold r:id="rId2" w:fontKey="{790B5C78-2E69-6B42-9BEB-36C03A64E0D9}"/>
    <w:embedItalic r:id="rId3" w:fontKey="{D64F8C29-9C08-444C-A27D-5775FDEB18FD}"/>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embedRegular r:id="rId4" w:fontKey="{9474E0E8-7C5B-0643-A781-7C4D739BE5DB}"/>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embedRegular r:id="rId5" w:fontKey="{3BC37C7A-CAD3-B641-BE12-61FCF22A7833}"/>
  </w:font>
  <w:font w:name="Calibri">
    <w:panose1 w:val="020F0502020204030204"/>
    <w:charset w:val="00"/>
    <w:family w:val="swiss"/>
    <w:pitch w:val="variable"/>
    <w:sig w:usb0="E0002AFF" w:usb1="C000247B" w:usb2="00000009" w:usb3="00000000" w:csb0="000001FF" w:csb1="00000000"/>
    <w:embedRegular r:id="rId6" w:fontKey="{CAACE19D-D7D6-8E47-90DD-97939032E864}"/>
  </w:font>
  <w:font w:name="Cambria">
    <w:panose1 w:val="02040503050406030204"/>
    <w:charset w:val="00"/>
    <w:family w:val="roman"/>
    <w:pitch w:val="variable"/>
    <w:sig w:usb0="E00002FF" w:usb1="400004FF" w:usb2="00000000" w:usb3="00000000" w:csb0="0000019F" w:csb1="00000000"/>
    <w:embedRegular r:id="rId7" w:fontKey="{03BE3A00-7E56-CF4D-957D-B78E106684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E968" w14:textId="368AF161" w:rsidR="00B7016B" w:rsidRDefault="00000000">
    <w:pPr>
      <w:jc w:val="right"/>
    </w:pPr>
    <w:r>
      <w:fldChar w:fldCharType="begin"/>
    </w:r>
    <w:r>
      <w:instrText>PAGE</w:instrText>
    </w:r>
    <w:r>
      <w:fldChar w:fldCharType="separate"/>
    </w:r>
    <w:r w:rsidR="000F78F2">
      <w:rPr>
        <w:noProof/>
      </w:rPr>
      <w:t>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3E34E" w14:textId="77777777" w:rsidR="009B781E" w:rsidRDefault="009B781E">
      <w:pPr>
        <w:spacing w:line="240" w:lineRule="auto"/>
      </w:pPr>
      <w:r>
        <w:separator/>
      </w:r>
    </w:p>
  </w:footnote>
  <w:footnote w:type="continuationSeparator" w:id="0">
    <w:p w14:paraId="40A0A161" w14:textId="77777777" w:rsidR="009B781E" w:rsidRDefault="009B78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704D" w14:textId="77777777" w:rsidR="00B7016B" w:rsidRDefault="00B7016B">
    <w:pPr>
      <w:pBdr>
        <w:top w:val="nil"/>
        <w:left w:val="nil"/>
        <w:bottom w:val="nil"/>
        <w:right w:val="nil"/>
      </w:pBdr>
      <w:tabs>
        <w:tab w:val="center" w:pos="4513"/>
        <w:tab w:val="right" w:pos="902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16B"/>
    <w:rsid w:val="000F78F2"/>
    <w:rsid w:val="001E0017"/>
    <w:rsid w:val="002F6AC5"/>
    <w:rsid w:val="00394614"/>
    <w:rsid w:val="003B4967"/>
    <w:rsid w:val="00467F4C"/>
    <w:rsid w:val="00503D0E"/>
    <w:rsid w:val="005C2331"/>
    <w:rsid w:val="006B5612"/>
    <w:rsid w:val="006B5DE0"/>
    <w:rsid w:val="006D2C38"/>
    <w:rsid w:val="00701714"/>
    <w:rsid w:val="00782BC2"/>
    <w:rsid w:val="00806F31"/>
    <w:rsid w:val="00830217"/>
    <w:rsid w:val="008814CF"/>
    <w:rsid w:val="00937D40"/>
    <w:rsid w:val="009B2362"/>
    <w:rsid w:val="009B781E"/>
    <w:rsid w:val="00A036D4"/>
    <w:rsid w:val="00A92E4C"/>
    <w:rsid w:val="00B53157"/>
    <w:rsid w:val="00B7016B"/>
    <w:rsid w:val="00BA7CE9"/>
    <w:rsid w:val="00C5349B"/>
    <w:rsid w:val="00C6561D"/>
    <w:rsid w:val="00D065E7"/>
    <w:rsid w:val="00D1255E"/>
    <w:rsid w:val="00DD0392"/>
    <w:rsid w:val="00E54E88"/>
    <w:rsid w:val="00E73460"/>
    <w:rsid w:val="00EB7716"/>
    <w:rsid w:val="00EE278B"/>
    <w:rsid w:val="00F36F3D"/>
    <w:rsid w:val="00FF24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79850"/>
  <w15:docId w15:val="{49C28E0B-7B72-B04E-9139-4CF22915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GB"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after="320" w:line="360" w:lineRule="auto"/>
      <w:outlineLvl w:val="0"/>
    </w:pPr>
    <w:rPr>
      <w:b/>
      <w:bCs/>
      <w:sz w:val="36"/>
      <w:szCs w:val="36"/>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Pr>
  </w:style>
  <w:style w:type="paragraph" w:styleId="aa">
    <w:name w:val="Subtitle"/>
    <w:basedOn w:val="a"/>
    <w:next w:val="a"/>
    <w:uiPriority w:val="11"/>
    <w:qFormat/>
    <w:pPr>
      <w:keepNext/>
      <w:keepLines/>
      <w:spacing w:after="320"/>
    </w:pPr>
    <w:rPr>
      <w:color w:val="666666"/>
      <w:sz w:val="30"/>
      <w:szCs w:val="30"/>
    </w:r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table" w:customStyle="1" w:styleId="ad">
    <w:basedOn w:val="TableNormal1"/>
    <w:tblPr>
      <w:tblStyleRowBandSize w:val="1"/>
      <w:tblStyleColBandSize w:val="1"/>
    </w:tblPr>
  </w:style>
  <w:style w:type="paragraph" w:styleId="ae">
    <w:name w:val="Revision"/>
    <w:hidden/>
    <w:uiPriority w:val="99"/>
    <w:semiHidden/>
    <w:rsid w:val="002F6AC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91149">
      <w:bodyDiv w:val="1"/>
      <w:marLeft w:val="0"/>
      <w:marRight w:val="0"/>
      <w:marTop w:val="0"/>
      <w:marBottom w:val="0"/>
      <w:divBdr>
        <w:top w:val="none" w:sz="0" w:space="0" w:color="auto"/>
        <w:left w:val="none" w:sz="0" w:space="0" w:color="auto"/>
        <w:bottom w:val="none" w:sz="0" w:space="0" w:color="auto"/>
        <w:right w:val="none" w:sz="0" w:space="0" w:color="auto"/>
      </w:divBdr>
    </w:div>
    <w:div w:id="496965489">
      <w:bodyDiv w:val="1"/>
      <w:marLeft w:val="0"/>
      <w:marRight w:val="0"/>
      <w:marTop w:val="0"/>
      <w:marBottom w:val="0"/>
      <w:divBdr>
        <w:top w:val="none" w:sz="0" w:space="0" w:color="auto"/>
        <w:left w:val="none" w:sz="0" w:space="0" w:color="auto"/>
        <w:bottom w:val="none" w:sz="0" w:space="0" w:color="auto"/>
        <w:right w:val="none" w:sz="0" w:space="0" w:color="auto"/>
      </w:divBdr>
    </w:div>
    <w:div w:id="1078868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yzxPSWUmTuuzl3LpPRqPBg9Svg==">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iUKATcSIAoeCAdCGgoPVGltZXMgTmV3IFJvbWFuEgdHdW5nc3VoGiUKATgSIAoeCAdCGgoPVGltZXMgTmV3IFJvbWFuEgdHdW5nc3VoGiUKATkSIAoeCAdCGgoPVGltZXMgTmV3IFJvbWFuEgdHdW5nc3Vo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3A1085-F2ED-214A-A9BF-A403CC5C8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15</Pages>
  <Words>2214</Words>
  <Characters>12623</Characters>
  <Application>Microsoft Office Word</Application>
  <DocSecurity>0</DocSecurity>
  <Lines>105</Lines>
  <Paragraphs>29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김현민(컴퓨터공학과)</cp:lastModifiedBy>
  <cp:revision>29</cp:revision>
  <dcterms:created xsi:type="dcterms:W3CDTF">2026-08-19T15:19:00Z</dcterms:created>
  <dcterms:modified xsi:type="dcterms:W3CDTF">2026-08-19T16:18:00Z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AcceptedDate</vt:lpwstr>
  </property>
  <property fmtid="{D5CDD505-2E9C-101B-9397-08002B2CF9AE}" pid="3" name="DOI">
    <vt:lpwstr>DOI</vt:lpwstr>
  </property>
  <property fmtid="{D5CDD505-2E9C-101B-9397-08002B2CF9AE}" pid="4" name="epub">
    <vt:lpwstr>epub</vt:lpwstr>
  </property>
  <property fmtid="{D5CDD505-2E9C-101B-9397-08002B2CF9AE}" pid="5" name="JournalID">
    <vt:lpwstr>JournalID</vt:lpwstr>
  </property>
  <property fmtid="{D5CDD505-2E9C-101B-9397-08002B2CF9AE}" pid="6" name="Merops -Original extension">
    <vt:lpwstr>docx</vt:lpwstr>
  </property>
  <property fmtid="{D5CDD505-2E9C-101B-9397-08002B2CF9AE}" pid="7" name="Merops change count">
    <vt:lpwstr>473</vt:lpwstr>
  </property>
  <property fmtid="{D5CDD505-2E9C-101B-9397-08002B2CF9AE}" pid="8" name="Merops client version">
    <vt:lpwstr>Merops client version</vt:lpwstr>
  </property>
  <property fmtid="{D5CDD505-2E9C-101B-9397-08002B2CF9AE}" pid="9" name="Merops comment count">
    <vt:lpwstr>63</vt:lpwstr>
  </property>
  <property fmtid="{D5CDD505-2E9C-101B-9397-08002B2CF9AE}" pid="10" name="Merops DOI links count">
    <vt:lpwstr>0</vt:lpwstr>
  </property>
  <property fmtid="{D5CDD505-2E9C-101B-9397-08002B2CF9AE}" pid="11" name="Merops email addresses count">
    <vt:lpwstr>4</vt:lpwstr>
  </property>
  <property fmtid="{D5CDD505-2E9C-101B-9397-08002B2CF9AE}" pid="12" name="Merops figures count">
    <vt:lpwstr>10</vt:lpwstr>
  </property>
  <property fmtid="{D5CDD505-2E9C-101B-9397-08002B2CF9AE}" pid="13" name="Merops footnotes/endnotes count">
    <vt:lpwstr>0</vt:lpwstr>
  </property>
  <property fmtid="{D5CDD505-2E9C-101B-9397-08002B2CF9AE}" pid="14" name="Merops graphics count">
    <vt:lpwstr>11</vt:lpwstr>
  </property>
  <property fmtid="{D5CDD505-2E9C-101B-9397-08002B2CF9AE}" pid="15" name="Merops input file path">
    <vt:lpwstr>crm_3dc4d3f3-0c4e-4945-9046-42d3398a8301.docx</vt:lpwstr>
  </property>
  <property fmtid="{D5CDD505-2E9C-101B-9397-08002B2CF9AE}" pid="16" name="Merops intra-document links count">
    <vt:lpwstr>0</vt:lpwstr>
  </property>
  <property fmtid="{D5CDD505-2E9C-101B-9397-08002B2CF9AE}" pid="17" name="Merops item path">
    <vt:lpwstr>MG-Session/On-20260728/I:8e64d5ac-f8a9-4d52-bfb0-f6af85dd2827</vt:lpwstr>
  </property>
  <property fmtid="{D5CDD505-2E9C-101B-9397-08002B2CF9AE}" pid="18" name="Merops processed date">
    <vt:lpwstr>2026/07/28 01:04:20 AM</vt:lpwstr>
  </property>
  <property fmtid="{D5CDD505-2E9C-101B-9397-08002B2CF9AE}" pid="19" name="Merops PubMed links count">
    <vt:lpwstr>0</vt:lpwstr>
  </property>
  <property fmtid="{D5CDD505-2E9C-101B-9397-08002B2CF9AE}" pid="20" name="Merops references count">
    <vt:lpwstr>47</vt:lpwstr>
  </property>
  <property fmtid="{D5CDD505-2E9C-101B-9397-08002B2CF9AE}" pid="21" name="Merops Scopus links count">
    <vt:lpwstr>0</vt:lpwstr>
  </property>
  <property fmtid="{D5CDD505-2E9C-101B-9397-08002B2CF9AE}" pid="22" name="Merops server path">
    <vt:lpwstr>Merops server path</vt:lpwstr>
  </property>
  <property fmtid="{D5CDD505-2E9C-101B-9397-08002B2CF9AE}" pid="23" name="Merops Standard Set">
    <vt:lpwstr>merops/preset-v1/fp_nature-biomedical-engineering</vt:lpwstr>
  </property>
  <property fmtid="{D5CDD505-2E9C-101B-9397-08002B2CF9AE}" pid="24" name="Merops Standard Set modified">
    <vt:lpwstr>Merops Standard Set modified</vt:lpwstr>
  </property>
  <property fmtid="{D5CDD505-2E9C-101B-9397-08002B2CF9AE}" pid="25" name="Merops tables count">
    <vt:lpwstr>2</vt:lpwstr>
  </property>
  <property fmtid="{D5CDD505-2E9C-101B-9397-08002B2CF9AE}" pid="26" name="Merops word count">
    <vt:lpwstr>10618</vt:lpwstr>
  </property>
  <property fmtid="{D5CDD505-2E9C-101B-9397-08002B2CF9AE}" pid="27" name="Merops WorldCat links count">
    <vt:lpwstr>0</vt:lpwstr>
  </property>
  <property fmtid="{D5CDD505-2E9C-101B-9397-08002B2CF9AE}" pid="28" name="ppub">
    <vt:lpwstr>ppub</vt:lpwstr>
  </property>
  <property fmtid="{D5CDD505-2E9C-101B-9397-08002B2CF9AE}" pid="29" name="Publisher">
    <vt:lpwstr>Publisher</vt:lpwstr>
  </property>
  <property fmtid="{D5CDD505-2E9C-101B-9397-08002B2CF9AE}" pid="30" name="Publisher-location">
    <vt:lpwstr>Publisher-location</vt:lpwstr>
  </property>
  <property fmtid="{D5CDD505-2E9C-101B-9397-08002B2CF9AE}" pid="31" name="ReceivedDate">
    <vt:lpwstr>ReceivedDate</vt:lpwstr>
  </property>
  <property fmtid="{D5CDD505-2E9C-101B-9397-08002B2CF9AE}" pid="32" name="Reference citation style">
    <vt:lpwstr>numerical</vt:lpwstr>
  </property>
  <property fmtid="{D5CDD505-2E9C-101B-9397-08002B2CF9AE}" pid="33" name="Source">
    <vt:lpwstr>Source</vt:lpwstr>
  </property>
  <property fmtid="{D5CDD505-2E9C-101B-9397-08002B2CF9AE}" pid="34" name="Source-abbreviated">
    <vt:lpwstr>Source-abbreviated</vt:lpwstr>
  </property>
  <property fmtid="{D5CDD505-2E9C-101B-9397-08002B2CF9AE}" pid="35" name="Source-short">
    <vt:lpwstr>Source-short</vt:lpwstr>
  </property>
  <property fmtid="{D5CDD505-2E9C-101B-9397-08002B2CF9AE}" pid="36" name="Subject">
    <vt:lpwstr>Subject</vt:lpwstr>
  </property>
</Properties>
</file>