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E934F" w14:textId="77777777" w:rsidR="009466CB" w:rsidRDefault="009466CB" w:rsidP="009466CB">
      <w:pPr>
        <w:spacing w:line="240" w:lineRule="auto"/>
        <w:rPr>
          <w:rFonts w:cs="Times New Roman"/>
          <w:b/>
          <w:bCs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 figure caption</w:t>
      </w:r>
    </w:p>
    <w:p w14:paraId="71D5FE23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>Figure 1. Data processing pipeline and annotation statistics.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sz w:val="21"/>
          <w:szCs w:val="21"/>
        </w:rPr>
        <w:t>(</w:t>
      </w:r>
      <w:r>
        <w:rPr>
          <w:rFonts w:eastAsia="SimSun" w:cs="Times New Roman" w:hint="eastAsia"/>
          <w:sz w:val="21"/>
          <w:szCs w:val="21"/>
          <w:lang w:eastAsia="zh-CN"/>
        </w:rPr>
        <w:t>A</w:t>
      </w:r>
      <w:r>
        <w:rPr>
          <w:rFonts w:cs="Times New Roman"/>
          <w:sz w:val="21"/>
          <w:szCs w:val="21"/>
        </w:rPr>
        <w:t>) Flowchart of the curation workflow, from raw video sources (HumanSurg: 1,129 frames, 8,562 polygons; RobotSurg: 1,780 frames, 10,368 polygons) through phase selection, frame sampling, and annotation, yielding 2,909 frames with 18,930 polygons. An additional local set (899 JSON / 901 images) is excluded from the main totals.(</w:t>
      </w:r>
      <w:r>
        <w:rPr>
          <w:rFonts w:eastAsia="SimSun" w:cs="Times New Roman" w:hint="eastAsia"/>
          <w:sz w:val="21"/>
          <w:szCs w:val="21"/>
          <w:lang w:eastAsia="zh-CN"/>
        </w:rPr>
        <w:t>B</w:t>
      </w:r>
      <w:r>
        <w:rPr>
          <w:rFonts w:cs="Times New Roman"/>
          <w:sz w:val="21"/>
          <w:szCs w:val="21"/>
        </w:rPr>
        <w:t>) Image counts across training, validation, and test splits for instruments (2,895) and anatomy (2,855).</w:t>
      </w:r>
      <w:r>
        <w:rPr>
          <w:rFonts w:eastAsia="SimSun" w:cs="Times New Roman" w:hint="eastAsia"/>
          <w:sz w:val="21"/>
          <w:szCs w:val="21"/>
          <w:lang w:eastAsia="zh-CN"/>
        </w:rPr>
        <w:t xml:space="preserve"> </w:t>
      </w:r>
      <w:r>
        <w:rPr>
          <w:rFonts w:cs="Times New Roman"/>
          <w:sz w:val="21"/>
          <w:szCs w:val="21"/>
        </w:rPr>
        <w:t>(</w:t>
      </w:r>
      <w:r>
        <w:rPr>
          <w:rFonts w:eastAsia="SimSun" w:cs="Times New Roman" w:hint="eastAsia"/>
          <w:sz w:val="21"/>
          <w:szCs w:val="21"/>
          <w:lang w:eastAsia="zh-CN"/>
        </w:rPr>
        <w:t>C</w:t>
      </w:r>
      <w:r>
        <w:rPr>
          <w:rFonts w:cs="Times New Roman"/>
          <w:sz w:val="21"/>
          <w:szCs w:val="21"/>
        </w:rPr>
        <w:t>) Corresponding valid segmentation masks for instruments (7,456) and anatomy (11,473).</w:t>
      </w:r>
    </w:p>
    <w:p w14:paraId="398366A6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2. Instrument category distribution. </w:t>
      </w:r>
      <w:r>
        <w:rPr>
          <w:rFonts w:cs="Times New Roman"/>
          <w:sz w:val="21"/>
          <w:szCs w:val="21"/>
        </w:rPr>
        <w:t xml:space="preserve">Stacked bar chart showing polygon instances for each of the 7 instrument categories, stratified by video source. The distribution is highly imbalanced, with atraumatic grasper and ultrasonic scalpel accounting for the majority of instances. </w:t>
      </w:r>
    </w:p>
    <w:p w14:paraId="0105B15F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3. Organ and anatomy category distribution. </w:t>
      </w:r>
      <w:r>
        <w:rPr>
          <w:rFonts w:cs="Times New Roman"/>
          <w:sz w:val="21"/>
          <w:szCs w:val="21"/>
        </w:rPr>
        <w:t>Stacked bar chart showing polygon instances for each of the 9 anatomical categories, stratified by video source. Stomach, vein, gallbladder, and colon are the most frequently annotated structures.</w:t>
      </w:r>
    </w:p>
    <w:p w14:paraId="52722C6D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>Figure 4. SAM-Med2D training and validation loss curves.</w:t>
      </w:r>
      <w:r>
        <w:rPr>
          <w:rFonts w:cs="Times New Roman"/>
          <w:sz w:val="21"/>
          <w:szCs w:val="21"/>
        </w:rPr>
        <w:t xml:space="preserve"> Training and validation loss trajectories for instrument (</w:t>
      </w:r>
      <w:r>
        <w:rPr>
          <w:rFonts w:eastAsia="SimSun" w:cs="Times New Roman" w:hint="eastAsia"/>
          <w:sz w:val="21"/>
          <w:szCs w:val="21"/>
          <w:lang w:eastAsia="zh-CN"/>
        </w:rPr>
        <w:t>A</w:t>
      </w:r>
      <w:r>
        <w:rPr>
          <w:rFonts w:cs="Times New Roman"/>
          <w:sz w:val="21"/>
          <w:szCs w:val="21"/>
        </w:rPr>
        <w:t>) and anatomy (</w:t>
      </w:r>
      <w:r>
        <w:rPr>
          <w:rFonts w:eastAsia="SimSun" w:cs="Times New Roman" w:hint="eastAsia"/>
          <w:sz w:val="21"/>
          <w:szCs w:val="21"/>
          <w:lang w:eastAsia="zh-CN"/>
        </w:rPr>
        <w:t>B</w:t>
      </w:r>
      <w:r>
        <w:rPr>
          <w:rFonts w:cs="Times New Roman"/>
          <w:sz w:val="21"/>
          <w:szCs w:val="21"/>
        </w:rPr>
        <w:t>) segmentation during fine-tuning, showing consistent convergence without overfitting.</w:t>
      </w:r>
    </w:p>
    <w:p w14:paraId="011F442B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>5</w:t>
      </w:r>
      <w:r>
        <w:rPr>
          <w:rFonts w:cs="Times New Roman"/>
          <w:b/>
          <w:bCs/>
          <w:sz w:val="21"/>
          <w:szCs w:val="21"/>
        </w:rPr>
        <w:t xml:space="preserve">. 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DeepLabV3+ held-out test performance and qualitative segmentation comparison. </w:t>
      </w:r>
      <w:r>
        <w:rPr>
          <w:rFonts w:eastAsia="SimSun" w:cs="Times New Roman" w:hint="eastAsia"/>
          <w:sz w:val="21"/>
          <w:szCs w:val="21"/>
          <w:lang w:eastAsia="zh-CN"/>
        </w:rPr>
        <w:t xml:space="preserve">(A) </w:t>
      </w:r>
      <w:r>
        <w:rPr>
          <w:rFonts w:cs="Times New Roman"/>
          <w:sz w:val="21"/>
          <w:szCs w:val="21"/>
        </w:rPr>
        <w:t xml:space="preserve">DeepLabV3+ held-out test performance. Comparison of DeepLabV3+ and SAM-Med2D on the four segmentation metrics, with qualitative panels showing representative DeepLabV3+ instrument </w:t>
      </w:r>
      <w:r>
        <w:rPr>
          <w:rFonts w:eastAsia="SimSun" w:cs="Times New Roman" w:hint="eastAsia"/>
          <w:sz w:val="21"/>
          <w:szCs w:val="21"/>
          <w:lang w:eastAsia="zh-CN"/>
        </w:rPr>
        <w:t xml:space="preserve">(B) </w:t>
      </w:r>
      <w:r>
        <w:rPr>
          <w:rFonts w:cs="Times New Roman"/>
          <w:sz w:val="21"/>
          <w:szCs w:val="21"/>
        </w:rPr>
        <w:t>and anatomy segmentation masks</w:t>
      </w:r>
      <w:r>
        <w:rPr>
          <w:rFonts w:eastAsia="SimSun" w:cs="Times New Roman" w:hint="eastAsia"/>
          <w:sz w:val="21"/>
          <w:szCs w:val="21"/>
          <w:lang w:eastAsia="zh-CN"/>
        </w:rPr>
        <w:t xml:space="preserve"> (C)</w:t>
      </w:r>
      <w:r>
        <w:rPr>
          <w:rFonts w:cs="Times New Roman"/>
          <w:sz w:val="21"/>
          <w:szCs w:val="21"/>
        </w:rPr>
        <w:t>.</w:t>
      </w:r>
    </w:p>
    <w:p w14:paraId="2786DA26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>6</w:t>
      </w:r>
      <w:r>
        <w:rPr>
          <w:rFonts w:cs="Times New Roman"/>
          <w:b/>
          <w:bCs/>
          <w:sz w:val="21"/>
          <w:szCs w:val="21"/>
        </w:rPr>
        <w:t xml:space="preserve">. Per-class SAM-Med2D segmentation IoU and Dice scores. </w:t>
      </w:r>
      <w:r>
        <w:rPr>
          <w:rFonts w:cs="Times New Roman"/>
          <w:sz w:val="21"/>
          <w:szCs w:val="21"/>
        </w:rPr>
        <w:t>Per-class breakdown for all 16 instrument and anatomy categories on the held-out test set, showing IoU and Dice with sample counts. Categories with fewer samples generally exhibit lower and more variable scores.</w:t>
      </w:r>
    </w:p>
    <w:p w14:paraId="7B6BA3F1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>7</w:t>
      </w:r>
      <w:r>
        <w:rPr>
          <w:rFonts w:cs="Times New Roman"/>
          <w:b/>
          <w:bCs/>
          <w:sz w:val="21"/>
          <w:szCs w:val="21"/>
        </w:rPr>
        <w:t>. Qualitative segmentation examples with error maps.</w:t>
      </w:r>
      <w:r>
        <w:rPr>
          <w:rFonts w:cs="Times New Roman"/>
          <w:sz w:val="21"/>
          <w:szCs w:val="21"/>
        </w:rPr>
        <w:t xml:space="preserve"> Best-case and worst-case results for instrument (ultrasonic scalpel, Dice 0.300 [low]; atraumatic grasper, Dice 0.987 [high]) and anatomy (pancreas, Dice 0.000 [low]; colon, Dice 0.992 [high]) categories. Each panel shows original image, ground-truth overlay, prediction overlay, and pixel-level error map.</w:t>
      </w:r>
    </w:p>
    <w:p w14:paraId="6B7D4C79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>Figure 8. SurgVLM fold-wise triplet recognition metrics.</w:t>
      </w:r>
      <w:r>
        <w:rPr>
          <w:rFonts w:cs="Times New Roman"/>
          <w:sz w:val="21"/>
          <w:szCs w:val="21"/>
        </w:rPr>
        <w:t xml:space="preserve"> Per-fold metrics (mAP, precision, recall, F1) across all 11 temporal-block cross-validation folds (</w:t>
      </w:r>
      <w:r>
        <w:rPr>
          <w:rFonts w:eastAsia="SimSun" w:cs="Times New Roman" w:hint="eastAsia"/>
          <w:sz w:val="21"/>
          <w:szCs w:val="21"/>
          <w:lang w:eastAsia="zh-CN"/>
        </w:rPr>
        <w:t>A</w:t>
      </w:r>
      <w:r>
        <w:rPr>
          <w:rFonts w:cs="Times New Roman"/>
          <w:sz w:val="21"/>
          <w:szCs w:val="21"/>
        </w:rPr>
        <w:t>), with validation sample counts per fold (</w:t>
      </w:r>
      <w:r>
        <w:rPr>
          <w:rFonts w:eastAsia="SimSun" w:cs="Times New Roman" w:hint="eastAsia"/>
          <w:sz w:val="21"/>
          <w:szCs w:val="21"/>
          <w:lang w:eastAsia="zh-CN"/>
        </w:rPr>
        <w:t>B</w:t>
      </w:r>
      <w:r>
        <w:rPr>
          <w:rFonts w:cs="Times New Roman"/>
          <w:sz w:val="21"/>
          <w:szCs w:val="21"/>
        </w:rPr>
        <w:t>). Fold-wise variability reflects the temporal distribution shift in the block-based validation protocol.</w:t>
      </w:r>
    </w:p>
    <w:p w14:paraId="40EBA030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>9</w:t>
      </w:r>
      <w:r>
        <w:rPr>
          <w:rFonts w:cs="Times New Roman"/>
          <w:b/>
          <w:bCs/>
          <w:sz w:val="21"/>
          <w:szCs w:val="21"/>
        </w:rPr>
        <w:t>. Detailed Rendezvous baseline results.</w:t>
      </w:r>
      <w:r>
        <w:rPr>
          <w:rFonts w:cs="Times New Roman"/>
          <w:sz w:val="21"/>
          <w:szCs w:val="21"/>
        </w:rPr>
        <w:t xml:space="preserve"> Per-run breakdown of three logged Rendezvous runs (Run 0–2), showing IAP, VAP, TAP, and IVT mAP. All runs yielded comparable results (IVT mAP: 0.131–0.146), substantially below SurgVLM.</w:t>
      </w:r>
    </w:p>
    <w:p w14:paraId="2A6D3060" w14:textId="77777777" w:rsidR="009466CB" w:rsidRDefault="009466CB" w:rsidP="009466CB">
      <w:pPr>
        <w:spacing w:line="240" w:lineRule="auto"/>
        <w:rPr>
          <w:rFonts w:cs="Times New Roman"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>10</w:t>
      </w:r>
      <w:r>
        <w:rPr>
          <w:rFonts w:cs="Times New Roman"/>
          <w:b/>
          <w:bCs/>
          <w:sz w:val="21"/>
          <w:szCs w:val="21"/>
        </w:rPr>
        <w:t>. SurgVLM component-level per-class analysis.</w:t>
      </w:r>
      <w:r>
        <w:rPr>
          <w:rFonts w:cs="Times New Roman"/>
          <w:sz w:val="21"/>
          <w:szCs w:val="21"/>
        </w:rPr>
        <w:t xml:space="preserve"> (A) Component mAP across 11 folds for instrument (0.395 ± 0.085), action (0.410 ± 0.157), and target (0.296 ± 0.114) recognition. (B–D) Per-class AP for individual instrument, action, and target categories. Three instruments (ultrasonic scalpel, atraumatic grasper [surgeon and assistant]) and two actions (retract, cut) achieved near-perfect AP, while rare categories scored near zero.</w:t>
      </w:r>
    </w:p>
    <w:p w14:paraId="39E58BAC" w14:textId="77777777" w:rsidR="009466CB" w:rsidRDefault="009466CB" w:rsidP="009466CB">
      <w:pPr>
        <w:spacing w:line="240" w:lineRule="auto"/>
        <w:rPr>
          <w:rFonts w:cs="Times New Roman"/>
        </w:rPr>
      </w:pPr>
      <w:r>
        <w:rPr>
          <w:rFonts w:cs="Times New Roman"/>
          <w:b/>
          <w:bCs/>
          <w:sz w:val="21"/>
          <w:szCs w:val="21"/>
        </w:rPr>
        <w:t>Supplementary</w:t>
      </w:r>
      <w:r>
        <w:rPr>
          <w:rFonts w:eastAsia="SimSun" w:cs="Times New Roman" w:hint="eastAsia"/>
          <w:b/>
          <w:bCs/>
          <w:sz w:val="21"/>
          <w:szCs w:val="21"/>
          <w:lang w:eastAsia="zh-CN"/>
        </w:rPr>
        <w:t xml:space="preserve"> </w:t>
      </w:r>
      <w:r>
        <w:rPr>
          <w:rFonts w:cs="Times New Roman"/>
          <w:b/>
          <w:bCs/>
          <w:sz w:val="21"/>
          <w:szCs w:val="21"/>
        </w:rPr>
        <w:t xml:space="preserve">Figure 11. Triplet dataset subsets and object-box provenance. </w:t>
      </w:r>
      <w:r>
        <w:rPr>
          <w:rFonts w:cs="Times New Roman"/>
          <w:sz w:val="21"/>
          <w:szCs w:val="21"/>
        </w:rPr>
        <w:t>(A) Number of triplets in the full target set (n = 2,045), non-fat subset (n = 1,072), and strict non-fat box-backed subset (n = 701). (B) Object-box provenance showing the distribution of bounding boxes derived from SAM-generated masks, LabelMe polygon annotations, and pseudo-labels across the three subsets.</w:t>
      </w:r>
    </w:p>
    <w:p w14:paraId="34B6E905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CB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9466CB"/>
    <w:rsid w:val="00C321FA"/>
    <w:rsid w:val="00C97210"/>
    <w:rsid w:val="00D5015E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5CE94"/>
  <w15:chartTrackingRefBased/>
  <w15:docId w15:val="{47C83CBC-449D-4789-A870-DB8E890C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6CB"/>
    <w:pPr>
      <w:spacing w:after="120" w:line="480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6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6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6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6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6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6C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6C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6C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6C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6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6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6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6C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6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6C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6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2026-09-18T10:13:00Z</dcterms:created>
  <dcterms:modified xsi:type="dcterms:W3CDTF">2026-09-18T10:13:00Z</dcterms:modified>
</cp:coreProperties>
</file>