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A031" w14:textId="77099FF0" w:rsidR="000C6DFF" w:rsidRPr="00B30CDB" w:rsidRDefault="000C6DFF" w:rsidP="000C6DFF">
      <w:pPr>
        <w:rPr>
          <w:rFonts w:ascii="Times New Roman" w:hAnsi="Times New Roman" w:cs="Times New Roman"/>
          <w:b/>
          <w:bCs/>
        </w:rPr>
      </w:pPr>
      <w:r w:rsidRPr="00B30CDB">
        <w:rPr>
          <w:rFonts w:ascii="Times New Roman" w:hAnsi="Times New Roman" w:cs="Times New Roman"/>
          <w:b/>
          <w:bCs/>
        </w:rPr>
        <w:t xml:space="preserve">Supplementary </w:t>
      </w:r>
      <w:r w:rsidR="0038022D" w:rsidRPr="00B30CDB">
        <w:rPr>
          <w:rFonts w:ascii="Times New Roman" w:hAnsi="Times New Roman" w:cs="Times New Roman"/>
          <w:b/>
          <w:bCs/>
        </w:rPr>
        <w:t>Section</w:t>
      </w:r>
    </w:p>
    <w:p w14:paraId="5EA16324" w14:textId="6E25DD4A" w:rsidR="00D06EC7" w:rsidRPr="0038022D" w:rsidRDefault="000E01AE" w:rsidP="000C6DF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D06EC7" w:rsidRPr="0038022D">
        <w:rPr>
          <w:rFonts w:ascii="Times New Roman" w:hAnsi="Times New Roman" w:cs="Times New Roman"/>
          <w:b/>
          <w:bCs/>
        </w:rPr>
        <w:t xml:space="preserve">Table 1. Primers used </w:t>
      </w:r>
      <w:r w:rsidR="0038022D" w:rsidRPr="0038022D">
        <w:rPr>
          <w:rFonts w:ascii="Times New Roman" w:hAnsi="Times New Roman" w:cs="Times New Roman"/>
          <w:b/>
          <w:bCs/>
        </w:rPr>
        <w:t xml:space="preserve">for qPCR and </w:t>
      </w:r>
      <w:proofErr w:type="spellStart"/>
      <w:r w:rsidR="0038022D" w:rsidRPr="0038022D">
        <w:rPr>
          <w:rFonts w:ascii="Times New Roman" w:hAnsi="Times New Roman" w:cs="Times New Roman"/>
          <w:b/>
          <w:bCs/>
        </w:rPr>
        <w:t>chIP</w:t>
      </w:r>
      <w:proofErr w:type="spellEnd"/>
      <w:r w:rsidR="0038022D" w:rsidRPr="0038022D">
        <w:rPr>
          <w:rFonts w:ascii="Times New Roman" w:hAnsi="Times New Roman" w:cs="Times New Roman"/>
          <w:b/>
          <w:bCs/>
        </w:rPr>
        <w:t xml:space="preserve"> assay.</w:t>
      </w:r>
    </w:p>
    <w:tbl>
      <w:tblPr>
        <w:tblW w:w="937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123"/>
        <w:gridCol w:w="3440"/>
        <w:gridCol w:w="3729"/>
      </w:tblGrid>
      <w:tr w:rsidR="00D06EC7" w:rsidRPr="00D06EC7" w14:paraId="5E7B7FC5" w14:textId="77777777" w:rsidTr="0038022D">
        <w:trPr>
          <w:trHeight w:val="68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185AC595" w14:textId="77777777" w:rsidR="00D06EC7" w:rsidRPr="0038022D" w:rsidRDefault="00D06EC7" w:rsidP="00D06EC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Gene Target (mouse)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6D5A9335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Method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6CE4D4B" w14:textId="77777777" w:rsidR="00D06EC7" w:rsidRPr="0038022D" w:rsidRDefault="00D06EC7" w:rsidP="0038022D">
            <w:pPr>
              <w:ind w:left="-59" w:firstLine="5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Forward primer (5’ </w:t>
            </w: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ym w:font="Wingdings" w:char="F0E0"/>
            </w: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3’)</w:t>
            </w:r>
          </w:p>
        </w:tc>
        <w:tc>
          <w:tcPr>
            <w:tcW w:w="3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3780598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Reverse Primer (5’ </w:t>
            </w: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ym w:font="Wingdings" w:char="F0E0"/>
            </w: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3’)</w:t>
            </w:r>
          </w:p>
        </w:tc>
      </w:tr>
      <w:tr w:rsidR="00D06EC7" w:rsidRPr="00D06EC7" w14:paraId="20F51383" w14:textId="77777777" w:rsidTr="0038022D">
        <w:trPr>
          <w:trHeight w:val="32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2E1839B" w14:textId="77777777" w:rsidR="00D06EC7" w:rsidRPr="0038022D" w:rsidRDefault="00D06EC7" w:rsidP="00D06EC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ym w:font="Symbol" w:char="F062"/>
            </w: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-actin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60829F62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mRNA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E2956C9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GCACCACACCTTCTACAATG</w:t>
            </w:r>
          </w:p>
        </w:tc>
        <w:tc>
          <w:tcPr>
            <w:tcW w:w="3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62F30AE0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TGCTTGCTGATCCACATCTG</w:t>
            </w:r>
          </w:p>
        </w:tc>
      </w:tr>
      <w:tr w:rsidR="00D06EC7" w:rsidRPr="00D06EC7" w14:paraId="7823F2F4" w14:textId="77777777" w:rsidTr="0038022D">
        <w:trPr>
          <w:trHeight w:val="32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4FA3DC9" w14:textId="77777777" w:rsidR="00D06EC7" w:rsidRPr="0038022D" w:rsidRDefault="00D06EC7" w:rsidP="00D06EC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Nr2a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F2146E0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mRNA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AA8C6C7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TGCAAGTTACACAGCCAACC</w:t>
            </w:r>
          </w:p>
        </w:tc>
        <w:tc>
          <w:tcPr>
            <w:tcW w:w="3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7DEC478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ATCGGAAAGGCGGAGAATAG</w:t>
            </w:r>
          </w:p>
        </w:tc>
      </w:tr>
      <w:tr w:rsidR="00D06EC7" w:rsidRPr="00D06EC7" w14:paraId="54DA6D50" w14:textId="77777777" w:rsidTr="0038022D">
        <w:trPr>
          <w:trHeight w:val="32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162C5FCC" w14:textId="77777777" w:rsidR="00D06EC7" w:rsidRPr="0038022D" w:rsidRDefault="00D06EC7" w:rsidP="00D06EC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GluR1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F63D0FA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mRNA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354E5AD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GTGGTGGTGGACTGTGAATC</w:t>
            </w:r>
          </w:p>
        </w:tc>
        <w:tc>
          <w:tcPr>
            <w:tcW w:w="3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1AFC1C67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TTGGCGAGGATGTAGTGGTA</w:t>
            </w:r>
          </w:p>
        </w:tc>
      </w:tr>
      <w:tr w:rsidR="00D06EC7" w:rsidRPr="00D06EC7" w14:paraId="543B4706" w14:textId="77777777" w:rsidTr="0038022D">
        <w:trPr>
          <w:trHeight w:val="32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AA0845B" w14:textId="77777777" w:rsidR="00D06EC7" w:rsidRPr="0038022D" w:rsidRDefault="00D06EC7" w:rsidP="00D06EC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GluR2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B027F48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mRNA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9D9E066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TGTGTTTGTGAGGACTACGGCA</w:t>
            </w:r>
          </w:p>
        </w:tc>
        <w:tc>
          <w:tcPr>
            <w:tcW w:w="3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6826A79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GGATTCTTTGCCACCTTCATTC</w:t>
            </w:r>
          </w:p>
        </w:tc>
      </w:tr>
      <w:tr w:rsidR="00D06EC7" w:rsidRPr="00D06EC7" w14:paraId="1B2FFA79" w14:textId="77777777" w:rsidTr="0038022D">
        <w:trPr>
          <w:trHeight w:val="32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1208B53" w14:textId="77777777" w:rsidR="00D06EC7" w:rsidRPr="0038022D" w:rsidRDefault="00D06EC7" w:rsidP="00D06EC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PSD95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88D8FF8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mRNA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9D90C5D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GCCCTGTTTGATTACGACAA</w:t>
            </w:r>
          </w:p>
        </w:tc>
        <w:tc>
          <w:tcPr>
            <w:tcW w:w="3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26BC26FA" w14:textId="3F2D39C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CTCATAGCTCAGAACCGAGT</w:t>
            </w:r>
          </w:p>
        </w:tc>
      </w:tr>
      <w:tr w:rsidR="00D06EC7" w:rsidRPr="00D06EC7" w14:paraId="065A37A8" w14:textId="77777777" w:rsidTr="0038022D">
        <w:trPr>
          <w:trHeight w:val="32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1AA8A989" w14:textId="77777777" w:rsidR="00D06EC7" w:rsidRPr="0038022D" w:rsidRDefault="00D06EC7" w:rsidP="00D06EC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ADAM-10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37C9B60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mRNA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6E618AF6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TGCACCTGTGCCAGCTCTGATG</w:t>
            </w:r>
          </w:p>
        </w:tc>
        <w:tc>
          <w:tcPr>
            <w:tcW w:w="3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2F1CFE72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GATAGTCCGACCACTGAACTGC</w:t>
            </w:r>
          </w:p>
        </w:tc>
      </w:tr>
      <w:tr w:rsidR="00D06EC7" w:rsidRPr="00D06EC7" w14:paraId="3DF15B30" w14:textId="77777777" w:rsidTr="0038022D">
        <w:trPr>
          <w:trHeight w:val="32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E15CC25" w14:textId="77777777" w:rsidR="00D06EC7" w:rsidRPr="0038022D" w:rsidRDefault="00D06EC7" w:rsidP="00D06EC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BACE-1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5459669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mRNA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9A8145C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ACCGACGAAGAGTCGGAGGAG</w:t>
            </w:r>
          </w:p>
        </w:tc>
        <w:tc>
          <w:tcPr>
            <w:tcW w:w="3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021DB92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CACAATGCTCTTGTCATAG</w:t>
            </w:r>
          </w:p>
        </w:tc>
      </w:tr>
      <w:tr w:rsidR="00D06EC7" w:rsidRPr="00D06EC7" w14:paraId="1432F5D9" w14:textId="77777777" w:rsidTr="0038022D">
        <w:trPr>
          <w:trHeight w:val="32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6F441089" w14:textId="77777777" w:rsidR="00D06EC7" w:rsidRPr="0038022D" w:rsidRDefault="00D06EC7" w:rsidP="00D06EC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NEP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213B3848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mRNA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7EAD3D5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AGCCTCTCTGTGCTTGTCTTGC</w:t>
            </w:r>
          </w:p>
        </w:tc>
        <w:tc>
          <w:tcPr>
            <w:tcW w:w="3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6CD7CA2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CACTCATAGTAGCCTCTGGAAGGG</w:t>
            </w:r>
          </w:p>
        </w:tc>
      </w:tr>
      <w:tr w:rsidR="00D06EC7" w:rsidRPr="00D06EC7" w14:paraId="75EA5985" w14:textId="77777777" w:rsidTr="0038022D">
        <w:trPr>
          <w:trHeight w:val="433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20E32A5" w14:textId="77777777" w:rsidR="00D06EC7" w:rsidRPr="0038022D" w:rsidRDefault="00D06EC7" w:rsidP="00D06EC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ym w:font="Symbol" w:char="F062"/>
            </w: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-actin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5B988E1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chIP</w:t>
            </w:r>
            <w:proofErr w:type="spellEnd"/>
            <w:r w:rsidRPr="0038022D">
              <w:rPr>
                <w:rFonts w:ascii="Times New Roman" w:hAnsi="Times New Roman" w:cs="Times New Roman"/>
                <w:sz w:val="22"/>
                <w:szCs w:val="22"/>
              </w:rPr>
              <w:t xml:space="preserve"> (promoter)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69C50EA2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GAGACATTGAATGGGGCAGT</w:t>
            </w:r>
          </w:p>
        </w:tc>
        <w:tc>
          <w:tcPr>
            <w:tcW w:w="3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7CF472D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ATGAAGAGTTTTGGCGATGG</w:t>
            </w:r>
          </w:p>
        </w:tc>
      </w:tr>
      <w:tr w:rsidR="00D06EC7" w:rsidRPr="00D06EC7" w14:paraId="4A95A1B7" w14:textId="77777777" w:rsidTr="0038022D">
        <w:trPr>
          <w:trHeight w:val="433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A792ACB" w14:textId="77777777" w:rsidR="00D06EC7" w:rsidRPr="0038022D" w:rsidRDefault="00D06EC7" w:rsidP="00D06EC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Nr2a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56B81BD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chIP</w:t>
            </w:r>
            <w:proofErr w:type="spellEnd"/>
            <w:r w:rsidRPr="0038022D">
              <w:rPr>
                <w:rFonts w:ascii="Times New Roman" w:hAnsi="Times New Roman" w:cs="Times New Roman"/>
                <w:sz w:val="22"/>
                <w:szCs w:val="22"/>
              </w:rPr>
              <w:t xml:space="preserve"> (promoter)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185D2141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TCGGCTTGGACTGATACGTG</w:t>
            </w:r>
          </w:p>
        </w:tc>
        <w:tc>
          <w:tcPr>
            <w:tcW w:w="3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7D17C2D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AGGATAGACTGCCCCTGCAC</w:t>
            </w:r>
          </w:p>
        </w:tc>
      </w:tr>
      <w:tr w:rsidR="00D06EC7" w:rsidRPr="00D06EC7" w14:paraId="41E99588" w14:textId="77777777" w:rsidTr="0038022D">
        <w:trPr>
          <w:trHeight w:val="46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6969BB60" w14:textId="77777777" w:rsidR="00D06EC7" w:rsidRPr="0038022D" w:rsidRDefault="00D06EC7" w:rsidP="00D06EC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GluR1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1846402C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chIP</w:t>
            </w:r>
            <w:proofErr w:type="spellEnd"/>
            <w:r w:rsidRPr="0038022D">
              <w:rPr>
                <w:rFonts w:ascii="Times New Roman" w:hAnsi="Times New Roman" w:cs="Times New Roman"/>
                <w:sz w:val="22"/>
                <w:szCs w:val="22"/>
              </w:rPr>
              <w:t xml:space="preserve"> (promoter)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A1899D8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GGAGGAGAGCAGAGGGAGAG</w:t>
            </w:r>
          </w:p>
        </w:tc>
        <w:tc>
          <w:tcPr>
            <w:tcW w:w="3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CD2E6B4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TTCCTGCAATTCCTTGCTTG</w:t>
            </w:r>
          </w:p>
        </w:tc>
      </w:tr>
      <w:tr w:rsidR="00D06EC7" w:rsidRPr="00D06EC7" w14:paraId="445F90B1" w14:textId="77777777" w:rsidTr="0038022D">
        <w:trPr>
          <w:trHeight w:val="307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91A4BE9" w14:textId="77777777" w:rsidR="00D06EC7" w:rsidRPr="0038022D" w:rsidRDefault="00D06EC7" w:rsidP="00D06EC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GluR2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0DF0AC0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chIP</w:t>
            </w:r>
            <w:proofErr w:type="spellEnd"/>
            <w:r w:rsidRPr="0038022D">
              <w:rPr>
                <w:rFonts w:ascii="Times New Roman" w:hAnsi="Times New Roman" w:cs="Times New Roman"/>
                <w:sz w:val="22"/>
                <w:szCs w:val="22"/>
              </w:rPr>
              <w:t xml:space="preserve"> (promoter)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7AC512D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GCGGTGCTAAAATCGAATGC</w:t>
            </w:r>
          </w:p>
        </w:tc>
        <w:tc>
          <w:tcPr>
            <w:tcW w:w="3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8B2F4A1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ACAGAGAGGGGCAGGCAG</w:t>
            </w:r>
          </w:p>
        </w:tc>
      </w:tr>
      <w:tr w:rsidR="00D06EC7" w:rsidRPr="00D06EC7" w14:paraId="5A91679D" w14:textId="77777777" w:rsidTr="0038022D">
        <w:trPr>
          <w:trHeight w:val="622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213EA5BA" w14:textId="77777777" w:rsidR="00D06EC7" w:rsidRPr="0038022D" w:rsidRDefault="00D06EC7" w:rsidP="00D06EC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PSD95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B6898B9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chIP</w:t>
            </w:r>
            <w:proofErr w:type="spellEnd"/>
            <w:r w:rsidRPr="0038022D">
              <w:rPr>
                <w:rFonts w:ascii="Times New Roman" w:hAnsi="Times New Roman" w:cs="Times New Roman"/>
                <w:sz w:val="22"/>
                <w:szCs w:val="22"/>
              </w:rPr>
              <w:t xml:space="preserve"> (promoter)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6B7EE56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GGAGGGGTGAGAACCCACCGA</w:t>
            </w:r>
          </w:p>
        </w:tc>
        <w:tc>
          <w:tcPr>
            <w:tcW w:w="3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93F4046" w14:textId="77777777" w:rsidR="00D06EC7" w:rsidRPr="0038022D" w:rsidRDefault="00D06EC7" w:rsidP="00D06E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022D">
              <w:rPr>
                <w:rFonts w:ascii="Times New Roman" w:hAnsi="Times New Roman" w:cs="Times New Roman"/>
                <w:sz w:val="22"/>
                <w:szCs w:val="22"/>
              </w:rPr>
              <w:t>CTCCCCCTCCCCACTGCTCC</w:t>
            </w:r>
          </w:p>
        </w:tc>
      </w:tr>
    </w:tbl>
    <w:p w14:paraId="1418FAB5" w14:textId="77777777" w:rsidR="00C10410" w:rsidRDefault="00C10410" w:rsidP="00394939">
      <w:pPr>
        <w:snapToGrid w:val="0"/>
        <w:spacing w:line="480" w:lineRule="auto"/>
        <w:rPr>
          <w:rFonts w:ascii="Times New Roman" w:eastAsia="Times New Roman" w:hAnsi="Times New Roman" w:cs="Times New Roman"/>
          <w:b/>
          <w:bCs/>
        </w:rPr>
      </w:pPr>
    </w:p>
    <w:p w14:paraId="1F6121DE" w14:textId="77777777" w:rsidR="00C10410" w:rsidRDefault="00C1041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662DCD10" w14:textId="1D56A0BD" w:rsidR="00394939" w:rsidRPr="005F7896" w:rsidRDefault="00394939" w:rsidP="00394939">
      <w:pPr>
        <w:snapToGrid w:val="0"/>
        <w:spacing w:line="480" w:lineRule="auto"/>
        <w:rPr>
          <w:rFonts w:ascii="Times New Roman" w:eastAsia="Times New Roman" w:hAnsi="Times New Roman" w:cs="Times New Roman"/>
        </w:rPr>
      </w:pPr>
      <w:r w:rsidRPr="005F7896">
        <w:rPr>
          <w:rFonts w:ascii="Times New Roman" w:eastAsia="Times New Roman" w:hAnsi="Times New Roman" w:cs="Times New Roman"/>
          <w:b/>
          <w:bCs/>
        </w:rPr>
        <w:lastRenderedPageBreak/>
        <w:t>Behavioral and Molecular Correlation Analyses</w:t>
      </w:r>
    </w:p>
    <w:p w14:paraId="0620DD98" w14:textId="08210C99" w:rsidR="00394939" w:rsidRPr="005F7896" w:rsidRDefault="00394939" w:rsidP="00394939">
      <w:pPr>
        <w:snapToGrid w:val="0"/>
        <w:spacing w:line="480" w:lineRule="auto"/>
        <w:rPr>
          <w:rFonts w:ascii="Times New Roman" w:eastAsia="Times New Roman" w:hAnsi="Times New Roman" w:cs="Times New Roman"/>
        </w:rPr>
      </w:pPr>
      <w:r w:rsidRPr="005F7896">
        <w:rPr>
          <w:rFonts w:ascii="Times New Roman" w:eastAsia="Times New Roman" w:hAnsi="Times New Roman" w:cs="Times New Roman"/>
        </w:rPr>
        <w:t xml:space="preserve">To determine whether the behavioral improvements induced by HDAC inhibitors were associated with molecular changes, we examined correlations between synapse-related gene expression and cognitive performance. In the </w:t>
      </w:r>
      <w:r w:rsidRPr="002E4A66">
        <w:rPr>
          <w:rFonts w:ascii="Times New Roman" w:eastAsia="Times New Roman" w:hAnsi="Times New Roman" w:cs="Times New Roman"/>
        </w:rPr>
        <w:t>hippocampus</w:t>
      </w:r>
      <w:r w:rsidRPr="005F7896">
        <w:rPr>
          <w:rFonts w:ascii="Times New Roman" w:eastAsia="Times New Roman" w:hAnsi="Times New Roman" w:cs="Times New Roman"/>
        </w:rPr>
        <w:t xml:space="preserve">, chronic </w:t>
      </w:r>
      <w:r w:rsidRPr="00D80C08">
        <w:rPr>
          <w:rFonts w:ascii="Times New Roman" w:eastAsia="Times New Roman" w:hAnsi="Times New Roman" w:cs="Times New Roman"/>
        </w:rPr>
        <w:t>CI-994</w:t>
      </w:r>
      <w:r w:rsidRPr="005F7896">
        <w:rPr>
          <w:rFonts w:ascii="Times New Roman" w:eastAsia="Times New Roman" w:hAnsi="Times New Roman" w:cs="Times New Roman"/>
        </w:rPr>
        <w:t xml:space="preserve"> treatment significantly restored the expression of </w:t>
      </w:r>
      <w:r w:rsidRPr="00DC5E21">
        <w:rPr>
          <w:rFonts w:ascii="Times New Roman" w:eastAsia="Times New Roman" w:hAnsi="Times New Roman" w:cs="Times New Roman"/>
          <w:i/>
          <w:iCs/>
        </w:rPr>
        <w:t>Nr2a, GluR1, GluR2,</w:t>
      </w:r>
      <w:r w:rsidRPr="005F7896">
        <w:rPr>
          <w:rFonts w:ascii="Times New Roman" w:eastAsia="Times New Roman" w:hAnsi="Times New Roman" w:cs="Times New Roman"/>
        </w:rPr>
        <w:t xml:space="preserve"> and </w:t>
      </w:r>
      <w:r w:rsidRPr="00DC5E21">
        <w:rPr>
          <w:rFonts w:ascii="Times New Roman" w:eastAsia="Times New Roman" w:hAnsi="Times New Roman" w:cs="Times New Roman"/>
          <w:i/>
          <w:iCs/>
        </w:rPr>
        <w:t>PSD95</w:t>
      </w:r>
      <w:r w:rsidRPr="005F7896">
        <w:rPr>
          <w:rFonts w:ascii="Times New Roman" w:eastAsia="Times New Roman" w:hAnsi="Times New Roman" w:cs="Times New Roman"/>
        </w:rPr>
        <w:t>, which positively correlated with long-term spatial memory (MWM), recognition memory (NOR), and short-term working memory (Y-maze) in both 12- and 18-month-old APP/PS1 mice  Strong positive correlations were observed between synaptic gene expression and MWM performance (</w:t>
      </w:r>
      <w:r w:rsidRPr="005F7896">
        <w:rPr>
          <w:rFonts w:ascii="Times New Roman" w:eastAsia="Times New Roman" w:hAnsi="Times New Roman" w:cs="Times New Roman"/>
          <w:i/>
          <w:iCs/>
        </w:rPr>
        <w:t>r</w:t>
      </w:r>
      <w:r w:rsidRPr="005F7896">
        <w:rPr>
          <w:rFonts w:ascii="Times New Roman" w:eastAsia="Times New Roman" w:hAnsi="Times New Roman" w:cs="Times New Roman"/>
        </w:rPr>
        <w:t xml:space="preserve"> = 0.76–0.94, all </w:t>
      </w:r>
      <w:r w:rsidRPr="005F7896">
        <w:rPr>
          <w:rFonts w:ascii="Times New Roman" w:eastAsia="Times New Roman" w:hAnsi="Times New Roman" w:cs="Times New Roman"/>
          <w:i/>
          <w:iCs/>
        </w:rPr>
        <w:t>p</w:t>
      </w:r>
      <w:r w:rsidRPr="005F7896">
        <w:rPr>
          <w:rFonts w:ascii="Times New Roman" w:eastAsia="Times New Roman" w:hAnsi="Times New Roman" w:cs="Times New Roman"/>
        </w:rPr>
        <w:t xml:space="preserve"> &lt; 0.05), NOR discrimination index (</w:t>
      </w:r>
      <w:r w:rsidRPr="005F7896">
        <w:rPr>
          <w:rFonts w:ascii="Times New Roman" w:eastAsia="Times New Roman" w:hAnsi="Times New Roman" w:cs="Times New Roman"/>
          <w:i/>
          <w:iCs/>
        </w:rPr>
        <w:t>r</w:t>
      </w:r>
      <w:r w:rsidRPr="005F7896">
        <w:rPr>
          <w:rFonts w:ascii="Times New Roman" w:eastAsia="Times New Roman" w:hAnsi="Times New Roman" w:cs="Times New Roman"/>
        </w:rPr>
        <w:t xml:space="preserve"> = 0.64–0.91, all </w:t>
      </w:r>
      <w:r w:rsidRPr="005F7896">
        <w:rPr>
          <w:rFonts w:ascii="Times New Roman" w:eastAsia="Times New Roman" w:hAnsi="Times New Roman" w:cs="Times New Roman"/>
          <w:i/>
          <w:iCs/>
        </w:rPr>
        <w:t>p</w:t>
      </w:r>
      <w:r w:rsidRPr="005F7896">
        <w:rPr>
          <w:rFonts w:ascii="Times New Roman" w:eastAsia="Times New Roman" w:hAnsi="Times New Roman" w:cs="Times New Roman"/>
        </w:rPr>
        <w:t xml:space="preserve"> &lt; 0.05), and Y-maze spontaneous alternation (</w:t>
      </w:r>
      <w:r w:rsidRPr="005F7896">
        <w:rPr>
          <w:rFonts w:ascii="Times New Roman" w:eastAsia="Times New Roman" w:hAnsi="Times New Roman" w:cs="Times New Roman"/>
          <w:i/>
          <w:iCs/>
        </w:rPr>
        <w:t>r</w:t>
      </w:r>
      <w:r w:rsidRPr="005F7896">
        <w:rPr>
          <w:rFonts w:ascii="Times New Roman" w:eastAsia="Times New Roman" w:hAnsi="Times New Roman" w:cs="Times New Roman"/>
        </w:rPr>
        <w:t xml:space="preserve"> = 0.63–0.89, all </w:t>
      </w:r>
      <w:r w:rsidRPr="005F7896">
        <w:rPr>
          <w:rFonts w:ascii="Times New Roman" w:eastAsia="Times New Roman" w:hAnsi="Times New Roman" w:cs="Times New Roman"/>
          <w:i/>
          <w:iCs/>
        </w:rPr>
        <w:t>p</w:t>
      </w:r>
      <w:r w:rsidRPr="005F7896">
        <w:rPr>
          <w:rFonts w:ascii="Times New Roman" w:eastAsia="Times New Roman" w:hAnsi="Times New Roman" w:cs="Times New Roman"/>
        </w:rPr>
        <w:t xml:space="preserve"> &lt; 0.05).</w:t>
      </w:r>
      <w:r w:rsidRPr="00711329">
        <w:rPr>
          <w:rFonts w:ascii="Times New Roman" w:eastAsia="Times New Roman" w:hAnsi="Times New Roman" w:cs="Times New Roman"/>
        </w:rPr>
        <w:t xml:space="preserve"> </w:t>
      </w:r>
      <w:r w:rsidRPr="005F7896">
        <w:rPr>
          <w:rFonts w:ascii="Times New Roman" w:eastAsia="Times New Roman" w:hAnsi="Times New Roman" w:cs="Times New Roman"/>
        </w:rPr>
        <w:t>(</w:t>
      </w:r>
      <w:r w:rsidR="00AC276B">
        <w:rPr>
          <w:rFonts w:ascii="Times New Roman" w:hAnsi="Times New Roman" w:cs="Times New Roman"/>
          <w:b/>
          <w:bCs/>
        </w:rPr>
        <w:t>Supplementary Figure 1</w:t>
      </w:r>
      <w:r w:rsidRPr="0081359E">
        <w:rPr>
          <w:rFonts w:ascii="Times New Roman" w:eastAsia="Times New Roman" w:hAnsi="Times New Roman" w:cs="Times New Roman"/>
        </w:rPr>
        <w:t>).</w:t>
      </w:r>
    </w:p>
    <w:p w14:paraId="35E1D095" w14:textId="1F4ED656" w:rsidR="00394939" w:rsidRPr="005F7896" w:rsidRDefault="00394939" w:rsidP="00394939">
      <w:pPr>
        <w:snapToGrid w:val="0"/>
        <w:spacing w:line="480" w:lineRule="auto"/>
        <w:rPr>
          <w:rFonts w:ascii="Times New Roman" w:eastAsia="Times New Roman" w:hAnsi="Times New Roman" w:cs="Times New Roman"/>
        </w:rPr>
      </w:pPr>
      <w:r w:rsidRPr="005F7896">
        <w:rPr>
          <w:rFonts w:ascii="Times New Roman" w:eastAsia="Times New Roman" w:hAnsi="Times New Roman" w:cs="Times New Roman"/>
        </w:rPr>
        <w:t xml:space="preserve">Similarly, in the </w:t>
      </w:r>
      <w:r w:rsidRPr="00D80C08">
        <w:rPr>
          <w:rFonts w:ascii="Times New Roman" w:eastAsia="Times New Roman" w:hAnsi="Times New Roman" w:cs="Times New Roman"/>
        </w:rPr>
        <w:t>PFC, chronic MS-275</w:t>
      </w:r>
      <w:r w:rsidRPr="005F7896">
        <w:rPr>
          <w:rFonts w:ascii="Times New Roman" w:eastAsia="Times New Roman" w:hAnsi="Times New Roman" w:cs="Times New Roman"/>
        </w:rPr>
        <w:t xml:space="preserve"> treatment restored synapse-related gene expression, which was positively correlated with recognition memory and short-term working memory in both 12- and 18-month-old APP/PS1 mice. Significant positive correlations were observed between synaptic gene expression and </w:t>
      </w:r>
      <w:r w:rsidRPr="006055D5">
        <w:rPr>
          <w:rFonts w:ascii="Times New Roman" w:eastAsia="Times New Roman" w:hAnsi="Times New Roman" w:cs="Times New Roman"/>
        </w:rPr>
        <w:t>NOR discrimination index (</w:t>
      </w:r>
      <w:r w:rsidRPr="006055D5">
        <w:rPr>
          <w:rFonts w:ascii="Times New Roman" w:eastAsia="Times New Roman" w:hAnsi="Times New Roman" w:cs="Times New Roman"/>
          <w:i/>
          <w:iCs/>
        </w:rPr>
        <w:t>r</w:t>
      </w:r>
      <w:r w:rsidRPr="006055D5">
        <w:rPr>
          <w:rFonts w:ascii="Times New Roman" w:eastAsia="Times New Roman" w:hAnsi="Times New Roman" w:cs="Times New Roman"/>
        </w:rPr>
        <w:t xml:space="preserve"> = 0.77–0.97, all </w:t>
      </w:r>
      <w:r w:rsidRPr="006055D5">
        <w:rPr>
          <w:rFonts w:ascii="Times New Roman" w:eastAsia="Times New Roman" w:hAnsi="Times New Roman" w:cs="Times New Roman"/>
          <w:i/>
          <w:iCs/>
        </w:rPr>
        <w:t>p</w:t>
      </w:r>
      <w:r w:rsidRPr="006055D5">
        <w:rPr>
          <w:rFonts w:ascii="Times New Roman" w:eastAsia="Times New Roman" w:hAnsi="Times New Roman" w:cs="Times New Roman"/>
        </w:rPr>
        <w:t xml:space="preserve"> &lt; 0.01) and Y-maze spontaneous alternation (</w:t>
      </w:r>
      <w:r w:rsidRPr="006055D5">
        <w:rPr>
          <w:rFonts w:ascii="Times New Roman" w:eastAsia="Times New Roman" w:hAnsi="Times New Roman" w:cs="Times New Roman"/>
          <w:i/>
          <w:iCs/>
        </w:rPr>
        <w:t>r</w:t>
      </w:r>
      <w:r w:rsidRPr="006055D5">
        <w:rPr>
          <w:rFonts w:ascii="Times New Roman" w:eastAsia="Times New Roman" w:hAnsi="Times New Roman" w:cs="Times New Roman"/>
        </w:rPr>
        <w:t xml:space="preserve"> = 0.79–0.99, all </w:t>
      </w:r>
      <w:r w:rsidRPr="006055D5">
        <w:rPr>
          <w:rFonts w:ascii="Times New Roman" w:eastAsia="Times New Roman" w:hAnsi="Times New Roman" w:cs="Times New Roman"/>
          <w:i/>
          <w:iCs/>
        </w:rPr>
        <w:t>p</w:t>
      </w:r>
      <w:r w:rsidRPr="006055D5">
        <w:rPr>
          <w:rFonts w:ascii="Times New Roman" w:eastAsia="Times New Roman" w:hAnsi="Times New Roman" w:cs="Times New Roman"/>
        </w:rPr>
        <w:t xml:space="preserve"> &lt; 0.01).</w:t>
      </w:r>
      <w:r w:rsidRPr="00711329">
        <w:rPr>
          <w:rFonts w:ascii="Times New Roman" w:eastAsia="Times New Roman" w:hAnsi="Times New Roman" w:cs="Times New Roman"/>
        </w:rPr>
        <w:t xml:space="preserve"> </w:t>
      </w:r>
      <w:r w:rsidRPr="005F7896">
        <w:rPr>
          <w:rFonts w:ascii="Times New Roman" w:eastAsia="Times New Roman" w:hAnsi="Times New Roman" w:cs="Times New Roman"/>
        </w:rPr>
        <w:t>(</w:t>
      </w:r>
      <w:r w:rsidR="00AC276B">
        <w:rPr>
          <w:rFonts w:ascii="Times New Roman" w:hAnsi="Times New Roman" w:cs="Times New Roman"/>
          <w:b/>
          <w:bCs/>
        </w:rPr>
        <w:t xml:space="preserve">Supplementary Figure </w:t>
      </w:r>
      <w:r w:rsidR="00AC276B">
        <w:rPr>
          <w:rFonts w:ascii="Times New Roman" w:hAnsi="Times New Roman" w:cs="Times New Roman"/>
          <w:b/>
          <w:bCs/>
        </w:rPr>
        <w:t>2</w:t>
      </w:r>
      <w:r w:rsidRPr="005F7896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.</w:t>
      </w:r>
    </w:p>
    <w:p w14:paraId="1FD1EF18" w14:textId="1966F649" w:rsidR="003A2FA8" w:rsidRPr="00394939" w:rsidRDefault="00394939" w:rsidP="00394939">
      <w:pPr>
        <w:snapToGrid w:val="0"/>
        <w:spacing w:line="480" w:lineRule="auto"/>
        <w:rPr>
          <w:rFonts w:ascii="Times New Roman" w:eastAsia="Times New Roman" w:hAnsi="Times New Roman" w:cs="Times New Roman"/>
        </w:rPr>
      </w:pPr>
      <w:r w:rsidRPr="005F7896">
        <w:rPr>
          <w:rFonts w:ascii="Times New Roman" w:eastAsia="Times New Roman" w:hAnsi="Times New Roman" w:cs="Times New Roman"/>
        </w:rPr>
        <w:t xml:space="preserve">To determine whether reduced amyloid pathology contributed to cognitive improvement, we next examined the relationship between Aβ plaque burden and behavioral performance following </w:t>
      </w:r>
      <w:r w:rsidRPr="00D80C08">
        <w:rPr>
          <w:rFonts w:ascii="Times New Roman" w:eastAsia="Times New Roman" w:hAnsi="Times New Roman" w:cs="Times New Roman"/>
        </w:rPr>
        <w:t>MS-275</w:t>
      </w:r>
      <w:r w:rsidRPr="005F7896">
        <w:rPr>
          <w:rFonts w:ascii="Times New Roman" w:eastAsia="Times New Roman" w:hAnsi="Times New Roman" w:cs="Times New Roman"/>
        </w:rPr>
        <w:t xml:space="preserve"> treatment. In the </w:t>
      </w:r>
      <w:r w:rsidRPr="00D80C08">
        <w:rPr>
          <w:rFonts w:ascii="Times New Roman" w:eastAsia="Times New Roman" w:hAnsi="Times New Roman" w:cs="Times New Roman"/>
        </w:rPr>
        <w:t>hippocampus,</w:t>
      </w:r>
      <w:r w:rsidRPr="005F7896">
        <w:rPr>
          <w:rFonts w:ascii="Times New Roman" w:eastAsia="Times New Roman" w:hAnsi="Times New Roman" w:cs="Times New Roman"/>
        </w:rPr>
        <w:t xml:space="preserve"> Aβ plaque burden was not significantly correlated with long-term spatial memory (MWM) in either 12- or 18-month-old APP/PS1 mice (</w:t>
      </w:r>
      <w:r w:rsidR="00AC276B">
        <w:rPr>
          <w:rFonts w:ascii="Times New Roman" w:hAnsi="Times New Roman" w:cs="Times New Roman"/>
          <w:b/>
          <w:bCs/>
        </w:rPr>
        <w:t xml:space="preserve">Supplementary Figure </w:t>
      </w:r>
      <w:r w:rsidR="00AC276B">
        <w:rPr>
          <w:rFonts w:ascii="Times New Roman" w:hAnsi="Times New Roman" w:cs="Times New Roman"/>
          <w:b/>
          <w:bCs/>
        </w:rPr>
        <w:t>3</w:t>
      </w:r>
      <w:r w:rsidR="00BA32C2"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 w:rsidR="00BA32C2">
        <w:rPr>
          <w:rFonts w:ascii="Times New Roman" w:eastAsia="Times New Roman" w:hAnsi="Times New Roman" w:cs="Times New Roman"/>
          <w:b/>
          <w:bCs/>
        </w:rPr>
        <w:t>b</w:t>
      </w:r>
      <w:r w:rsidRPr="005F7896">
        <w:rPr>
          <w:rFonts w:ascii="Times New Roman" w:eastAsia="Times New Roman" w:hAnsi="Times New Roman" w:cs="Times New Roman"/>
        </w:rPr>
        <w:t xml:space="preserve">). In contrast, in the </w:t>
      </w:r>
      <w:r w:rsidRPr="00D80C08">
        <w:rPr>
          <w:rFonts w:ascii="Times New Roman" w:eastAsia="Times New Roman" w:hAnsi="Times New Roman" w:cs="Times New Roman"/>
        </w:rPr>
        <w:t>PFC,</w:t>
      </w:r>
      <w:r w:rsidRPr="005F7896">
        <w:rPr>
          <w:rFonts w:ascii="Times New Roman" w:eastAsia="Times New Roman" w:hAnsi="Times New Roman" w:cs="Times New Roman"/>
        </w:rPr>
        <w:t xml:space="preserve"> reduced Aβ plaque burden was strongly associated with improved recognition memory (NOR; </w:t>
      </w:r>
      <w:r w:rsidRPr="005F7896">
        <w:rPr>
          <w:rFonts w:ascii="Times New Roman" w:eastAsia="Times New Roman" w:hAnsi="Times New Roman" w:cs="Times New Roman"/>
          <w:i/>
          <w:iCs/>
        </w:rPr>
        <w:t>r</w:t>
      </w:r>
      <w:r w:rsidRPr="005F7896">
        <w:rPr>
          <w:rFonts w:ascii="Times New Roman" w:eastAsia="Times New Roman" w:hAnsi="Times New Roman" w:cs="Times New Roman"/>
        </w:rPr>
        <w:t xml:space="preserve"> = −0.91 to −0.94, all </w:t>
      </w:r>
      <w:r w:rsidRPr="005F7896">
        <w:rPr>
          <w:rFonts w:ascii="Times New Roman" w:eastAsia="Times New Roman" w:hAnsi="Times New Roman" w:cs="Times New Roman"/>
          <w:i/>
          <w:iCs/>
        </w:rPr>
        <w:t>p</w:t>
      </w:r>
      <w:r w:rsidRPr="005F7896">
        <w:rPr>
          <w:rFonts w:ascii="Times New Roman" w:eastAsia="Times New Roman" w:hAnsi="Times New Roman" w:cs="Times New Roman"/>
        </w:rPr>
        <w:t xml:space="preserve"> &lt; 0.001) </w:t>
      </w:r>
      <w:r>
        <w:rPr>
          <w:rFonts w:ascii="Times New Roman" w:eastAsia="Times New Roman" w:hAnsi="Times New Roman" w:cs="Times New Roman"/>
        </w:rPr>
        <w:t>(</w:t>
      </w:r>
      <w:r w:rsidR="00AC276B">
        <w:rPr>
          <w:rFonts w:ascii="Times New Roman" w:hAnsi="Times New Roman" w:cs="Times New Roman"/>
          <w:b/>
          <w:bCs/>
        </w:rPr>
        <w:t>Supplementary Figure</w:t>
      </w:r>
      <w:r w:rsidR="00AC276B">
        <w:rPr>
          <w:rFonts w:ascii="Times New Roman" w:hAnsi="Times New Roman" w:cs="Times New Roman"/>
          <w:b/>
          <w:bCs/>
        </w:rPr>
        <w:t xml:space="preserve"> 3</w:t>
      </w:r>
      <w:r w:rsidR="00BA32C2">
        <w:rPr>
          <w:rFonts w:ascii="Times New Roman" w:eastAsia="Times New Roman" w:hAnsi="Times New Roman" w:cs="Times New Roman"/>
          <w:b/>
          <w:bCs/>
        </w:rPr>
        <w:t>c</w:t>
      </w:r>
      <w:r w:rsidRPr="0081359E"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="00BA32C2">
        <w:rPr>
          <w:rFonts w:ascii="Times New Roman" w:eastAsia="Times New Roman" w:hAnsi="Times New Roman" w:cs="Times New Roman"/>
          <w:b/>
          <w:bCs/>
        </w:rPr>
        <w:t>d</w:t>
      </w:r>
      <w:r>
        <w:rPr>
          <w:rFonts w:ascii="Times New Roman" w:eastAsia="Times New Roman" w:hAnsi="Times New Roman" w:cs="Times New Roman"/>
          <w:b/>
          <w:bCs/>
        </w:rPr>
        <w:t>)</w:t>
      </w:r>
      <w:r w:rsidRPr="005F7896">
        <w:rPr>
          <w:rFonts w:ascii="Times New Roman" w:eastAsia="Times New Roman" w:hAnsi="Times New Roman" w:cs="Times New Roman"/>
        </w:rPr>
        <w:t xml:space="preserve"> and short-term working memory (Y-maze; </w:t>
      </w:r>
      <w:r w:rsidRPr="005F7896">
        <w:rPr>
          <w:rFonts w:ascii="Times New Roman" w:eastAsia="Times New Roman" w:hAnsi="Times New Roman" w:cs="Times New Roman"/>
          <w:i/>
          <w:iCs/>
        </w:rPr>
        <w:t>r</w:t>
      </w:r>
      <w:r w:rsidRPr="005F7896">
        <w:rPr>
          <w:rFonts w:ascii="Times New Roman" w:eastAsia="Times New Roman" w:hAnsi="Times New Roman" w:cs="Times New Roman"/>
        </w:rPr>
        <w:t xml:space="preserve"> = −0.95 to −0.97, all </w:t>
      </w:r>
      <w:r w:rsidRPr="005F7896">
        <w:rPr>
          <w:rFonts w:ascii="Times New Roman" w:eastAsia="Times New Roman" w:hAnsi="Times New Roman" w:cs="Times New Roman"/>
          <w:i/>
          <w:iCs/>
        </w:rPr>
        <w:t>p</w:t>
      </w:r>
      <w:r w:rsidRPr="005F7896">
        <w:rPr>
          <w:rFonts w:ascii="Times New Roman" w:eastAsia="Times New Roman" w:hAnsi="Times New Roman" w:cs="Times New Roman"/>
        </w:rPr>
        <w:t xml:space="preserve"> &lt; 0.001) (</w:t>
      </w:r>
      <w:r w:rsidR="00AC276B">
        <w:rPr>
          <w:rFonts w:ascii="Times New Roman" w:hAnsi="Times New Roman" w:cs="Times New Roman"/>
          <w:b/>
          <w:bCs/>
        </w:rPr>
        <w:t xml:space="preserve">Supplementary Figure </w:t>
      </w:r>
      <w:r w:rsidR="00AC276B">
        <w:rPr>
          <w:rFonts w:ascii="Times New Roman" w:hAnsi="Times New Roman" w:cs="Times New Roman"/>
          <w:b/>
          <w:bCs/>
        </w:rPr>
        <w:t>3</w:t>
      </w:r>
      <w:r w:rsidR="00BA32C2"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 w:rsidR="00BA32C2">
        <w:rPr>
          <w:rFonts w:ascii="Times New Roman" w:eastAsia="Times New Roman" w:hAnsi="Times New Roman" w:cs="Times New Roman"/>
          <w:b/>
          <w:bCs/>
        </w:rPr>
        <w:t>f</w:t>
      </w:r>
      <w:r w:rsidRPr="005F7896">
        <w:rPr>
          <w:rFonts w:ascii="Times New Roman" w:eastAsia="Times New Roman" w:hAnsi="Times New Roman" w:cs="Times New Roman"/>
        </w:rPr>
        <w:t>).</w:t>
      </w:r>
    </w:p>
    <w:p w14:paraId="750F4E95" w14:textId="42A71B5F" w:rsidR="0038022D" w:rsidRDefault="00DE6784" w:rsidP="0038022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69496BA" wp14:editId="3BA71DE9">
            <wp:extent cx="5263200" cy="6686550"/>
            <wp:effectExtent l="0" t="0" r="0" b="0"/>
            <wp:docPr id="14015869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" r="3122" b="1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732" cy="673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F9667" w14:textId="57E7D6E3" w:rsidR="0038022D" w:rsidRPr="0038022D" w:rsidRDefault="00212280" w:rsidP="00DE678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Figure 1</w:t>
      </w:r>
      <w:r w:rsidR="0038022D" w:rsidRPr="0038022D">
        <w:rPr>
          <w:rFonts w:ascii="Times New Roman" w:hAnsi="Times New Roman" w:cs="Times New Roman"/>
          <w:b/>
          <w:bCs/>
        </w:rPr>
        <w:t xml:space="preserve">. Correlation Analysis of </w:t>
      </w:r>
      <w:r w:rsidR="00DE6784">
        <w:rPr>
          <w:rFonts w:ascii="Times New Roman" w:hAnsi="Times New Roman" w:cs="Times New Roman"/>
          <w:b/>
          <w:bCs/>
        </w:rPr>
        <w:t>s</w:t>
      </w:r>
      <w:r w:rsidR="0038022D" w:rsidRPr="0038022D">
        <w:rPr>
          <w:rFonts w:ascii="Times New Roman" w:hAnsi="Times New Roman" w:cs="Times New Roman"/>
          <w:b/>
          <w:bCs/>
        </w:rPr>
        <w:t xml:space="preserve">ynapse-related gene mRNA </w:t>
      </w:r>
      <w:r w:rsidR="00DE6784">
        <w:rPr>
          <w:rFonts w:ascii="Times New Roman" w:hAnsi="Times New Roman" w:cs="Times New Roman"/>
          <w:b/>
          <w:bCs/>
        </w:rPr>
        <w:t>e</w:t>
      </w:r>
      <w:r w:rsidR="0038022D" w:rsidRPr="0038022D">
        <w:rPr>
          <w:rFonts w:ascii="Times New Roman" w:hAnsi="Times New Roman" w:cs="Times New Roman"/>
          <w:b/>
          <w:bCs/>
        </w:rPr>
        <w:t xml:space="preserve">xpression </w:t>
      </w:r>
      <w:r w:rsidR="00DE6784">
        <w:rPr>
          <w:rFonts w:ascii="Times New Roman" w:hAnsi="Times New Roman" w:cs="Times New Roman"/>
          <w:b/>
          <w:bCs/>
        </w:rPr>
        <w:t>and</w:t>
      </w:r>
      <w:r w:rsidR="0038022D" w:rsidRPr="0038022D">
        <w:rPr>
          <w:rFonts w:ascii="Times New Roman" w:hAnsi="Times New Roman" w:cs="Times New Roman"/>
          <w:b/>
          <w:bCs/>
        </w:rPr>
        <w:t xml:space="preserve"> </w:t>
      </w:r>
      <w:r w:rsidR="00DE6784">
        <w:rPr>
          <w:rFonts w:ascii="Times New Roman" w:hAnsi="Times New Roman" w:cs="Times New Roman"/>
          <w:b/>
          <w:bCs/>
        </w:rPr>
        <w:t>m</w:t>
      </w:r>
      <w:r w:rsidR="0038022D" w:rsidRPr="0038022D">
        <w:rPr>
          <w:rFonts w:ascii="Times New Roman" w:hAnsi="Times New Roman" w:cs="Times New Roman"/>
          <w:b/>
          <w:bCs/>
        </w:rPr>
        <w:t xml:space="preserve">emory domains after </w:t>
      </w:r>
      <w:r w:rsidR="00DE6784">
        <w:rPr>
          <w:rFonts w:ascii="Times New Roman" w:hAnsi="Times New Roman" w:cs="Times New Roman"/>
          <w:b/>
          <w:bCs/>
        </w:rPr>
        <w:t>c</w:t>
      </w:r>
      <w:r w:rsidR="0038022D" w:rsidRPr="0038022D">
        <w:rPr>
          <w:rFonts w:ascii="Times New Roman" w:hAnsi="Times New Roman" w:cs="Times New Roman"/>
          <w:b/>
          <w:bCs/>
        </w:rPr>
        <w:t xml:space="preserve">hronic CI-994 </w:t>
      </w:r>
      <w:r w:rsidR="00DE6784">
        <w:rPr>
          <w:rFonts w:ascii="Times New Roman" w:hAnsi="Times New Roman" w:cs="Times New Roman"/>
          <w:b/>
          <w:bCs/>
        </w:rPr>
        <w:t>t</w:t>
      </w:r>
      <w:r w:rsidR="00DE6784" w:rsidRPr="0038022D">
        <w:rPr>
          <w:rFonts w:ascii="Times New Roman" w:hAnsi="Times New Roman" w:cs="Times New Roman"/>
          <w:b/>
          <w:bCs/>
        </w:rPr>
        <w:t xml:space="preserve">reatment </w:t>
      </w:r>
      <w:r w:rsidR="0038022D" w:rsidRPr="0038022D">
        <w:rPr>
          <w:rFonts w:ascii="Times New Roman" w:hAnsi="Times New Roman" w:cs="Times New Roman"/>
          <w:b/>
          <w:bCs/>
        </w:rPr>
        <w:t xml:space="preserve">in the Hippocampus of 12- and 18-month-old APP/PS1 Mice. </w:t>
      </w:r>
      <w:r w:rsidR="0038022D" w:rsidRPr="0038022D">
        <w:rPr>
          <w:rFonts w:ascii="Times New Roman" w:hAnsi="Times New Roman" w:cs="Times New Roman"/>
        </w:rPr>
        <w:t>Pearson’s correlation analysis revealed significant positive correlations between our synapse-related gene expression and long-term spatial reference memory (</w:t>
      </w:r>
      <w:r w:rsidR="00CD2419">
        <w:rPr>
          <w:rFonts w:ascii="Times New Roman" w:hAnsi="Times New Roman" w:cs="Times New Roman"/>
          <w:b/>
          <w:bCs/>
        </w:rPr>
        <w:t>a</w:t>
      </w:r>
      <w:r w:rsidR="0038022D" w:rsidRPr="0038022D">
        <w:rPr>
          <w:rFonts w:ascii="Times New Roman" w:hAnsi="Times New Roman" w:cs="Times New Roman"/>
        </w:rPr>
        <w:t xml:space="preserve">),  </w:t>
      </w:r>
      <w:r w:rsidR="0038022D" w:rsidRPr="0038022D">
        <w:rPr>
          <w:rFonts w:ascii="Times New Roman" w:eastAsia="Calibri" w:hAnsi="Times New Roman" w:cs="Times New Roman"/>
          <w:color w:val="000000"/>
          <w:kern w:val="24"/>
        </w:rPr>
        <w:t>recognition (</w:t>
      </w:r>
      <w:r w:rsidR="00CD2419">
        <w:rPr>
          <w:rFonts w:ascii="Times New Roman" w:eastAsia="Calibri" w:hAnsi="Times New Roman" w:cs="Times New Roman"/>
          <w:b/>
          <w:bCs/>
          <w:color w:val="000000"/>
          <w:kern w:val="24"/>
        </w:rPr>
        <w:t>b</w:t>
      </w:r>
      <w:r w:rsidR="0038022D" w:rsidRPr="0038022D">
        <w:rPr>
          <w:rFonts w:ascii="Times New Roman" w:eastAsia="Calibri" w:hAnsi="Times New Roman" w:cs="Times New Roman"/>
          <w:color w:val="000000"/>
          <w:kern w:val="24"/>
        </w:rPr>
        <w:t xml:space="preserve">), and  </w:t>
      </w:r>
      <w:r w:rsidR="0038022D" w:rsidRPr="0038022D">
        <w:rPr>
          <w:rFonts w:ascii="Times New Roman" w:eastAsia="Calibri" w:hAnsi="Times New Roman" w:cs="Times New Roman"/>
          <w:color w:val="000000" w:themeColor="text1"/>
          <w:kern w:val="24"/>
        </w:rPr>
        <w:t>short-term working memory</w:t>
      </w:r>
      <w:r w:rsidR="0038022D" w:rsidRPr="0038022D">
        <w:rPr>
          <w:rFonts w:ascii="Times New Roman" w:eastAsia="Calibri" w:hAnsi="Times New Roman" w:cs="Times New Roman"/>
          <w:color w:val="000000"/>
          <w:kern w:val="24"/>
        </w:rPr>
        <w:t xml:space="preserve"> </w:t>
      </w:r>
      <w:r w:rsidR="0038022D" w:rsidRPr="0038022D">
        <w:rPr>
          <w:rFonts w:ascii="Times New Roman" w:eastAsia="Calibri" w:hAnsi="Times New Roman" w:cs="Times New Roman"/>
          <w:b/>
          <w:bCs/>
          <w:color w:val="000000"/>
          <w:kern w:val="24"/>
        </w:rPr>
        <w:t>(</w:t>
      </w:r>
      <w:r w:rsidR="00CD2419">
        <w:rPr>
          <w:rFonts w:ascii="Times New Roman" w:eastAsia="Calibri" w:hAnsi="Times New Roman" w:cs="Times New Roman"/>
          <w:b/>
          <w:bCs/>
          <w:color w:val="000000"/>
          <w:kern w:val="24"/>
        </w:rPr>
        <w:t>c</w:t>
      </w:r>
      <w:r w:rsidR="0038022D" w:rsidRPr="0038022D">
        <w:rPr>
          <w:rFonts w:ascii="Times New Roman" w:eastAsia="Calibri" w:hAnsi="Times New Roman" w:cs="Times New Roman"/>
          <w:color w:val="000000"/>
          <w:kern w:val="24"/>
        </w:rPr>
        <w:t xml:space="preserve">) </w:t>
      </w:r>
      <w:r w:rsidR="0038022D" w:rsidRPr="0038022D">
        <w:rPr>
          <w:rFonts w:ascii="Times New Roman" w:hAnsi="Times New Roman" w:cs="Times New Roman"/>
        </w:rPr>
        <w:t xml:space="preserve"> in both </w:t>
      </w:r>
      <w:r w:rsidR="0038022D" w:rsidRPr="0038022D">
        <w:rPr>
          <w:rFonts w:ascii="Times New Roman" w:eastAsia="Calibri" w:hAnsi="Times New Roman" w:cs="Times New Roman"/>
          <w:color w:val="000000"/>
          <w:kern w:val="24"/>
        </w:rPr>
        <w:t xml:space="preserve">12 (top row)- and 18-month-old (bottom row) </w:t>
      </w:r>
      <w:r w:rsidR="0038022D" w:rsidRPr="0038022D">
        <w:rPr>
          <w:rFonts w:ascii="Times New Roman" w:hAnsi="Times New Roman" w:cs="Times New Roman"/>
        </w:rPr>
        <w:t>APP/PS1 mice (n = 5/group). Half-open circles represent APP/PS1 VEH treated mice, and half-open triangles represent APP/PS1 CI-994 treated mice.</w:t>
      </w:r>
    </w:p>
    <w:p w14:paraId="77396AE3" w14:textId="50CD5A28" w:rsidR="0038022D" w:rsidRDefault="00DE6784" w:rsidP="0038022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inline distT="0" distB="0" distL="0" distR="0" wp14:anchorId="11474329" wp14:editId="34870A69">
            <wp:extent cx="5943600" cy="5686425"/>
            <wp:effectExtent l="0" t="0" r="0" b="9525"/>
            <wp:docPr id="5728513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AE60E" w14:textId="22B45C74" w:rsidR="00DE6784" w:rsidRPr="00DE6784" w:rsidRDefault="00212280" w:rsidP="00DE678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Figure </w:t>
      </w:r>
      <w:r>
        <w:rPr>
          <w:rFonts w:ascii="Times New Roman" w:hAnsi="Times New Roman" w:cs="Times New Roman"/>
          <w:b/>
          <w:bCs/>
        </w:rPr>
        <w:t>2</w:t>
      </w:r>
      <w:r w:rsidR="00DE6784" w:rsidRPr="00DE6784">
        <w:rPr>
          <w:rFonts w:ascii="Times New Roman" w:hAnsi="Times New Roman" w:cs="Times New Roman"/>
          <w:b/>
          <w:bCs/>
        </w:rPr>
        <w:t xml:space="preserve">. </w:t>
      </w:r>
      <w:r w:rsidR="00DE6784" w:rsidRPr="0038022D">
        <w:rPr>
          <w:rFonts w:ascii="Times New Roman" w:hAnsi="Times New Roman" w:cs="Times New Roman"/>
          <w:b/>
          <w:bCs/>
        </w:rPr>
        <w:t xml:space="preserve">Correlation Analysis of </w:t>
      </w:r>
      <w:r w:rsidR="00DE6784">
        <w:rPr>
          <w:rFonts w:ascii="Times New Roman" w:hAnsi="Times New Roman" w:cs="Times New Roman"/>
          <w:b/>
          <w:bCs/>
        </w:rPr>
        <w:t>s</w:t>
      </w:r>
      <w:r w:rsidR="00DE6784" w:rsidRPr="0038022D">
        <w:rPr>
          <w:rFonts w:ascii="Times New Roman" w:hAnsi="Times New Roman" w:cs="Times New Roman"/>
          <w:b/>
          <w:bCs/>
        </w:rPr>
        <w:t xml:space="preserve">ynapse-related gene mRNA </w:t>
      </w:r>
      <w:r w:rsidR="00DE6784">
        <w:rPr>
          <w:rFonts w:ascii="Times New Roman" w:hAnsi="Times New Roman" w:cs="Times New Roman"/>
          <w:b/>
          <w:bCs/>
        </w:rPr>
        <w:t>e</w:t>
      </w:r>
      <w:r w:rsidR="00DE6784" w:rsidRPr="0038022D">
        <w:rPr>
          <w:rFonts w:ascii="Times New Roman" w:hAnsi="Times New Roman" w:cs="Times New Roman"/>
          <w:b/>
          <w:bCs/>
        </w:rPr>
        <w:t xml:space="preserve">xpression </w:t>
      </w:r>
      <w:r w:rsidR="00DE6784">
        <w:rPr>
          <w:rFonts w:ascii="Times New Roman" w:hAnsi="Times New Roman" w:cs="Times New Roman"/>
          <w:b/>
          <w:bCs/>
        </w:rPr>
        <w:t>and</w:t>
      </w:r>
      <w:r w:rsidR="00DE6784" w:rsidRPr="0038022D">
        <w:rPr>
          <w:rFonts w:ascii="Times New Roman" w:hAnsi="Times New Roman" w:cs="Times New Roman"/>
          <w:b/>
          <w:bCs/>
        </w:rPr>
        <w:t xml:space="preserve"> </w:t>
      </w:r>
      <w:r w:rsidR="00DE6784">
        <w:rPr>
          <w:rFonts w:ascii="Times New Roman" w:hAnsi="Times New Roman" w:cs="Times New Roman"/>
          <w:b/>
          <w:bCs/>
        </w:rPr>
        <w:t>m</w:t>
      </w:r>
      <w:r w:rsidR="00DE6784" w:rsidRPr="0038022D">
        <w:rPr>
          <w:rFonts w:ascii="Times New Roman" w:hAnsi="Times New Roman" w:cs="Times New Roman"/>
          <w:b/>
          <w:bCs/>
        </w:rPr>
        <w:t xml:space="preserve">emory domains after </w:t>
      </w:r>
      <w:r w:rsidR="00DE6784">
        <w:rPr>
          <w:rFonts w:ascii="Times New Roman" w:hAnsi="Times New Roman" w:cs="Times New Roman"/>
          <w:b/>
          <w:bCs/>
        </w:rPr>
        <w:t>c</w:t>
      </w:r>
      <w:r w:rsidR="00DE6784" w:rsidRPr="0038022D">
        <w:rPr>
          <w:rFonts w:ascii="Times New Roman" w:hAnsi="Times New Roman" w:cs="Times New Roman"/>
          <w:b/>
          <w:bCs/>
        </w:rPr>
        <w:t xml:space="preserve">hronic </w:t>
      </w:r>
      <w:r w:rsidR="00DE6784">
        <w:rPr>
          <w:rFonts w:ascii="Times New Roman" w:hAnsi="Times New Roman" w:cs="Times New Roman"/>
          <w:b/>
          <w:bCs/>
        </w:rPr>
        <w:t>MS-275</w:t>
      </w:r>
      <w:r w:rsidR="00DE6784" w:rsidRPr="0038022D">
        <w:rPr>
          <w:rFonts w:ascii="Times New Roman" w:hAnsi="Times New Roman" w:cs="Times New Roman"/>
          <w:b/>
          <w:bCs/>
        </w:rPr>
        <w:t xml:space="preserve"> </w:t>
      </w:r>
      <w:r w:rsidR="00DE6784">
        <w:rPr>
          <w:rFonts w:ascii="Times New Roman" w:hAnsi="Times New Roman" w:cs="Times New Roman"/>
          <w:b/>
          <w:bCs/>
        </w:rPr>
        <w:t>t</w:t>
      </w:r>
      <w:r w:rsidR="00DE6784" w:rsidRPr="0038022D">
        <w:rPr>
          <w:rFonts w:ascii="Times New Roman" w:hAnsi="Times New Roman" w:cs="Times New Roman"/>
          <w:b/>
          <w:bCs/>
        </w:rPr>
        <w:t xml:space="preserve">reatment in </w:t>
      </w:r>
      <w:r w:rsidR="00DE6784">
        <w:rPr>
          <w:rFonts w:ascii="Times New Roman" w:hAnsi="Times New Roman" w:cs="Times New Roman"/>
          <w:b/>
          <w:bCs/>
        </w:rPr>
        <w:t>PFC</w:t>
      </w:r>
      <w:r w:rsidR="00DE6784" w:rsidRPr="0038022D">
        <w:rPr>
          <w:rFonts w:ascii="Times New Roman" w:hAnsi="Times New Roman" w:cs="Times New Roman"/>
          <w:b/>
          <w:bCs/>
        </w:rPr>
        <w:t xml:space="preserve"> of 12- and 18-month-old APP/PS1 Mice.</w:t>
      </w:r>
      <w:r w:rsidR="00DE6784">
        <w:rPr>
          <w:rFonts w:ascii="Times New Roman" w:hAnsi="Times New Roman" w:cs="Times New Roman"/>
          <w:b/>
          <w:bCs/>
        </w:rPr>
        <w:t xml:space="preserve"> </w:t>
      </w:r>
      <w:r w:rsidR="00DE6784" w:rsidRPr="00DE6784">
        <w:rPr>
          <w:rFonts w:ascii="Times New Roman" w:hAnsi="Times New Roman" w:cs="Times New Roman"/>
        </w:rPr>
        <w:t xml:space="preserve">Pearson’s correlation analysis revealed significant positive correlations between our synapse-related gene expression and </w:t>
      </w:r>
      <w:r w:rsidR="00DE6784" w:rsidRPr="00DE6784">
        <w:rPr>
          <w:rFonts w:ascii="Times New Roman" w:eastAsia="Calibri" w:hAnsi="Times New Roman" w:cs="Times New Roman"/>
          <w:color w:val="000000"/>
          <w:kern w:val="24"/>
        </w:rPr>
        <w:t>recognition (</w:t>
      </w:r>
      <w:r w:rsidR="00DE6784">
        <w:rPr>
          <w:rFonts w:ascii="Times New Roman" w:eastAsia="Calibri" w:hAnsi="Times New Roman" w:cs="Times New Roman"/>
          <w:b/>
          <w:bCs/>
          <w:color w:val="000000"/>
          <w:kern w:val="24"/>
        </w:rPr>
        <w:t>a</w:t>
      </w:r>
      <w:r w:rsidR="00DE6784" w:rsidRPr="00DE6784">
        <w:rPr>
          <w:rFonts w:ascii="Times New Roman" w:eastAsia="Calibri" w:hAnsi="Times New Roman" w:cs="Times New Roman"/>
          <w:color w:val="000000"/>
          <w:kern w:val="24"/>
        </w:rPr>
        <w:t xml:space="preserve">), and  </w:t>
      </w:r>
      <w:r w:rsidR="00DE6784" w:rsidRPr="00DE6784">
        <w:rPr>
          <w:rFonts w:ascii="Times New Roman" w:eastAsia="Calibri" w:hAnsi="Times New Roman" w:cs="Times New Roman"/>
          <w:color w:val="000000" w:themeColor="text1"/>
          <w:kern w:val="24"/>
        </w:rPr>
        <w:t>short-term working memory</w:t>
      </w:r>
      <w:r w:rsidR="00DE6784" w:rsidRPr="00DE6784">
        <w:rPr>
          <w:rFonts w:ascii="Times New Roman" w:eastAsia="Calibri" w:hAnsi="Times New Roman" w:cs="Times New Roman"/>
          <w:color w:val="000000"/>
          <w:kern w:val="24"/>
        </w:rPr>
        <w:t xml:space="preserve"> </w:t>
      </w:r>
      <w:r w:rsidR="00DE6784" w:rsidRPr="00DE6784">
        <w:rPr>
          <w:rFonts w:ascii="Times New Roman" w:eastAsia="Calibri" w:hAnsi="Times New Roman" w:cs="Times New Roman"/>
          <w:b/>
          <w:bCs/>
          <w:color w:val="000000"/>
          <w:kern w:val="24"/>
        </w:rPr>
        <w:t>(</w:t>
      </w:r>
      <w:r w:rsidR="00DE6784">
        <w:rPr>
          <w:rFonts w:ascii="Times New Roman" w:eastAsia="Calibri" w:hAnsi="Times New Roman" w:cs="Times New Roman"/>
          <w:b/>
          <w:bCs/>
          <w:color w:val="000000"/>
          <w:kern w:val="24"/>
        </w:rPr>
        <w:t>b</w:t>
      </w:r>
      <w:r w:rsidR="00DE6784" w:rsidRPr="00DE6784">
        <w:rPr>
          <w:rFonts w:ascii="Times New Roman" w:eastAsia="Calibri" w:hAnsi="Times New Roman" w:cs="Times New Roman"/>
          <w:color w:val="000000"/>
          <w:kern w:val="24"/>
        </w:rPr>
        <w:t xml:space="preserve">) </w:t>
      </w:r>
      <w:r w:rsidR="00DE6784" w:rsidRPr="00DE6784">
        <w:rPr>
          <w:rFonts w:ascii="Times New Roman" w:hAnsi="Times New Roman" w:cs="Times New Roman"/>
        </w:rPr>
        <w:t xml:space="preserve"> in both </w:t>
      </w:r>
      <w:r w:rsidR="00DE6784" w:rsidRPr="00DE6784">
        <w:rPr>
          <w:rFonts w:ascii="Times New Roman" w:eastAsia="Calibri" w:hAnsi="Times New Roman" w:cs="Times New Roman"/>
          <w:color w:val="000000"/>
          <w:kern w:val="24"/>
        </w:rPr>
        <w:t xml:space="preserve">12 (top row)- and 18-month-old (bottom row) </w:t>
      </w:r>
      <w:r w:rsidR="00DE6784" w:rsidRPr="00DE6784">
        <w:rPr>
          <w:rFonts w:ascii="Times New Roman" w:hAnsi="Times New Roman" w:cs="Times New Roman"/>
        </w:rPr>
        <w:t xml:space="preserve">APP/PS1 mice (n = 5/group). in both 12 (top row)- and 18-month-old (bottom row) APP/PS1 mice (n = 5/group). Half-open circles represent APP/PS1 VEH treated mice, and half-open triangles represent APP/PS1 MS-275 treated mice. </w:t>
      </w:r>
    </w:p>
    <w:p w14:paraId="0A854751" w14:textId="77777777" w:rsidR="0038022D" w:rsidRDefault="0038022D" w:rsidP="0038022D">
      <w:pPr>
        <w:rPr>
          <w:rFonts w:ascii="Arial" w:hAnsi="Arial" w:cs="Arial"/>
          <w:b/>
          <w:bCs/>
          <w:sz w:val="20"/>
          <w:szCs w:val="20"/>
        </w:rPr>
      </w:pPr>
    </w:p>
    <w:p w14:paraId="6933ABC5" w14:textId="77777777" w:rsidR="0038022D" w:rsidRDefault="0038022D" w:rsidP="0038022D">
      <w:pPr>
        <w:rPr>
          <w:rFonts w:ascii="Arial" w:hAnsi="Arial" w:cs="Arial"/>
          <w:b/>
          <w:bCs/>
          <w:sz w:val="20"/>
          <w:szCs w:val="20"/>
        </w:rPr>
      </w:pPr>
    </w:p>
    <w:p w14:paraId="1A39CD20" w14:textId="4BDFC7D5" w:rsidR="0038022D" w:rsidRDefault="00DE6784" w:rsidP="0038022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inline distT="0" distB="0" distL="0" distR="0" wp14:anchorId="3EFFA34B" wp14:editId="6CDEA5AF">
            <wp:extent cx="5019675" cy="6377036"/>
            <wp:effectExtent l="0" t="0" r="0" b="5080"/>
            <wp:docPr id="20649875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" r="4487" b="2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036" cy="638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8BFCCA" w14:textId="217ABC80" w:rsidR="0038022D" w:rsidRPr="00DE6784" w:rsidRDefault="00212280" w:rsidP="00DE678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Figure </w:t>
      </w:r>
      <w:r>
        <w:rPr>
          <w:rFonts w:ascii="Times New Roman" w:hAnsi="Times New Roman" w:cs="Times New Roman"/>
          <w:b/>
          <w:bCs/>
        </w:rPr>
        <w:t>3</w:t>
      </w:r>
      <w:r w:rsidR="0038022D" w:rsidRPr="00DE6784">
        <w:rPr>
          <w:rFonts w:ascii="Times New Roman" w:hAnsi="Times New Roman" w:cs="Times New Roman"/>
          <w:b/>
          <w:bCs/>
        </w:rPr>
        <w:t>. Correlation Analysis of A</w:t>
      </w:r>
      <w:r w:rsidR="0038022D" w:rsidRPr="00DE6784">
        <w:rPr>
          <w:rFonts w:ascii="Times New Roman" w:hAnsi="Times New Roman" w:cs="Times New Roman"/>
        </w:rPr>
        <w:sym w:font="Symbol" w:char="F062"/>
      </w:r>
      <w:r w:rsidR="0038022D" w:rsidRPr="00DE6784">
        <w:rPr>
          <w:rFonts w:ascii="Times New Roman" w:hAnsi="Times New Roman" w:cs="Times New Roman"/>
          <w:b/>
          <w:bCs/>
        </w:rPr>
        <w:t xml:space="preserve"> </w:t>
      </w:r>
      <w:r w:rsidR="00DE6784">
        <w:rPr>
          <w:rFonts w:ascii="Times New Roman" w:hAnsi="Times New Roman" w:cs="Times New Roman"/>
          <w:b/>
          <w:bCs/>
        </w:rPr>
        <w:t>p</w:t>
      </w:r>
      <w:r w:rsidR="0038022D" w:rsidRPr="00DE6784">
        <w:rPr>
          <w:rFonts w:ascii="Times New Roman" w:hAnsi="Times New Roman" w:cs="Times New Roman"/>
          <w:b/>
          <w:bCs/>
        </w:rPr>
        <w:t xml:space="preserve">laque </w:t>
      </w:r>
      <w:r w:rsidR="00DE6784">
        <w:rPr>
          <w:rFonts w:ascii="Times New Roman" w:hAnsi="Times New Roman" w:cs="Times New Roman"/>
          <w:b/>
          <w:bCs/>
        </w:rPr>
        <w:t>l</w:t>
      </w:r>
      <w:r w:rsidR="0038022D" w:rsidRPr="00DE6784">
        <w:rPr>
          <w:rFonts w:ascii="Times New Roman" w:hAnsi="Times New Roman" w:cs="Times New Roman"/>
          <w:b/>
          <w:bCs/>
        </w:rPr>
        <w:t xml:space="preserve">oad </w:t>
      </w:r>
      <w:r w:rsidR="00DE6784">
        <w:rPr>
          <w:rFonts w:ascii="Times New Roman" w:hAnsi="Times New Roman" w:cs="Times New Roman"/>
          <w:b/>
          <w:bCs/>
        </w:rPr>
        <w:t>and m</w:t>
      </w:r>
      <w:r w:rsidR="0038022D" w:rsidRPr="00DE6784">
        <w:rPr>
          <w:rFonts w:ascii="Times New Roman" w:hAnsi="Times New Roman" w:cs="Times New Roman"/>
          <w:b/>
          <w:bCs/>
        </w:rPr>
        <w:t xml:space="preserve">emory domains after </w:t>
      </w:r>
      <w:r w:rsidR="00DE6784">
        <w:rPr>
          <w:rFonts w:ascii="Times New Roman" w:hAnsi="Times New Roman" w:cs="Times New Roman"/>
          <w:b/>
          <w:bCs/>
        </w:rPr>
        <w:t>c</w:t>
      </w:r>
      <w:r w:rsidR="0038022D" w:rsidRPr="00DE6784">
        <w:rPr>
          <w:rFonts w:ascii="Times New Roman" w:hAnsi="Times New Roman" w:cs="Times New Roman"/>
          <w:b/>
          <w:bCs/>
        </w:rPr>
        <w:t xml:space="preserve">hronic </w:t>
      </w:r>
      <w:r w:rsidR="00DE6784">
        <w:rPr>
          <w:rFonts w:ascii="Times New Roman" w:hAnsi="Times New Roman" w:cs="Times New Roman"/>
          <w:b/>
          <w:bCs/>
        </w:rPr>
        <w:t>MS-275 t</w:t>
      </w:r>
      <w:r w:rsidR="0038022D" w:rsidRPr="00DE6784">
        <w:rPr>
          <w:rFonts w:ascii="Times New Roman" w:hAnsi="Times New Roman" w:cs="Times New Roman"/>
          <w:b/>
          <w:bCs/>
        </w:rPr>
        <w:t xml:space="preserve">reatment in the Hippocampus of 12- and 18-month-old APP/PS1 Mice. </w:t>
      </w:r>
      <w:r w:rsidR="0038022D" w:rsidRPr="00DE6784">
        <w:rPr>
          <w:rFonts w:ascii="Times New Roman" w:hAnsi="Times New Roman" w:cs="Times New Roman"/>
        </w:rPr>
        <w:t>Pearson’s correlation analysis was performed on our significant PFC data, where chronic treatment of MS-275 reduced A</w:t>
      </w:r>
      <w:r w:rsidR="0038022D" w:rsidRPr="00DE6784">
        <w:rPr>
          <w:rFonts w:ascii="Times New Roman" w:hAnsi="Times New Roman" w:cs="Times New Roman"/>
        </w:rPr>
        <w:sym w:font="Symbol" w:char="F062"/>
      </w:r>
      <w:r w:rsidR="0038022D" w:rsidRPr="00DE6784">
        <w:rPr>
          <w:rFonts w:ascii="Times New Roman" w:hAnsi="Times New Roman" w:cs="Times New Roman"/>
        </w:rPr>
        <w:t xml:space="preserve"> plaque load, however, did not significantly improve long-term spatial reference memory (</w:t>
      </w:r>
      <w:r w:rsidR="00DE6784">
        <w:rPr>
          <w:rFonts w:ascii="Times New Roman" w:hAnsi="Times New Roman" w:cs="Times New Roman"/>
          <w:b/>
          <w:bCs/>
        </w:rPr>
        <w:t>a</w:t>
      </w:r>
      <w:r w:rsidR="0038022D" w:rsidRPr="00DE6784">
        <w:rPr>
          <w:rFonts w:ascii="Times New Roman" w:hAnsi="Times New Roman" w:cs="Times New Roman"/>
        </w:rPr>
        <w:t xml:space="preserve">, </w:t>
      </w:r>
      <w:r w:rsidR="00DE6784">
        <w:rPr>
          <w:rFonts w:ascii="Times New Roman" w:hAnsi="Times New Roman" w:cs="Times New Roman"/>
          <w:b/>
          <w:bCs/>
        </w:rPr>
        <w:t>b</w:t>
      </w:r>
      <w:r w:rsidR="0038022D" w:rsidRPr="00DE6784">
        <w:rPr>
          <w:rFonts w:ascii="Times New Roman" w:hAnsi="Times New Roman" w:cs="Times New Roman"/>
        </w:rPr>
        <w:t>), but significant correlations between our A</w:t>
      </w:r>
      <w:r w:rsidR="0038022D" w:rsidRPr="00DE6784">
        <w:rPr>
          <w:rFonts w:ascii="Times New Roman" w:hAnsi="Times New Roman" w:cs="Times New Roman"/>
        </w:rPr>
        <w:sym w:font="Symbol" w:char="F062"/>
      </w:r>
      <w:r w:rsidR="0038022D" w:rsidRPr="00DE6784">
        <w:rPr>
          <w:rFonts w:ascii="Times New Roman" w:hAnsi="Times New Roman" w:cs="Times New Roman"/>
        </w:rPr>
        <w:t xml:space="preserve"> plaque load and recognition  memory (</w:t>
      </w:r>
      <w:r w:rsidR="00DE6784">
        <w:rPr>
          <w:rFonts w:ascii="Times New Roman" w:hAnsi="Times New Roman" w:cs="Times New Roman"/>
          <w:b/>
          <w:bCs/>
        </w:rPr>
        <w:t>c</w:t>
      </w:r>
      <w:r w:rsidR="0038022D" w:rsidRPr="00DE6784">
        <w:rPr>
          <w:rFonts w:ascii="Times New Roman" w:hAnsi="Times New Roman" w:cs="Times New Roman"/>
        </w:rPr>
        <w:t xml:space="preserve">, </w:t>
      </w:r>
      <w:r w:rsidR="00DE6784">
        <w:rPr>
          <w:rFonts w:ascii="Times New Roman" w:hAnsi="Times New Roman" w:cs="Times New Roman"/>
          <w:b/>
          <w:bCs/>
        </w:rPr>
        <w:t>d</w:t>
      </w:r>
      <w:r w:rsidR="0038022D" w:rsidRPr="00DE6784">
        <w:rPr>
          <w:rFonts w:ascii="Times New Roman" w:hAnsi="Times New Roman" w:cs="Times New Roman"/>
          <w:b/>
          <w:bCs/>
        </w:rPr>
        <w:t>)</w:t>
      </w:r>
      <w:r w:rsidR="0038022D" w:rsidRPr="00DE6784">
        <w:rPr>
          <w:rFonts w:ascii="Times New Roman" w:hAnsi="Times New Roman" w:cs="Times New Roman"/>
        </w:rPr>
        <w:t xml:space="preserve"> and  short-term working memory (</w:t>
      </w:r>
      <w:r w:rsidR="00DE6784">
        <w:rPr>
          <w:rFonts w:ascii="Times New Roman" w:hAnsi="Times New Roman" w:cs="Times New Roman"/>
          <w:b/>
          <w:bCs/>
        </w:rPr>
        <w:t>e</w:t>
      </w:r>
      <w:r w:rsidR="0038022D" w:rsidRPr="00DE6784">
        <w:rPr>
          <w:rFonts w:ascii="Times New Roman" w:hAnsi="Times New Roman" w:cs="Times New Roman"/>
          <w:b/>
          <w:bCs/>
        </w:rPr>
        <w:t xml:space="preserve">, </w:t>
      </w:r>
      <w:r w:rsidR="00DE6784">
        <w:rPr>
          <w:rFonts w:ascii="Times New Roman" w:hAnsi="Times New Roman" w:cs="Times New Roman"/>
          <w:b/>
          <w:bCs/>
        </w:rPr>
        <w:t>f</w:t>
      </w:r>
      <w:r w:rsidR="0038022D" w:rsidRPr="00DE6784">
        <w:rPr>
          <w:rFonts w:ascii="Times New Roman" w:hAnsi="Times New Roman" w:cs="Times New Roman"/>
          <w:b/>
          <w:bCs/>
        </w:rPr>
        <w:t xml:space="preserve">) </w:t>
      </w:r>
      <w:r w:rsidR="0038022D" w:rsidRPr="00DE6784">
        <w:rPr>
          <w:rFonts w:ascii="Times New Roman" w:hAnsi="Times New Roman" w:cs="Times New Roman"/>
        </w:rPr>
        <w:t xml:space="preserve">APP/PS1 mice (n = 5/group. </w:t>
      </w:r>
      <w:r w:rsidR="00DE6784" w:rsidRPr="00DE6784">
        <w:rPr>
          <w:rFonts w:ascii="Times New Roman" w:hAnsi="Times New Roman" w:cs="Times New Roman"/>
        </w:rPr>
        <w:t>Half-open circles represent APP/PS1 VEH treated mice, and half-open triangles represent APP/PS1 MS-275 treated mice.</w:t>
      </w:r>
    </w:p>
    <w:sectPr w:rsidR="0038022D" w:rsidRPr="00DE6784" w:rsidSect="003802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37"/>
    <w:rsid w:val="000B1C46"/>
    <w:rsid w:val="000C0E41"/>
    <w:rsid w:val="000C6DFF"/>
    <w:rsid w:val="000E01AE"/>
    <w:rsid w:val="00212280"/>
    <w:rsid w:val="0038022D"/>
    <w:rsid w:val="00394939"/>
    <w:rsid w:val="003A2FA8"/>
    <w:rsid w:val="004D34CA"/>
    <w:rsid w:val="005C108C"/>
    <w:rsid w:val="00A87B37"/>
    <w:rsid w:val="00AC276B"/>
    <w:rsid w:val="00B30CDB"/>
    <w:rsid w:val="00BA32C2"/>
    <w:rsid w:val="00C10410"/>
    <w:rsid w:val="00C23FD9"/>
    <w:rsid w:val="00CD2419"/>
    <w:rsid w:val="00D06EC7"/>
    <w:rsid w:val="00DE6784"/>
    <w:rsid w:val="00FD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19196"/>
  <w15:chartTrackingRefBased/>
  <w15:docId w15:val="{80A309ED-9342-4B10-A095-FD2670B6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DFF"/>
  </w:style>
  <w:style w:type="paragraph" w:styleId="Heading1">
    <w:name w:val="heading 1"/>
    <w:basedOn w:val="Normal"/>
    <w:next w:val="Normal"/>
    <w:link w:val="Heading1Char"/>
    <w:uiPriority w:val="9"/>
    <w:qFormat/>
    <w:rsid w:val="00A87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B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B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B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B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B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B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B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B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B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B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B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Northwestern University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 Monteiro</dc:creator>
  <cp:keywords/>
  <dc:description/>
  <cp:lastModifiedBy>Raisa Monteiro</cp:lastModifiedBy>
  <cp:revision>7</cp:revision>
  <dcterms:created xsi:type="dcterms:W3CDTF">2026-08-19T16:34:00Z</dcterms:created>
  <dcterms:modified xsi:type="dcterms:W3CDTF">2026-08-20T18:47:00Z</dcterms:modified>
</cp:coreProperties>
</file>