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3957F" w14:textId="77777777" w:rsidR="00EA2C5D" w:rsidRDefault="00EA2C5D" w:rsidP="00EA2C5D">
      <w:pPr>
        <w:jc w:val="center"/>
        <w:rPr>
          <w:b/>
        </w:rPr>
      </w:pPr>
      <w:r w:rsidRPr="00EA2C5D">
        <w:rPr>
          <w:b/>
        </w:rPr>
        <w:t>Supplementary Information</w:t>
      </w:r>
      <w:r w:rsidRPr="00EA2C5D">
        <w:rPr>
          <w:b/>
        </w:rPr>
        <w:cr/>
      </w:r>
    </w:p>
    <w:p w14:paraId="1FA0505F" w14:textId="1B8B9D70" w:rsidR="00EA2C5D" w:rsidRPr="00E6133D" w:rsidRDefault="00EA2C5D" w:rsidP="00EA2C5D">
      <w:pPr>
        <w:rPr>
          <w:rFonts w:cs="Arial"/>
        </w:rPr>
      </w:pPr>
      <w:r>
        <w:rPr>
          <w:rFonts w:cs="Arial"/>
          <w:sz w:val="28"/>
          <w:szCs w:val="28"/>
        </w:rPr>
        <w:t>N</w:t>
      </w:r>
      <w:r w:rsidRPr="00D20B57">
        <w:rPr>
          <w:rFonts w:cs="Arial"/>
          <w:sz w:val="28"/>
          <w:szCs w:val="28"/>
        </w:rPr>
        <w:t>orth American boreal forests are a large carbon source due to wildfires from 1986 to 2016</w:t>
      </w:r>
    </w:p>
    <w:p w14:paraId="64380F1F" w14:textId="77777777" w:rsidR="00EA2C5D" w:rsidRPr="006B6AA3" w:rsidRDefault="00EA2C5D" w:rsidP="00EA2C5D">
      <w:pPr>
        <w:contextualSpacing/>
        <w:rPr>
          <w:rFonts w:cs="Arial"/>
        </w:rPr>
      </w:pPr>
      <w:r w:rsidRPr="006B6AA3">
        <w:rPr>
          <w:rFonts w:cs="Arial"/>
        </w:rPr>
        <w:t>Bailu Zhao</w:t>
      </w:r>
      <w:r w:rsidRPr="006B6AA3">
        <w:rPr>
          <w:rFonts w:cs="Arial"/>
          <w:vertAlign w:val="superscript"/>
        </w:rPr>
        <w:t>1</w:t>
      </w:r>
      <w:r w:rsidRPr="006B6AA3">
        <w:rPr>
          <w:rFonts w:cs="Arial"/>
        </w:rPr>
        <w:t xml:space="preserve">, </w:t>
      </w:r>
      <w:proofErr w:type="spellStart"/>
      <w:r w:rsidRPr="006B6AA3">
        <w:rPr>
          <w:rFonts w:cs="Arial"/>
        </w:rPr>
        <w:t>Qianlai</w:t>
      </w:r>
      <w:proofErr w:type="spellEnd"/>
      <w:r w:rsidRPr="006B6AA3">
        <w:rPr>
          <w:rFonts w:cs="Arial"/>
        </w:rPr>
        <w:t xml:space="preserve"> Zhuang</w:t>
      </w:r>
      <w:r w:rsidRPr="006B6AA3">
        <w:rPr>
          <w:rFonts w:cs="Arial"/>
          <w:vertAlign w:val="superscript"/>
        </w:rPr>
        <w:t>1,2</w:t>
      </w:r>
      <w:r w:rsidRPr="006B6AA3">
        <w:rPr>
          <w:rFonts w:cs="Arial"/>
        </w:rPr>
        <w:t xml:space="preserve">, </w:t>
      </w:r>
      <w:proofErr w:type="spellStart"/>
      <w:r w:rsidRPr="006B6AA3">
        <w:rPr>
          <w:rFonts w:cs="Arial"/>
        </w:rPr>
        <w:t>Narasinha</w:t>
      </w:r>
      <w:proofErr w:type="spellEnd"/>
      <w:r w:rsidRPr="006B6AA3">
        <w:rPr>
          <w:rFonts w:cs="Arial"/>
        </w:rPr>
        <w:t xml:space="preserve"> Shurpali</w:t>
      </w:r>
      <w:r w:rsidRPr="006B6AA3">
        <w:rPr>
          <w:rFonts w:cs="Arial"/>
          <w:vertAlign w:val="superscript"/>
        </w:rPr>
        <w:t>3</w:t>
      </w:r>
      <w:r w:rsidRPr="006B6AA3">
        <w:rPr>
          <w:rFonts w:cs="Arial"/>
        </w:rPr>
        <w:t xml:space="preserve">, </w:t>
      </w:r>
      <w:proofErr w:type="spellStart"/>
      <w:r w:rsidRPr="006B6AA3">
        <w:rPr>
          <w:rFonts w:cs="Arial"/>
        </w:rPr>
        <w:t>Kajar</w:t>
      </w:r>
      <w:proofErr w:type="spellEnd"/>
      <w:r w:rsidRPr="006B6AA3">
        <w:rPr>
          <w:rFonts w:cs="Arial"/>
        </w:rPr>
        <w:t xml:space="preserve"> Köster</w:t>
      </w:r>
      <w:r w:rsidRPr="006B6AA3">
        <w:rPr>
          <w:rFonts w:cs="Arial"/>
          <w:vertAlign w:val="superscript"/>
        </w:rPr>
        <w:t>4</w:t>
      </w:r>
      <w:r w:rsidRPr="006B6AA3">
        <w:rPr>
          <w:rFonts w:cs="Arial"/>
        </w:rPr>
        <w:t>, Frank Berninger</w:t>
      </w:r>
      <w:r w:rsidRPr="006B6AA3">
        <w:rPr>
          <w:rFonts w:cs="Arial"/>
          <w:vertAlign w:val="superscript"/>
        </w:rPr>
        <w:t>5</w:t>
      </w:r>
      <w:r w:rsidRPr="006B6AA3">
        <w:rPr>
          <w:rFonts w:cs="Arial"/>
        </w:rPr>
        <w:t xml:space="preserve">, </w:t>
      </w:r>
      <w:proofErr w:type="spellStart"/>
      <w:r w:rsidRPr="006B6AA3">
        <w:rPr>
          <w:rFonts w:cs="Arial"/>
        </w:rPr>
        <w:t>Jukka</w:t>
      </w:r>
      <w:proofErr w:type="spellEnd"/>
      <w:r w:rsidRPr="006B6AA3">
        <w:rPr>
          <w:rFonts w:cs="Arial"/>
        </w:rPr>
        <w:t xml:space="preserve"> Pumpanen</w:t>
      </w:r>
      <w:r w:rsidRPr="006B6AA3">
        <w:rPr>
          <w:rFonts w:cs="Arial"/>
          <w:vertAlign w:val="superscript"/>
        </w:rPr>
        <w:t>6</w:t>
      </w:r>
    </w:p>
    <w:p w14:paraId="55A90475" w14:textId="77777777" w:rsidR="00EA2C5D" w:rsidRPr="006B6AA3" w:rsidRDefault="00EA2C5D" w:rsidP="00EA2C5D">
      <w:pPr>
        <w:contextualSpacing/>
        <w:rPr>
          <w:rFonts w:cs="Arial"/>
        </w:rPr>
      </w:pPr>
    </w:p>
    <w:p w14:paraId="501CE16F" w14:textId="77777777" w:rsidR="00EA2C5D" w:rsidRPr="006B6AA3" w:rsidRDefault="00EA2C5D" w:rsidP="00EA2C5D">
      <w:pPr>
        <w:spacing w:after="203"/>
        <w:contextualSpacing/>
        <w:rPr>
          <w:rFonts w:cs="Arial"/>
          <w:shd w:val="clear" w:color="auto" w:fill="FFFFFF"/>
        </w:rPr>
      </w:pPr>
      <w:r w:rsidRPr="006B6AA3">
        <w:rPr>
          <w:rFonts w:cs="Arial"/>
          <w:shd w:val="clear" w:color="auto" w:fill="FFFFFF"/>
          <w:vertAlign w:val="superscript"/>
        </w:rPr>
        <w:t>1</w:t>
      </w:r>
      <w:r w:rsidRPr="006B6AA3">
        <w:rPr>
          <w:rFonts w:cs="Arial"/>
          <w:shd w:val="clear" w:color="auto" w:fill="FFFFFF"/>
        </w:rPr>
        <w:t>Department of Earth, Atmospheric, and Planetary Sciences, Purdue University, West Lafayette, Indiana, 47907</w:t>
      </w:r>
    </w:p>
    <w:p w14:paraId="7F012C7F" w14:textId="77777777" w:rsidR="00EA2C5D" w:rsidRPr="006B6AA3" w:rsidRDefault="00EA2C5D" w:rsidP="00EA2C5D">
      <w:pPr>
        <w:spacing w:after="203"/>
        <w:contextualSpacing/>
        <w:rPr>
          <w:rFonts w:cs="Arial"/>
          <w:shd w:val="clear" w:color="auto" w:fill="FFFFFF"/>
        </w:rPr>
      </w:pPr>
      <w:r w:rsidRPr="006B6AA3">
        <w:rPr>
          <w:rFonts w:cs="Arial"/>
          <w:shd w:val="clear" w:color="auto" w:fill="FFFFFF"/>
          <w:vertAlign w:val="superscript"/>
        </w:rPr>
        <w:t>2</w:t>
      </w:r>
      <w:r w:rsidRPr="006B6AA3">
        <w:rPr>
          <w:rFonts w:cs="Arial"/>
          <w:shd w:val="clear" w:color="auto" w:fill="FFFFFF"/>
        </w:rPr>
        <w:t>Department of Agronomy, Purdue University, West Lafayette, IN 47907</w:t>
      </w:r>
    </w:p>
    <w:p w14:paraId="6B1507C9" w14:textId="77777777" w:rsidR="00EA2C5D" w:rsidRPr="006B6AA3" w:rsidRDefault="00EA2C5D" w:rsidP="00EA2C5D">
      <w:pPr>
        <w:contextualSpacing/>
        <w:rPr>
          <w:rFonts w:cs="Arial"/>
        </w:rPr>
      </w:pPr>
      <w:r w:rsidRPr="006B6AA3">
        <w:rPr>
          <w:rFonts w:cs="Arial"/>
          <w:vertAlign w:val="superscript"/>
        </w:rPr>
        <w:t>3</w:t>
      </w:r>
      <w:r w:rsidRPr="006B6AA3">
        <w:rPr>
          <w:rFonts w:cs="Arial"/>
        </w:rPr>
        <w:t>Natural Resources Institute Finland (Luke)</w:t>
      </w:r>
    </w:p>
    <w:p w14:paraId="20D88968" w14:textId="77777777" w:rsidR="00EA2C5D" w:rsidRPr="006B6AA3" w:rsidRDefault="00EA2C5D" w:rsidP="00EA2C5D">
      <w:pPr>
        <w:contextualSpacing/>
        <w:rPr>
          <w:rFonts w:cs="Arial"/>
        </w:rPr>
      </w:pPr>
      <w:r w:rsidRPr="006B6AA3">
        <w:rPr>
          <w:rFonts w:cs="Arial"/>
          <w:vertAlign w:val="superscript"/>
        </w:rPr>
        <w:t>4</w:t>
      </w:r>
      <w:r w:rsidRPr="006B6AA3">
        <w:rPr>
          <w:rFonts w:cs="Arial"/>
        </w:rPr>
        <w:t>Department of Forest Sciences, University of Helsinki, PO Box 27, FI-00014 University of Helsinki, Finland</w:t>
      </w:r>
    </w:p>
    <w:p w14:paraId="2E1C171A" w14:textId="77777777" w:rsidR="00EA2C5D" w:rsidRPr="006B6AA3" w:rsidRDefault="00EA2C5D" w:rsidP="00EA2C5D">
      <w:pPr>
        <w:contextualSpacing/>
        <w:rPr>
          <w:rFonts w:cs="Arial"/>
        </w:rPr>
      </w:pPr>
      <w:r w:rsidRPr="006B6AA3">
        <w:rPr>
          <w:rFonts w:cs="Arial"/>
          <w:vertAlign w:val="superscript"/>
        </w:rPr>
        <w:t>5</w:t>
      </w:r>
      <w:r w:rsidRPr="006B6AA3">
        <w:rPr>
          <w:rFonts w:cs="Arial"/>
        </w:rPr>
        <w:t>Department of Environmental and Biological Sciences, University of Eastern Finland, PO Box 111, FI-80101 Joensuu, Finland</w:t>
      </w:r>
    </w:p>
    <w:p w14:paraId="06AEFC64" w14:textId="77777777" w:rsidR="00EA2C5D" w:rsidRDefault="00EA2C5D" w:rsidP="00EA2C5D">
      <w:pPr>
        <w:contextualSpacing/>
        <w:rPr>
          <w:rFonts w:cs="Arial"/>
        </w:rPr>
      </w:pPr>
      <w:r w:rsidRPr="006B6AA3">
        <w:rPr>
          <w:rFonts w:cs="Arial"/>
          <w:vertAlign w:val="superscript"/>
        </w:rPr>
        <w:t>6</w:t>
      </w:r>
      <w:r w:rsidRPr="006B6AA3">
        <w:rPr>
          <w:rFonts w:cs="Arial"/>
        </w:rPr>
        <w:t>Department of Environmental and Biological Sciences, University of Eastern Finland, PO Box 1627, FI-70211 Kuopio, Finland</w:t>
      </w:r>
    </w:p>
    <w:p w14:paraId="021547CC" w14:textId="70AFACF6" w:rsidR="00EA2C5D" w:rsidRDefault="00EA2C5D" w:rsidP="00EA2C5D">
      <w:pPr>
        <w:rPr>
          <w:rStyle w:val="Hyperlink"/>
          <w:rFonts w:cs="Arial"/>
        </w:rPr>
      </w:pPr>
      <w:r w:rsidRPr="00E6133D">
        <w:rPr>
          <w:rFonts w:cs="Arial"/>
        </w:rPr>
        <w:t xml:space="preserve">* </w:t>
      </w:r>
      <w:r>
        <w:rPr>
          <w:rFonts w:cs="Arial"/>
        </w:rPr>
        <w:t xml:space="preserve">Correspondence to: </w:t>
      </w:r>
      <w:hyperlink r:id="rId8" w:history="1">
        <w:r w:rsidRPr="00DB746B">
          <w:rPr>
            <w:rStyle w:val="Hyperlink"/>
            <w:rFonts w:cs="Arial"/>
          </w:rPr>
          <w:t>qzhuang@purdue.edu</w:t>
        </w:r>
      </w:hyperlink>
    </w:p>
    <w:p w14:paraId="1CAD1227" w14:textId="07EF7256" w:rsidR="005D7701" w:rsidRPr="005D7701" w:rsidRDefault="00EA2C5D" w:rsidP="005D7701">
      <w:pPr>
        <w:ind w:left="-630"/>
        <w:rPr>
          <w:rFonts w:cs="Arial"/>
          <w:color w:val="0000FF"/>
          <w:u w:val="single"/>
        </w:rPr>
      </w:pPr>
      <w:r>
        <w:rPr>
          <w:rStyle w:val="Hyperlink"/>
          <w:rFonts w:cs="Arial"/>
        </w:rPr>
        <w:br w:type="page"/>
      </w:r>
    </w:p>
    <w:p w14:paraId="7C503DF9" w14:textId="65DCFAA1" w:rsidR="00B4734E" w:rsidRPr="00EA2C5D" w:rsidRDefault="00EE4EDC" w:rsidP="00EA2C5D">
      <w:pPr>
        <w:ind w:left="-630"/>
        <w:rPr>
          <w:rFonts w:cs="Arial"/>
          <w:color w:val="0000FF"/>
          <w:u w:val="single"/>
        </w:rPr>
      </w:pPr>
      <w:r w:rsidRPr="00EE4EDC">
        <w:rPr>
          <w:noProof/>
          <w:color w:val="000000"/>
          <w:lang w:eastAsia="zh-CN"/>
        </w:rPr>
        <w:lastRenderedPageBreak/>
        <w:drawing>
          <wp:inline distT="0" distB="0" distL="0" distR="0" wp14:anchorId="05498B0E" wp14:editId="2798DA33">
            <wp:extent cx="6074172" cy="486918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84890" cy="4877772"/>
                    </a:xfrm>
                    <a:prstGeom prst="rect">
                      <a:avLst/>
                    </a:prstGeom>
                  </pic:spPr>
                </pic:pic>
              </a:graphicData>
            </a:graphic>
          </wp:inline>
        </w:drawing>
      </w:r>
    </w:p>
    <w:p w14:paraId="2D666428" w14:textId="670C8285" w:rsidR="00B4734E" w:rsidRPr="00EA2C5D" w:rsidRDefault="00EA2C5D" w:rsidP="00FB3374">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1</w:t>
      </w:r>
      <w:r w:rsidRPr="00EA2C5D">
        <w:rPr>
          <w:rFonts w:ascii="Arial" w:hAnsi="Arial" w:cs="Arial"/>
          <w:b/>
          <w:sz w:val="20"/>
        </w:rPr>
        <w:t>.</w:t>
      </w:r>
      <w:r w:rsidRPr="00EA2C5D">
        <w:rPr>
          <w:rFonts w:ascii="Arial" w:hAnsi="Arial" w:cs="Arial"/>
          <w:sz w:val="20"/>
        </w:rPr>
        <w:t xml:space="preserve"> </w:t>
      </w:r>
      <w:r w:rsidR="00B4734E" w:rsidRPr="00EA2C5D">
        <w:rPr>
          <w:rFonts w:ascii="Arial" w:hAnsi="Arial" w:cs="Arial"/>
          <w:sz w:val="20"/>
        </w:rPr>
        <w:t>Temporal variations (1986-2016) of ecosystem C flux and stock in the</w:t>
      </w:r>
      <w:r w:rsidR="003712EB" w:rsidRPr="00EA2C5D">
        <w:rPr>
          <w:rFonts w:ascii="Arial" w:hAnsi="Arial" w:cs="Arial"/>
          <w:sz w:val="20"/>
        </w:rPr>
        <w:t xml:space="preserve"> NA boreal forest (flux in </w:t>
      </w:r>
      <w:proofErr w:type="spellStart"/>
      <w:r w:rsidR="003712EB" w:rsidRPr="00EA2C5D">
        <w:rPr>
          <w:rFonts w:ascii="Arial" w:hAnsi="Arial" w:cs="Arial"/>
          <w:sz w:val="20"/>
        </w:rPr>
        <w:t>Pg</w:t>
      </w:r>
      <w:proofErr w:type="spellEnd"/>
      <w:r w:rsidR="003712EB" w:rsidRPr="00EA2C5D">
        <w:rPr>
          <w:rFonts w:ascii="Arial" w:hAnsi="Arial" w:cs="Arial"/>
          <w:sz w:val="20"/>
        </w:rPr>
        <w:t xml:space="preserve"> C </w:t>
      </w:r>
      <w:r w:rsidR="00B4734E" w:rsidRPr="00EA2C5D">
        <w:rPr>
          <w:rFonts w:ascii="Arial" w:hAnsi="Arial" w:cs="Arial"/>
          <w:sz w:val="20"/>
        </w:rPr>
        <w:t>yr</w:t>
      </w:r>
      <w:r w:rsidR="003712EB" w:rsidRPr="00EA2C5D">
        <w:rPr>
          <w:rFonts w:ascii="Arial" w:hAnsi="Arial" w:cs="Arial"/>
          <w:sz w:val="20"/>
          <w:vertAlign w:val="superscript"/>
        </w:rPr>
        <w:t>-1</w:t>
      </w:r>
      <w:r w:rsidR="00B4734E" w:rsidRPr="00EA2C5D">
        <w:rPr>
          <w:rFonts w:ascii="Arial" w:hAnsi="Arial" w:cs="Arial"/>
          <w:sz w:val="20"/>
        </w:rPr>
        <w:t xml:space="preserve">, stock in </w:t>
      </w:r>
      <w:proofErr w:type="spellStart"/>
      <w:r w:rsidR="00B4734E" w:rsidRPr="00EA2C5D">
        <w:rPr>
          <w:rFonts w:ascii="Arial" w:hAnsi="Arial" w:cs="Arial"/>
          <w:sz w:val="20"/>
        </w:rPr>
        <w:t>Pg</w:t>
      </w:r>
      <w:proofErr w:type="spellEnd"/>
      <w:r w:rsidR="00B4734E" w:rsidRPr="00EA2C5D">
        <w:rPr>
          <w:rFonts w:ascii="Arial" w:hAnsi="Arial" w:cs="Arial"/>
          <w:sz w:val="20"/>
        </w:rPr>
        <w:t xml:space="preserve"> C). The variation of (a) annual C emitted by biomass combustion; (b) annual regional average vegetation C storage under fire and no-fire scenario; (c) annual regional average soil organic C storage under fire and no-fire scenario; (d) annual regional total NPP under fire and no-fire scenario; (e) annual regional total R</w:t>
      </w:r>
      <w:r w:rsidR="00B4734E" w:rsidRPr="00EA2C5D">
        <w:rPr>
          <w:rFonts w:ascii="Arial" w:hAnsi="Arial" w:cs="Arial"/>
          <w:sz w:val="20"/>
          <w:vertAlign w:val="subscript"/>
        </w:rPr>
        <w:t>H</w:t>
      </w:r>
      <w:r w:rsidR="00B4734E" w:rsidRPr="00EA2C5D">
        <w:rPr>
          <w:rFonts w:ascii="Arial" w:hAnsi="Arial" w:cs="Arial"/>
          <w:sz w:val="20"/>
        </w:rPr>
        <w:t xml:space="preserve"> under fire and no-fire scenario; (f) annual regional total NEP under fire and no-fire scenario; (g) annual regional total NPP difference between fire and no-fire scenario and its fitting line; (h) annual regional total R</w:t>
      </w:r>
      <w:r w:rsidR="00B4734E" w:rsidRPr="00EA2C5D">
        <w:rPr>
          <w:rFonts w:ascii="Arial" w:hAnsi="Arial" w:cs="Arial"/>
          <w:sz w:val="20"/>
          <w:vertAlign w:val="subscript"/>
        </w:rPr>
        <w:t>H</w:t>
      </w:r>
      <w:r w:rsidR="00B4734E" w:rsidRPr="00EA2C5D">
        <w:rPr>
          <w:rFonts w:ascii="Arial" w:hAnsi="Arial" w:cs="Arial"/>
          <w:sz w:val="20"/>
        </w:rPr>
        <w:t xml:space="preserve"> difference between fire and no-fire scenario and its fitting line; (</w:t>
      </w:r>
      <w:proofErr w:type="spellStart"/>
      <w:r w:rsidR="00B4734E" w:rsidRPr="00EA2C5D">
        <w:rPr>
          <w:rFonts w:ascii="Arial" w:hAnsi="Arial" w:cs="Arial"/>
          <w:sz w:val="20"/>
        </w:rPr>
        <w:t>i</w:t>
      </w:r>
      <w:proofErr w:type="spellEnd"/>
      <w:r w:rsidR="00B4734E" w:rsidRPr="00EA2C5D">
        <w:rPr>
          <w:rFonts w:ascii="Arial" w:hAnsi="Arial" w:cs="Arial"/>
          <w:sz w:val="20"/>
        </w:rPr>
        <w:t>) annual regional total NEP difference between fire and no-fire scenario and its fitting line.</w:t>
      </w:r>
    </w:p>
    <w:p w14:paraId="4FAE62ED" w14:textId="77777777" w:rsidR="00B4734E" w:rsidRDefault="00B4734E">
      <w:pPr>
        <w:rPr>
          <w:rFonts w:ascii="Arial" w:hAnsi="Arial" w:cs="Arial"/>
          <w:color w:val="000000"/>
          <w:sz w:val="20"/>
        </w:rPr>
      </w:pPr>
      <w:r>
        <w:rPr>
          <w:rFonts w:ascii="Arial" w:hAnsi="Arial" w:cs="Arial"/>
          <w:color w:val="000000"/>
          <w:sz w:val="20"/>
        </w:rPr>
        <w:br w:type="page"/>
      </w:r>
    </w:p>
    <w:p w14:paraId="5DA4DC6B" w14:textId="455F4912" w:rsidR="00B4734E" w:rsidRDefault="00B77717" w:rsidP="00A4038F">
      <w:pPr>
        <w:spacing w:line="480" w:lineRule="auto"/>
        <w:ind w:left="-270"/>
        <w:contextualSpacing/>
        <w:rPr>
          <w:color w:val="000000"/>
        </w:rPr>
      </w:pPr>
      <w:r w:rsidRPr="00B77717">
        <w:rPr>
          <w:noProof/>
          <w:color w:val="000000"/>
          <w:lang w:eastAsia="zh-CN"/>
        </w:rPr>
        <w:lastRenderedPageBreak/>
        <w:drawing>
          <wp:inline distT="0" distB="0" distL="0" distR="0" wp14:anchorId="738321C9" wp14:editId="6089A34E">
            <wp:extent cx="5868202" cy="6256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75074" cy="6263346"/>
                    </a:xfrm>
                    <a:prstGeom prst="rect">
                      <a:avLst/>
                    </a:prstGeom>
                  </pic:spPr>
                </pic:pic>
              </a:graphicData>
            </a:graphic>
          </wp:inline>
        </w:drawing>
      </w:r>
    </w:p>
    <w:p w14:paraId="18A8D0A9" w14:textId="72CEF5E4" w:rsidR="00B4734E" w:rsidRPr="00EA2C5D" w:rsidRDefault="00EA2C5D" w:rsidP="00FB3374">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2</w:t>
      </w:r>
      <w:r w:rsidRPr="00EA2C5D">
        <w:rPr>
          <w:rFonts w:ascii="Arial" w:hAnsi="Arial" w:cs="Arial"/>
          <w:b/>
          <w:sz w:val="20"/>
        </w:rPr>
        <w:t>.</w:t>
      </w:r>
      <w:r w:rsidRPr="00EA2C5D">
        <w:rPr>
          <w:rFonts w:ascii="Arial" w:hAnsi="Arial" w:cs="Arial"/>
          <w:sz w:val="20"/>
        </w:rPr>
        <w:t xml:space="preserve"> </w:t>
      </w:r>
      <w:r w:rsidR="007743AE" w:rsidRPr="00EA2C5D">
        <w:rPr>
          <w:rFonts w:ascii="Arial" w:hAnsi="Arial" w:cs="Arial"/>
          <w:sz w:val="20"/>
        </w:rPr>
        <w:t>E</w:t>
      </w:r>
      <w:r w:rsidR="00B4734E" w:rsidRPr="00EA2C5D">
        <w:rPr>
          <w:rFonts w:ascii="Arial" w:hAnsi="Arial" w:cs="Arial"/>
          <w:sz w:val="20"/>
        </w:rPr>
        <w:t>mission pattern during- and post-fires: (a) The amount of C combustion from vegetation and soils. The values are based on the average and standard deviation of all fire events. (b) In the total soil emission since the year of fire, the percentage contributed by soil organic combustion. (c) In the total ecosystem emission since the year of fire, the percentage contributed by combustion (vegetation plus soil</w:t>
      </w:r>
      <w:r w:rsidR="00915671">
        <w:rPr>
          <w:rFonts w:ascii="Arial" w:hAnsi="Arial" w:cs="Arial"/>
          <w:sz w:val="20"/>
        </w:rPr>
        <w:t xml:space="preserve"> emissions</w:t>
      </w:r>
      <w:r w:rsidR="00B4734E" w:rsidRPr="00EA2C5D">
        <w:rPr>
          <w:rFonts w:ascii="Arial" w:hAnsi="Arial" w:cs="Arial"/>
          <w:sz w:val="20"/>
        </w:rPr>
        <w:t>). (d) The ratio between the total emission related to fire (i.e., the emission difference between the fire and the no-fire scenario) and the during-fire emission. Figure (b), (c) and (d) are generated from simulations that burned only once.</w:t>
      </w:r>
    </w:p>
    <w:p w14:paraId="155304D4" w14:textId="35AAC4F3" w:rsidR="00B4734E" w:rsidRDefault="00B4734E">
      <w:pPr>
        <w:rPr>
          <w:rFonts w:ascii="Arial" w:hAnsi="Arial" w:cs="Arial"/>
          <w:color w:val="000000"/>
          <w:sz w:val="20"/>
        </w:rPr>
      </w:pPr>
      <w:r>
        <w:rPr>
          <w:rFonts w:ascii="Arial" w:hAnsi="Arial" w:cs="Arial"/>
          <w:color w:val="000000"/>
          <w:sz w:val="20"/>
        </w:rPr>
        <w:br w:type="page"/>
      </w:r>
    </w:p>
    <w:p w14:paraId="08CC8FDA" w14:textId="77777777" w:rsidR="00EA2C5D" w:rsidRPr="00B35517" w:rsidRDefault="00EA2C5D" w:rsidP="00EA2C5D">
      <w:pPr>
        <w:spacing w:line="480" w:lineRule="auto"/>
        <w:ind w:left="-360"/>
        <w:contextualSpacing/>
        <w:rPr>
          <w:szCs w:val="24"/>
        </w:rPr>
      </w:pPr>
      <w:r>
        <w:rPr>
          <w:noProof/>
          <w:szCs w:val="24"/>
          <w:lang w:eastAsia="zh-CN"/>
        </w:rPr>
        <w:lastRenderedPageBreak/>
        <w:drawing>
          <wp:inline distT="0" distB="0" distL="0" distR="0" wp14:anchorId="08B3E6A7" wp14:editId="78A437F5">
            <wp:extent cx="5951220" cy="2575560"/>
            <wp:effectExtent l="0" t="0" r="0" b="0"/>
            <wp:docPr id="3" name="Picture 3" descr="twoMethod_CBI_dN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Method_CBI_dNBR"/>
                    <pic:cNvPicPr>
                      <a:picLocks noChangeAspect="1" noChangeArrowheads="1"/>
                    </pic:cNvPicPr>
                  </pic:nvPicPr>
                  <pic:blipFill>
                    <a:blip r:embed="rId11" cstate="print">
                      <a:extLst>
                        <a:ext uri="{28A0092B-C50C-407E-A947-70E740481C1C}">
                          <a14:useLocalDpi xmlns:a14="http://schemas.microsoft.com/office/drawing/2010/main" val="0"/>
                        </a:ext>
                      </a:extLst>
                    </a:blip>
                    <a:srcRect l="5449" r="7692"/>
                    <a:stretch>
                      <a:fillRect/>
                    </a:stretch>
                  </pic:blipFill>
                  <pic:spPr bwMode="auto">
                    <a:xfrm>
                      <a:off x="0" y="0"/>
                      <a:ext cx="5951220" cy="2575560"/>
                    </a:xfrm>
                    <a:prstGeom prst="rect">
                      <a:avLst/>
                    </a:prstGeom>
                    <a:noFill/>
                    <a:ln>
                      <a:noFill/>
                    </a:ln>
                  </pic:spPr>
                </pic:pic>
              </a:graphicData>
            </a:graphic>
          </wp:inline>
        </w:drawing>
      </w:r>
    </w:p>
    <w:p w14:paraId="2AB7416A" w14:textId="5EA4C612" w:rsidR="00EA2C5D" w:rsidRPr="00EA2C5D" w:rsidRDefault="00EA2C5D" w:rsidP="00EA2C5D">
      <w:pPr>
        <w:pStyle w:val="SMcaption"/>
        <w:rPr>
          <w:rFonts w:ascii="Arial" w:hAnsi="Arial" w:cs="Arial"/>
          <w:sz w:val="20"/>
        </w:rPr>
      </w:pPr>
      <w:r w:rsidRPr="00EA2C5D">
        <w:rPr>
          <w:rFonts w:ascii="Arial" w:hAnsi="Arial" w:cs="Arial"/>
          <w:b/>
          <w:sz w:val="20"/>
        </w:rPr>
        <w:t xml:space="preserve">Supplementary Figure </w:t>
      </w:r>
      <w:r>
        <w:rPr>
          <w:rFonts w:ascii="Arial" w:hAnsi="Arial" w:cs="Arial"/>
          <w:b/>
          <w:sz w:val="20"/>
        </w:rPr>
        <w:t>3</w:t>
      </w:r>
      <w:r w:rsidRPr="00EA2C5D">
        <w:rPr>
          <w:rFonts w:ascii="Arial" w:hAnsi="Arial" w:cs="Arial"/>
          <w:b/>
          <w:sz w:val="20"/>
        </w:rPr>
        <w:t>.</w:t>
      </w:r>
      <w:r w:rsidRPr="00EA2C5D">
        <w:rPr>
          <w:rFonts w:ascii="Arial" w:hAnsi="Arial" w:cs="Arial"/>
          <w:sz w:val="20"/>
        </w:rPr>
        <w:t xml:space="preserve"> Comparison between two methods of extracting </w:t>
      </w:r>
      <w:proofErr w:type="spellStart"/>
      <w:r w:rsidRPr="00EA2C5D">
        <w:rPr>
          <w:rFonts w:ascii="Arial" w:hAnsi="Arial" w:cs="Arial"/>
          <w:sz w:val="20"/>
        </w:rPr>
        <w:t>dNBR</w:t>
      </w:r>
      <w:proofErr w:type="spellEnd"/>
      <w:r w:rsidRPr="00EA2C5D">
        <w:rPr>
          <w:rFonts w:ascii="Arial" w:hAnsi="Arial" w:cs="Arial"/>
          <w:sz w:val="20"/>
        </w:rPr>
        <w:t xml:space="preserve"> and correlation between </w:t>
      </w:r>
      <w:proofErr w:type="spellStart"/>
      <w:r w:rsidRPr="00EA2C5D">
        <w:rPr>
          <w:rFonts w:ascii="Arial" w:hAnsi="Arial" w:cs="Arial"/>
          <w:sz w:val="20"/>
        </w:rPr>
        <w:t>dNBR</w:t>
      </w:r>
      <w:proofErr w:type="spellEnd"/>
      <w:r w:rsidRPr="00EA2C5D">
        <w:rPr>
          <w:rFonts w:ascii="Arial" w:hAnsi="Arial" w:cs="Arial"/>
          <w:sz w:val="20"/>
        </w:rPr>
        <w:t xml:space="preserve"> and CBI</w:t>
      </w:r>
      <w:r w:rsidR="00915671">
        <w:rPr>
          <w:rFonts w:ascii="Arial" w:hAnsi="Arial" w:cs="Arial"/>
          <w:sz w:val="20"/>
        </w:rPr>
        <w:t>:</w:t>
      </w:r>
      <w:r w:rsidRPr="00EA2C5D">
        <w:rPr>
          <w:rFonts w:ascii="Arial" w:hAnsi="Arial" w:cs="Arial"/>
          <w:sz w:val="20"/>
        </w:rPr>
        <w:t xml:space="preserve"> (a) </w:t>
      </w:r>
      <w:proofErr w:type="gramStart"/>
      <w:r w:rsidRPr="00EA2C5D">
        <w:rPr>
          <w:rFonts w:ascii="Arial" w:hAnsi="Arial" w:cs="Arial"/>
          <w:sz w:val="20"/>
        </w:rPr>
        <w:t>The</w:t>
      </w:r>
      <w:proofErr w:type="gramEnd"/>
      <w:r w:rsidRPr="00EA2C5D">
        <w:rPr>
          <w:rFonts w:ascii="Arial" w:hAnsi="Arial" w:cs="Arial"/>
          <w:sz w:val="20"/>
        </w:rPr>
        <w:t xml:space="preserve"> comparison between two different methods to calculate the background </w:t>
      </w:r>
      <w:proofErr w:type="spellStart"/>
      <w:r w:rsidRPr="00EA2C5D">
        <w:rPr>
          <w:rFonts w:ascii="Arial" w:hAnsi="Arial" w:cs="Arial"/>
          <w:sz w:val="20"/>
        </w:rPr>
        <w:t>dNBR</w:t>
      </w:r>
      <w:proofErr w:type="spellEnd"/>
      <w:r w:rsidRPr="00EA2C5D">
        <w:rPr>
          <w:rFonts w:ascii="Arial" w:hAnsi="Arial" w:cs="Arial"/>
          <w:sz w:val="20"/>
        </w:rPr>
        <w:t xml:space="preserve">. For the x axis, ‘buffer zone’ refers to the area between 1500 and 1800m out of the fire boundary. The black line represents the 1:1 line of x axis. The samples are all fire events in Alaska boreal forest during 2014-2018 (n = 634). (b) The linear correlation between </w:t>
      </w:r>
      <w:proofErr w:type="spellStart"/>
      <w:r w:rsidRPr="00EA2C5D">
        <w:rPr>
          <w:rFonts w:ascii="Arial" w:hAnsi="Arial" w:cs="Arial"/>
          <w:sz w:val="20"/>
        </w:rPr>
        <w:t>dNBR</w:t>
      </w:r>
      <w:proofErr w:type="spellEnd"/>
      <w:r w:rsidRPr="00EA2C5D">
        <w:rPr>
          <w:rFonts w:ascii="Arial" w:hAnsi="Arial" w:cs="Arial"/>
          <w:sz w:val="20"/>
        </w:rPr>
        <w:t xml:space="preserve"> and CBI (n = 234).</w:t>
      </w:r>
    </w:p>
    <w:p w14:paraId="73527019" w14:textId="14936C3D" w:rsidR="00EA2C5D" w:rsidRPr="00EA2C5D" w:rsidRDefault="00EA2C5D">
      <w:pPr>
        <w:rPr>
          <w:szCs w:val="24"/>
        </w:rPr>
      </w:pPr>
      <w:r>
        <w:rPr>
          <w:szCs w:val="24"/>
        </w:rPr>
        <w:br w:type="page"/>
      </w:r>
    </w:p>
    <w:p w14:paraId="47222E75" w14:textId="59031DA4" w:rsidR="00EA2C5D" w:rsidRPr="00EA2C5D" w:rsidRDefault="00EA2C5D" w:rsidP="00EA2C5D">
      <w:pPr>
        <w:pStyle w:val="SMHeading"/>
        <w:rPr>
          <w:rFonts w:ascii="Arial" w:hAnsi="Arial" w:cs="Arial"/>
          <w:b w:val="0"/>
          <w:sz w:val="20"/>
          <w:szCs w:val="20"/>
        </w:rPr>
      </w:pPr>
      <w:r w:rsidRPr="00EA2C5D">
        <w:rPr>
          <w:rFonts w:ascii="Arial" w:hAnsi="Arial" w:cs="Arial"/>
          <w:sz w:val="20"/>
          <w:szCs w:val="20"/>
        </w:rPr>
        <w:lastRenderedPageBreak/>
        <w:t>Supplementary T</w:t>
      </w:r>
      <w:r>
        <w:rPr>
          <w:rFonts w:ascii="Arial" w:hAnsi="Arial" w:cs="Arial"/>
          <w:sz w:val="20"/>
          <w:szCs w:val="20"/>
        </w:rPr>
        <w:t>able 1</w:t>
      </w:r>
      <w:r w:rsidRPr="00EA2C5D">
        <w:rPr>
          <w:rFonts w:ascii="Arial" w:hAnsi="Arial" w:cs="Arial"/>
          <w:sz w:val="20"/>
          <w:szCs w:val="20"/>
        </w:rPr>
        <w:t>.</w:t>
      </w:r>
      <w:r w:rsidRPr="00840BB2">
        <w:t xml:space="preserve"> </w:t>
      </w:r>
      <w:r w:rsidRPr="00EA2C5D">
        <w:rPr>
          <w:rFonts w:ascii="Arial" w:hAnsi="Arial" w:cs="Arial"/>
          <w:b w:val="0"/>
          <w:sz w:val="20"/>
          <w:szCs w:val="20"/>
        </w:rPr>
        <w:t>Comparison on combustion emission per unit area</w:t>
      </w:r>
    </w:p>
    <w:tbl>
      <w:tblPr>
        <w:tblStyle w:val="TableGrid"/>
        <w:tblW w:w="10350" w:type="dxa"/>
        <w:tblInd w:w="-8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1365"/>
        <w:gridCol w:w="5400"/>
        <w:gridCol w:w="2610"/>
      </w:tblGrid>
      <w:tr w:rsidR="00DF694E" w:rsidRPr="00DF694E" w14:paraId="0EE153DF" w14:textId="77777777" w:rsidTr="0048034E">
        <w:tc>
          <w:tcPr>
            <w:tcW w:w="975" w:type="dxa"/>
            <w:tcBorders>
              <w:top w:val="single" w:sz="4" w:space="0" w:color="auto"/>
              <w:left w:val="nil"/>
              <w:bottom w:val="nil"/>
              <w:right w:val="nil"/>
            </w:tcBorders>
            <w:vAlign w:val="center"/>
            <w:hideMark/>
          </w:tcPr>
          <w:p w14:paraId="35C180B9" w14:textId="77777777" w:rsidR="00DF694E" w:rsidRPr="00DF694E" w:rsidRDefault="00DF694E">
            <w:pPr>
              <w:rPr>
                <w:rFonts w:ascii="Arial" w:hAnsi="Arial" w:cs="Arial"/>
                <w:sz w:val="20"/>
                <w:szCs w:val="20"/>
              </w:rPr>
            </w:pPr>
            <w:r w:rsidRPr="00DF694E">
              <w:rPr>
                <w:rFonts w:ascii="Arial" w:hAnsi="Arial" w:cs="Arial"/>
                <w:sz w:val="20"/>
                <w:szCs w:val="20"/>
              </w:rPr>
              <w:t xml:space="preserve">Region </w:t>
            </w:r>
          </w:p>
        </w:tc>
        <w:tc>
          <w:tcPr>
            <w:tcW w:w="1365" w:type="dxa"/>
            <w:tcBorders>
              <w:top w:val="single" w:sz="4" w:space="0" w:color="auto"/>
              <w:left w:val="nil"/>
              <w:bottom w:val="single" w:sz="4" w:space="0" w:color="auto"/>
              <w:right w:val="nil"/>
            </w:tcBorders>
            <w:vAlign w:val="center"/>
            <w:hideMark/>
          </w:tcPr>
          <w:p w14:paraId="5B73F8D2" w14:textId="77777777" w:rsidR="00DF694E" w:rsidRPr="00DF694E" w:rsidRDefault="00DF694E">
            <w:pPr>
              <w:rPr>
                <w:rFonts w:ascii="Arial" w:hAnsi="Arial" w:cs="Arial"/>
                <w:sz w:val="20"/>
                <w:szCs w:val="20"/>
              </w:rPr>
            </w:pPr>
            <w:r w:rsidRPr="00DF694E">
              <w:rPr>
                <w:rFonts w:ascii="Arial" w:hAnsi="Arial" w:cs="Arial"/>
                <w:sz w:val="20"/>
                <w:szCs w:val="20"/>
              </w:rPr>
              <w:t>Combustion (kg C m</w:t>
            </w:r>
            <w:r w:rsidRPr="00DF694E">
              <w:rPr>
                <w:rFonts w:ascii="Arial" w:hAnsi="Arial" w:cs="Arial"/>
                <w:sz w:val="20"/>
                <w:szCs w:val="20"/>
                <w:vertAlign w:val="superscript"/>
              </w:rPr>
              <w:t>-2</w:t>
            </w:r>
            <w:r w:rsidRPr="00DF694E">
              <w:rPr>
                <w:rFonts w:ascii="Arial" w:hAnsi="Arial" w:cs="Arial"/>
                <w:sz w:val="20"/>
                <w:szCs w:val="20"/>
              </w:rPr>
              <w:t>)</w:t>
            </w:r>
          </w:p>
        </w:tc>
        <w:tc>
          <w:tcPr>
            <w:tcW w:w="5400" w:type="dxa"/>
            <w:tcBorders>
              <w:top w:val="single" w:sz="4" w:space="0" w:color="auto"/>
              <w:left w:val="nil"/>
              <w:bottom w:val="single" w:sz="4" w:space="0" w:color="auto"/>
              <w:right w:val="nil"/>
            </w:tcBorders>
            <w:vAlign w:val="center"/>
            <w:hideMark/>
          </w:tcPr>
          <w:p w14:paraId="0B1D724C" w14:textId="77777777" w:rsidR="00DF694E" w:rsidRPr="00DF694E" w:rsidRDefault="00DF694E">
            <w:pPr>
              <w:rPr>
                <w:rFonts w:ascii="Arial" w:hAnsi="Arial" w:cs="Arial"/>
                <w:sz w:val="20"/>
                <w:szCs w:val="20"/>
              </w:rPr>
            </w:pPr>
            <w:r w:rsidRPr="00DF694E">
              <w:rPr>
                <w:rFonts w:ascii="Arial" w:hAnsi="Arial" w:cs="Arial"/>
                <w:sz w:val="20"/>
                <w:szCs w:val="20"/>
              </w:rPr>
              <w:t xml:space="preserve">Method </w:t>
            </w:r>
          </w:p>
        </w:tc>
        <w:tc>
          <w:tcPr>
            <w:tcW w:w="2610" w:type="dxa"/>
            <w:tcBorders>
              <w:top w:val="single" w:sz="4" w:space="0" w:color="auto"/>
              <w:left w:val="nil"/>
              <w:bottom w:val="single" w:sz="4" w:space="0" w:color="auto"/>
              <w:right w:val="nil"/>
            </w:tcBorders>
            <w:vAlign w:val="center"/>
            <w:hideMark/>
          </w:tcPr>
          <w:p w14:paraId="03B69791" w14:textId="77777777" w:rsidR="00DF694E" w:rsidRPr="00DF694E" w:rsidRDefault="00DF694E">
            <w:pPr>
              <w:rPr>
                <w:rFonts w:ascii="Arial" w:hAnsi="Arial" w:cs="Arial"/>
                <w:sz w:val="20"/>
                <w:szCs w:val="20"/>
              </w:rPr>
            </w:pPr>
            <w:r w:rsidRPr="00DF694E">
              <w:rPr>
                <w:rFonts w:ascii="Arial" w:hAnsi="Arial" w:cs="Arial"/>
                <w:sz w:val="20"/>
                <w:szCs w:val="20"/>
              </w:rPr>
              <w:t>Source</w:t>
            </w:r>
          </w:p>
        </w:tc>
      </w:tr>
      <w:tr w:rsidR="00DF694E" w:rsidRPr="00DF694E" w14:paraId="2646B1BC" w14:textId="77777777" w:rsidTr="0048034E">
        <w:tc>
          <w:tcPr>
            <w:tcW w:w="975" w:type="dxa"/>
            <w:vMerge w:val="restart"/>
            <w:tcBorders>
              <w:top w:val="nil"/>
              <w:left w:val="nil"/>
              <w:bottom w:val="nil"/>
              <w:right w:val="nil"/>
            </w:tcBorders>
            <w:hideMark/>
          </w:tcPr>
          <w:p w14:paraId="755B3C58" w14:textId="77777777" w:rsidR="00DF694E" w:rsidRPr="00DF694E" w:rsidRDefault="00DF694E">
            <w:pPr>
              <w:rPr>
                <w:rFonts w:ascii="Arial" w:hAnsi="Arial" w:cs="Arial"/>
                <w:sz w:val="20"/>
                <w:szCs w:val="20"/>
              </w:rPr>
            </w:pPr>
            <w:r w:rsidRPr="00DF694E">
              <w:rPr>
                <w:rFonts w:ascii="Arial" w:hAnsi="Arial" w:cs="Arial"/>
                <w:sz w:val="20"/>
                <w:szCs w:val="20"/>
              </w:rPr>
              <w:t>Alaska</w:t>
            </w:r>
          </w:p>
        </w:tc>
        <w:tc>
          <w:tcPr>
            <w:tcW w:w="1365" w:type="dxa"/>
            <w:tcBorders>
              <w:top w:val="single" w:sz="4" w:space="0" w:color="auto"/>
              <w:left w:val="nil"/>
              <w:bottom w:val="nil"/>
              <w:right w:val="nil"/>
            </w:tcBorders>
            <w:hideMark/>
          </w:tcPr>
          <w:p w14:paraId="4826EDDC" w14:textId="77777777" w:rsidR="00DF694E" w:rsidRPr="00DF694E" w:rsidRDefault="00DF694E">
            <w:pPr>
              <w:rPr>
                <w:rFonts w:ascii="Arial" w:hAnsi="Arial" w:cs="Arial"/>
                <w:b/>
                <w:sz w:val="20"/>
                <w:szCs w:val="20"/>
              </w:rPr>
            </w:pPr>
            <w:r w:rsidRPr="00DF694E">
              <w:rPr>
                <w:rFonts w:ascii="Arial" w:hAnsi="Arial" w:cs="Arial"/>
                <w:b/>
                <w:sz w:val="20"/>
                <w:szCs w:val="20"/>
              </w:rPr>
              <w:t>1.4</w:t>
            </w:r>
          </w:p>
        </w:tc>
        <w:tc>
          <w:tcPr>
            <w:tcW w:w="5400" w:type="dxa"/>
            <w:tcBorders>
              <w:top w:val="single" w:sz="4" w:space="0" w:color="auto"/>
              <w:left w:val="nil"/>
              <w:bottom w:val="nil"/>
              <w:right w:val="nil"/>
            </w:tcBorders>
            <w:hideMark/>
          </w:tcPr>
          <w:p w14:paraId="187FEE5C" w14:textId="77777777" w:rsidR="00DF694E" w:rsidRPr="00DF694E" w:rsidRDefault="00DF694E">
            <w:pPr>
              <w:rPr>
                <w:rFonts w:ascii="Arial" w:hAnsi="Arial" w:cs="Arial"/>
                <w:b/>
                <w:sz w:val="20"/>
                <w:szCs w:val="20"/>
              </w:rPr>
            </w:pPr>
            <w:r w:rsidRPr="00DF694E">
              <w:rPr>
                <w:rFonts w:ascii="Arial" w:hAnsi="Arial" w:cs="Arial"/>
                <w:b/>
                <w:sz w:val="20"/>
                <w:szCs w:val="20"/>
              </w:rPr>
              <w:t xml:space="preserve">Estimated from </w:t>
            </w:r>
            <w:proofErr w:type="spellStart"/>
            <w:r w:rsidRPr="00DF694E">
              <w:rPr>
                <w:rFonts w:ascii="Arial" w:hAnsi="Arial" w:cs="Arial"/>
                <w:b/>
                <w:sz w:val="20"/>
                <w:szCs w:val="20"/>
              </w:rPr>
              <w:t>dNBR</w:t>
            </w:r>
            <w:proofErr w:type="spellEnd"/>
            <w:r w:rsidRPr="00DF694E">
              <w:rPr>
                <w:rFonts w:ascii="Arial" w:hAnsi="Arial" w:cs="Arial"/>
                <w:b/>
                <w:sz w:val="20"/>
                <w:szCs w:val="20"/>
              </w:rPr>
              <w:t xml:space="preserve"> and C stock</w:t>
            </w:r>
          </w:p>
        </w:tc>
        <w:tc>
          <w:tcPr>
            <w:tcW w:w="2610" w:type="dxa"/>
            <w:tcBorders>
              <w:top w:val="single" w:sz="4" w:space="0" w:color="auto"/>
              <w:left w:val="nil"/>
              <w:bottom w:val="nil"/>
              <w:right w:val="nil"/>
            </w:tcBorders>
            <w:hideMark/>
          </w:tcPr>
          <w:p w14:paraId="7EE8064D" w14:textId="77777777" w:rsidR="00DF694E" w:rsidRPr="00DF694E" w:rsidRDefault="00DF694E">
            <w:pPr>
              <w:rPr>
                <w:rFonts w:ascii="Arial" w:hAnsi="Arial" w:cs="Arial"/>
                <w:b/>
                <w:sz w:val="20"/>
                <w:szCs w:val="20"/>
              </w:rPr>
            </w:pPr>
            <w:r w:rsidRPr="00DF694E">
              <w:rPr>
                <w:rFonts w:ascii="Arial" w:hAnsi="Arial" w:cs="Arial"/>
                <w:b/>
                <w:sz w:val="20"/>
                <w:szCs w:val="20"/>
              </w:rPr>
              <w:t>This study</w:t>
            </w:r>
          </w:p>
        </w:tc>
      </w:tr>
      <w:tr w:rsidR="00DF694E" w:rsidRPr="00DF694E" w14:paraId="0DA9AC4C" w14:textId="77777777" w:rsidTr="0048034E">
        <w:tc>
          <w:tcPr>
            <w:tcW w:w="975" w:type="dxa"/>
            <w:vMerge/>
            <w:tcBorders>
              <w:top w:val="nil"/>
              <w:left w:val="nil"/>
              <w:bottom w:val="nil"/>
              <w:right w:val="nil"/>
            </w:tcBorders>
            <w:vAlign w:val="center"/>
            <w:hideMark/>
          </w:tcPr>
          <w:p w14:paraId="011D3338"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5842AE7A" w14:textId="77777777" w:rsidR="00DF694E" w:rsidRPr="00DF694E" w:rsidRDefault="00DF694E">
            <w:pPr>
              <w:rPr>
                <w:rFonts w:ascii="Arial" w:hAnsi="Arial" w:cs="Arial"/>
                <w:sz w:val="20"/>
                <w:szCs w:val="20"/>
              </w:rPr>
            </w:pPr>
            <w:r w:rsidRPr="00DF694E">
              <w:rPr>
                <w:rFonts w:ascii="Arial" w:hAnsi="Arial" w:cs="Arial"/>
                <w:sz w:val="20"/>
                <w:szCs w:val="20"/>
              </w:rPr>
              <w:t>2.5</w:t>
            </w:r>
          </w:p>
        </w:tc>
        <w:tc>
          <w:tcPr>
            <w:tcW w:w="5400" w:type="dxa"/>
            <w:tcBorders>
              <w:top w:val="nil"/>
              <w:left w:val="nil"/>
              <w:bottom w:val="nil"/>
              <w:right w:val="nil"/>
            </w:tcBorders>
            <w:hideMark/>
          </w:tcPr>
          <w:p w14:paraId="112C74F0" w14:textId="77777777" w:rsidR="00DF694E" w:rsidRPr="00DF694E" w:rsidRDefault="00DF694E">
            <w:pPr>
              <w:rPr>
                <w:rFonts w:ascii="Arial" w:hAnsi="Arial" w:cs="Arial"/>
                <w:sz w:val="20"/>
                <w:szCs w:val="20"/>
              </w:rPr>
            </w:pPr>
            <w:r w:rsidRPr="00DF694E">
              <w:rPr>
                <w:rFonts w:ascii="Arial" w:hAnsi="Arial" w:cs="Arial"/>
                <w:sz w:val="20"/>
                <w:szCs w:val="20"/>
              </w:rPr>
              <w:t xml:space="preserve">Use nonlinear multiplicative model to environmental variables, fire time, pre-fire tree cover and </w:t>
            </w:r>
            <w:proofErr w:type="spellStart"/>
            <w:r w:rsidRPr="00DF694E">
              <w:rPr>
                <w:rFonts w:ascii="Arial" w:hAnsi="Arial" w:cs="Arial"/>
                <w:sz w:val="20"/>
                <w:szCs w:val="20"/>
              </w:rPr>
              <w:t>dNBR</w:t>
            </w:r>
            <w:proofErr w:type="spellEnd"/>
          </w:p>
        </w:tc>
        <w:tc>
          <w:tcPr>
            <w:tcW w:w="2610" w:type="dxa"/>
            <w:tcBorders>
              <w:top w:val="nil"/>
              <w:left w:val="nil"/>
              <w:bottom w:val="nil"/>
              <w:right w:val="nil"/>
            </w:tcBorders>
            <w:hideMark/>
          </w:tcPr>
          <w:p w14:paraId="718EC85E" w14:textId="6B57E69E"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AuthorYear="1"&gt;&lt;Author&gt;Veraverbeke&lt;/Author&gt;&lt;Year&gt;2015&lt;/Year&gt;&lt;RecNum&gt;88&lt;/RecNum&gt;&lt;DisplayText&gt;Veraverbeke, et al. &lt;style face="superscript"&gt;1&lt;/style&gt;&lt;/DisplayText&gt;&lt;record&gt;&lt;rec-number&gt;88&lt;/rec-number&gt;&lt;foreign-keys&gt;&lt;key app="EN" db-id="rwwf2as9uepxr8epfdsvva5qt5rxtree9edp" timestamp="1588781554"&gt;88&lt;/key&gt;&lt;/foreign-keys&gt;&lt;ref-type name="Journal Article"&gt;17&lt;/ref-type&gt;&lt;contributors&gt;&lt;authors&gt;&lt;author&gt;Veraverbeke, S.&lt;/author&gt;&lt;author&gt;Rogers, B. M.&lt;/author&gt;&lt;author&gt;Randerson, J. T.&lt;/author&gt;&lt;/authors&gt;&lt;/contributors&gt;&lt;titles&gt;&lt;title&gt;Daily burned area and carbon emissions from boreal fires in Alaska&lt;/title&gt;&lt;secondary-title&gt;Biogeosciences&lt;/secondary-title&gt;&lt;/titles&gt;&lt;periodical&gt;&lt;full-title&gt;Biogeosciences&lt;/full-title&gt;&lt;/periodical&gt;&lt;pages&gt;3579-3601&lt;/pages&gt;&lt;volume&gt;12&lt;/volume&gt;&lt;number&gt;11&lt;/number&gt;&lt;dates&gt;&lt;year&gt;2015&lt;/year&gt;&lt;/dates&gt;&lt;publisher&gt;Copernicus Publications&lt;/publisher&gt;&lt;isbn&gt;1726-4189&lt;/isbn&gt;&lt;urls&gt;&lt;related-urls&gt;&lt;url&gt;https://www.biogeosciences.net/12/3579/2015/&lt;/url&gt;&lt;/related-urls&gt;&lt;pdf-urls&gt;&lt;url&gt;https://www.biogeosciences.net/12/3579/2015/bg-12-3579-2015.pdf&lt;/url&gt;&lt;/pdf-urls&gt;&lt;/urls&gt;&lt;electronic-resource-num&gt;10.5194/bg-12-3579-2015&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Veraverbeke, et al. </w:t>
            </w:r>
            <w:r w:rsidRPr="00DF694E">
              <w:rPr>
                <w:rFonts w:ascii="Arial" w:hAnsi="Arial" w:cs="Arial"/>
                <w:noProof/>
                <w:sz w:val="20"/>
                <w:szCs w:val="20"/>
                <w:vertAlign w:val="superscript"/>
              </w:rPr>
              <w:t>1</w:t>
            </w:r>
            <w:r w:rsidRPr="00DF694E">
              <w:rPr>
                <w:rFonts w:ascii="Arial" w:hAnsi="Arial" w:cs="Arial"/>
                <w:sz w:val="20"/>
              </w:rPr>
              <w:fldChar w:fldCharType="end"/>
            </w:r>
          </w:p>
        </w:tc>
      </w:tr>
      <w:tr w:rsidR="00DF694E" w:rsidRPr="00DF694E" w14:paraId="4B73F89C" w14:textId="77777777" w:rsidTr="0048034E">
        <w:tc>
          <w:tcPr>
            <w:tcW w:w="975" w:type="dxa"/>
            <w:vMerge/>
            <w:tcBorders>
              <w:top w:val="nil"/>
              <w:left w:val="nil"/>
              <w:bottom w:val="nil"/>
              <w:right w:val="nil"/>
            </w:tcBorders>
            <w:vAlign w:val="center"/>
            <w:hideMark/>
          </w:tcPr>
          <w:p w14:paraId="414393AF"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588583A1" w14:textId="77777777" w:rsidR="00DF694E" w:rsidRPr="00DF694E" w:rsidRDefault="00DF694E">
            <w:pPr>
              <w:rPr>
                <w:rFonts w:ascii="Arial" w:hAnsi="Arial" w:cs="Arial"/>
                <w:sz w:val="20"/>
                <w:szCs w:val="20"/>
              </w:rPr>
            </w:pPr>
            <w:r w:rsidRPr="00DF694E">
              <w:rPr>
                <w:rFonts w:ascii="Arial" w:hAnsi="Arial" w:cs="Arial"/>
                <w:sz w:val="20"/>
                <w:szCs w:val="20"/>
              </w:rPr>
              <w:t>2.0 ± 0.3</w:t>
            </w:r>
          </w:p>
        </w:tc>
        <w:tc>
          <w:tcPr>
            <w:tcW w:w="5400" w:type="dxa"/>
            <w:tcBorders>
              <w:top w:val="nil"/>
              <w:left w:val="nil"/>
              <w:bottom w:val="nil"/>
              <w:right w:val="nil"/>
            </w:tcBorders>
            <w:hideMark/>
          </w:tcPr>
          <w:p w14:paraId="15179647"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44ECCCA7" w14:textId="7F511B54"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AuthorYear="1"&gt;&lt;Author&gt;Rogers&lt;/Author&gt;&lt;Year&gt;2014&lt;/Year&gt;&lt;RecNum&gt;81&lt;/RecNum&gt;&lt;DisplayText&gt;Rogers, et al. &lt;style face="superscript"&gt;2&lt;/style&gt;&lt;/DisplayText&gt;&lt;record&gt;&lt;rec-number&gt;81&lt;/rec-number&gt;&lt;foreign-keys&gt;&lt;key app="EN" db-id="rwwf2as9uepxr8epfdsvva5qt5rxtree9edp" timestamp="1588781543"&gt;81&lt;/key&gt;&lt;/foreign-keys&gt;&lt;ref-type name="Journal Article"&gt;17&lt;/ref-type&gt;&lt;contributors&gt;&lt;authors&gt;&lt;author&gt;Rogers, B. M.&lt;/author&gt;&lt;author&gt;Veraverbeke, S.&lt;/author&gt;&lt;author&gt;Azzari, G.&lt;/author&gt;&lt;author&gt;Czimczik, C. I.&lt;/author&gt;&lt;author&gt;Holden, S. R.&lt;/author&gt;&lt;author&gt;Mouteva, G. O.&lt;/author&gt;&lt;author&gt;Sedano, F.&lt;/author&gt;&lt;author&gt;Treseder, K. K.&lt;/author&gt;&lt;author&gt;Randerson, J. T.&lt;/author&gt;&lt;/authors&gt;&lt;/contributors&gt;&lt;titles&gt;&lt;title&gt;Quantifying fire-wide carbon emissions in interior Alaska using field measurements and Landsat imagery&lt;/title&gt;&lt;secondary-title&gt;Journal of Geophysical Research: Biogeosciences&lt;/secondary-title&gt;&lt;/titles&gt;&lt;periodical&gt;&lt;full-title&gt;Journal of Geophysical Research: Biogeosciences&lt;/full-title&gt;&lt;/periodical&gt;&lt;pages&gt;1608-1629&lt;/pages&gt;&lt;volume&gt;119&lt;/volume&gt;&lt;number&gt;8&lt;/number&gt;&lt;dates&gt;&lt;year&gt;2014&lt;/year&gt;&lt;/dates&gt;&lt;isbn&gt;2169-8953&lt;/isbn&gt;&lt;urls&gt;&lt;related-urls&gt;&lt;url&gt;https://agupubs.onlinelibrary.wiley.com/doi/abs/10.1002/2014JG002657&lt;/url&gt;&lt;/related-urls&gt;&lt;/urls&gt;&lt;electronic-resource-num&gt;10.1002/2014jg002657&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Rogers, et al. </w:t>
            </w:r>
            <w:r w:rsidRPr="00DF694E">
              <w:rPr>
                <w:rFonts w:ascii="Arial" w:hAnsi="Arial" w:cs="Arial"/>
                <w:noProof/>
                <w:sz w:val="20"/>
                <w:szCs w:val="20"/>
                <w:vertAlign w:val="superscript"/>
              </w:rPr>
              <w:t>2</w:t>
            </w:r>
            <w:r w:rsidRPr="00DF694E">
              <w:rPr>
                <w:rFonts w:ascii="Arial" w:hAnsi="Arial" w:cs="Arial"/>
                <w:sz w:val="20"/>
              </w:rPr>
              <w:fldChar w:fldCharType="end"/>
            </w:r>
          </w:p>
        </w:tc>
      </w:tr>
      <w:tr w:rsidR="00DF694E" w:rsidRPr="00DF694E" w14:paraId="52C29A4C" w14:textId="77777777" w:rsidTr="0048034E">
        <w:tc>
          <w:tcPr>
            <w:tcW w:w="975" w:type="dxa"/>
            <w:vMerge/>
            <w:tcBorders>
              <w:top w:val="nil"/>
              <w:left w:val="nil"/>
              <w:bottom w:val="nil"/>
              <w:right w:val="nil"/>
            </w:tcBorders>
            <w:vAlign w:val="center"/>
            <w:hideMark/>
          </w:tcPr>
          <w:p w14:paraId="3B155FA0"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3E0246A1" w14:textId="77777777" w:rsidR="00DF694E" w:rsidRPr="00DF694E" w:rsidRDefault="00DF694E">
            <w:pPr>
              <w:rPr>
                <w:rFonts w:ascii="Arial" w:hAnsi="Arial" w:cs="Arial"/>
                <w:sz w:val="20"/>
                <w:szCs w:val="20"/>
              </w:rPr>
            </w:pPr>
            <w:r w:rsidRPr="00DF694E">
              <w:rPr>
                <w:rFonts w:ascii="Arial" w:hAnsi="Arial" w:cs="Arial"/>
                <w:sz w:val="20"/>
                <w:szCs w:val="20"/>
              </w:rPr>
              <w:t>3.3 (1.5-4.6)</w:t>
            </w:r>
          </w:p>
        </w:tc>
        <w:tc>
          <w:tcPr>
            <w:tcW w:w="5400" w:type="dxa"/>
            <w:tcBorders>
              <w:top w:val="nil"/>
              <w:left w:val="nil"/>
              <w:bottom w:val="nil"/>
              <w:right w:val="nil"/>
            </w:tcBorders>
            <w:hideMark/>
          </w:tcPr>
          <w:p w14:paraId="785C6F98"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0D3203A5" w14:textId="1D09FAF6"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AuthorYear="1"&gt;&lt;Author&gt;Boby&lt;/Author&gt;&lt;Year&gt;2010&lt;/Year&gt;&lt;RecNum&gt;42&lt;/RecNum&gt;&lt;DisplayText&gt;Boby, et al. &lt;style face="superscript"&gt;3&lt;/style&gt;&lt;/DisplayText&gt;&lt;record&gt;&lt;rec-number&gt;42&lt;/rec-number&gt;&lt;foreign-keys&gt;&lt;key app="EN" db-id="rwwf2as9uepxr8epfdsvva5qt5rxtree9edp" timestamp="1588781445"&gt;42&lt;/key&gt;&lt;/foreign-keys&gt;&lt;ref-type name="Journal Article"&gt;17&lt;/ref-type&gt;&lt;contributors&gt;&lt;authors&gt;&lt;author&gt;Boby, Leslie A.&lt;/author&gt;&lt;author&gt;Schuur, Edward A. G.&lt;/author&gt;&lt;author&gt;Mack, Michelle C.&lt;/author&gt;&lt;author&gt;Verbyla, David&lt;/author&gt;&lt;author&gt;Johnstone, Jill F.&lt;/author&gt;&lt;/authors&gt;&lt;/contributors&gt;&lt;titles&gt;&lt;title&gt;Quantifying fire severity, carbon, and nitrogen emissions in Alaska&amp;apos;s boreal forest&lt;/title&gt;&lt;secondary-title&gt;Ecological Applications&lt;/secondary-title&gt;&lt;/titles&gt;&lt;periodical&gt;&lt;full-title&gt;Ecological Applications&lt;/full-title&gt;&lt;/periodical&gt;&lt;pages&gt;1633-1647&lt;/pages&gt;&lt;volume&gt;20&lt;/volume&gt;&lt;number&gt;6&lt;/number&gt;&lt;dates&gt;&lt;year&gt;2010&lt;/year&gt;&lt;/dates&gt;&lt;isbn&gt;1051-0761&lt;/isbn&gt;&lt;urls&gt;&lt;related-urls&gt;&lt;url&gt;https://esajournals.onlinelibrary.wiley.com/doi/abs/10.1890/08-2295.1&lt;/url&gt;&lt;/related-urls&gt;&lt;/urls&gt;&lt;electronic-resource-num&gt;10.1890/08-2295.1&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Boby, et al. </w:t>
            </w:r>
            <w:r w:rsidRPr="00DF694E">
              <w:rPr>
                <w:rFonts w:ascii="Arial" w:hAnsi="Arial" w:cs="Arial"/>
                <w:noProof/>
                <w:sz w:val="20"/>
                <w:szCs w:val="20"/>
                <w:vertAlign w:val="superscript"/>
              </w:rPr>
              <w:t>3</w:t>
            </w:r>
            <w:r w:rsidRPr="00DF694E">
              <w:rPr>
                <w:rFonts w:ascii="Arial" w:hAnsi="Arial" w:cs="Arial"/>
                <w:sz w:val="20"/>
              </w:rPr>
              <w:fldChar w:fldCharType="end"/>
            </w:r>
          </w:p>
        </w:tc>
      </w:tr>
      <w:tr w:rsidR="00DF694E" w:rsidRPr="00DF694E" w14:paraId="150D70BF" w14:textId="77777777" w:rsidTr="0048034E">
        <w:tc>
          <w:tcPr>
            <w:tcW w:w="975" w:type="dxa"/>
            <w:vMerge/>
            <w:tcBorders>
              <w:top w:val="nil"/>
              <w:left w:val="nil"/>
              <w:bottom w:val="nil"/>
              <w:right w:val="nil"/>
            </w:tcBorders>
            <w:vAlign w:val="center"/>
            <w:hideMark/>
          </w:tcPr>
          <w:p w14:paraId="0EA628C8"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17774BF6" w14:textId="77777777" w:rsidR="00DF694E" w:rsidRPr="00DF694E" w:rsidRDefault="00DF694E">
            <w:pPr>
              <w:rPr>
                <w:rFonts w:ascii="Arial" w:hAnsi="Arial" w:cs="Arial"/>
                <w:sz w:val="20"/>
                <w:szCs w:val="20"/>
              </w:rPr>
            </w:pPr>
            <w:r w:rsidRPr="00DF694E">
              <w:rPr>
                <w:rFonts w:ascii="Arial" w:hAnsi="Arial" w:cs="Arial"/>
                <w:sz w:val="20"/>
                <w:szCs w:val="20"/>
              </w:rPr>
              <w:t>1.6 ± 0.6</w:t>
            </w:r>
          </w:p>
        </w:tc>
        <w:tc>
          <w:tcPr>
            <w:tcW w:w="5400" w:type="dxa"/>
            <w:tcBorders>
              <w:top w:val="nil"/>
              <w:left w:val="nil"/>
              <w:bottom w:val="nil"/>
              <w:right w:val="nil"/>
            </w:tcBorders>
            <w:hideMark/>
          </w:tcPr>
          <w:p w14:paraId="56A9E4E6"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4EBF1ECD" w14:textId="7829180D"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AuthorYear="1"&gt;&lt;Author&gt;Randerson&lt;/Author&gt;&lt;Year&gt;2006&lt;/Year&gt;&lt;RecNum&gt;23&lt;/RecNum&gt;&lt;DisplayText&gt;Randerson, et al. &lt;style face="superscript"&gt;4&lt;/style&gt;&lt;/DisplayText&gt;&lt;record&gt;&lt;rec-number&gt;23&lt;/rec-number&gt;&lt;foreign-keys&gt;&lt;key app="EN" db-id="rwwf2as9uepxr8epfdsvva5qt5rxtree9edp" timestamp="1588781405"&gt;23&lt;/key&gt;&lt;/foreign-keys&gt;&lt;ref-type name="Journal Article"&gt;17&lt;/ref-type&gt;&lt;contributors&gt;&lt;authors&gt;&lt;author&gt;Randerson, J. T.&lt;/author&gt;&lt;author&gt;Liu, H.&lt;/author&gt;&lt;author&gt;Flanner, M. G.&lt;/author&gt;&lt;author&gt;Chambers, S. D.&lt;/author&gt;&lt;author&gt;Jin, Y.&lt;/author&gt;&lt;author&gt;Hess, P. G.&lt;/author&gt;&lt;author&gt;Pfister, G.&lt;/author&gt;&lt;author&gt;Mack, M. C.&lt;/author&gt;&lt;author&gt;Treseder, K. K.&lt;/author&gt;&lt;author&gt;Welp, L. R.&lt;/author&gt;&lt;author&gt;Chapin, F. S.&lt;/author&gt;&lt;author&gt;Harden, J. W.&lt;/author&gt;&lt;author&gt;Goulden, M. L.&lt;/author&gt;&lt;author&gt;Lyons, E.&lt;/author&gt;&lt;author&gt;Neff, J. C.&lt;/author&gt;&lt;author&gt;Schuur, E. A. G.&lt;/author&gt;&lt;author&gt;Zender, C. S.&lt;/author&gt;&lt;/authors&gt;&lt;/contributors&gt;&lt;titles&gt;&lt;title&gt;The Impact of Boreal Forest Fire on Climate Warming&lt;/title&gt;&lt;secondary-title&gt;Science&lt;/secondary-title&gt;&lt;/titles&gt;&lt;periodical&gt;&lt;full-title&gt;Science&lt;/full-title&gt;&lt;/periodical&gt;&lt;pages&gt;1130&lt;/pages&gt;&lt;volume&gt;314&lt;/volume&gt;&lt;number&gt;5802&lt;/number&gt;&lt;dates&gt;&lt;year&gt;2006&lt;/year&gt;&lt;/dates&gt;&lt;urls&gt;&lt;related-urls&gt;&lt;url&gt;http://science.sciencemag.org/content/314/5802/1130.abstract&lt;/url&gt;&lt;/related-urls&gt;&lt;/urls&gt;&lt;electronic-resource-num&gt;10.1126/science.1132075&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Randerson, et al. </w:t>
            </w:r>
            <w:r w:rsidRPr="00DF694E">
              <w:rPr>
                <w:rFonts w:ascii="Arial" w:hAnsi="Arial" w:cs="Arial"/>
                <w:noProof/>
                <w:sz w:val="20"/>
                <w:szCs w:val="20"/>
                <w:vertAlign w:val="superscript"/>
              </w:rPr>
              <w:t>4</w:t>
            </w:r>
            <w:r w:rsidRPr="00DF694E">
              <w:rPr>
                <w:rFonts w:ascii="Arial" w:hAnsi="Arial" w:cs="Arial"/>
                <w:sz w:val="20"/>
              </w:rPr>
              <w:fldChar w:fldCharType="end"/>
            </w:r>
          </w:p>
        </w:tc>
      </w:tr>
      <w:tr w:rsidR="00DF694E" w:rsidRPr="00DF694E" w14:paraId="4536B184" w14:textId="77777777" w:rsidTr="0048034E">
        <w:tc>
          <w:tcPr>
            <w:tcW w:w="975" w:type="dxa"/>
            <w:vMerge/>
            <w:tcBorders>
              <w:top w:val="nil"/>
              <w:left w:val="nil"/>
              <w:bottom w:val="nil"/>
              <w:right w:val="nil"/>
            </w:tcBorders>
            <w:vAlign w:val="center"/>
            <w:hideMark/>
          </w:tcPr>
          <w:p w14:paraId="3FAB13CC"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21234CBB" w14:textId="77777777" w:rsidR="00DF694E" w:rsidRPr="00DF694E" w:rsidRDefault="00DF694E">
            <w:pPr>
              <w:rPr>
                <w:rFonts w:ascii="Arial" w:hAnsi="Arial" w:cs="Arial"/>
                <w:sz w:val="20"/>
                <w:szCs w:val="20"/>
              </w:rPr>
            </w:pPr>
            <w:r w:rsidRPr="00DF694E">
              <w:rPr>
                <w:rFonts w:ascii="Arial" w:hAnsi="Arial" w:cs="Arial"/>
                <w:sz w:val="20"/>
                <w:szCs w:val="20"/>
              </w:rPr>
              <w:t xml:space="preserve">1.7-3.0 </w:t>
            </w:r>
          </w:p>
        </w:tc>
        <w:tc>
          <w:tcPr>
            <w:tcW w:w="5400" w:type="dxa"/>
            <w:tcBorders>
              <w:top w:val="nil"/>
              <w:left w:val="nil"/>
              <w:bottom w:val="nil"/>
              <w:right w:val="nil"/>
            </w:tcBorders>
            <w:hideMark/>
          </w:tcPr>
          <w:p w14:paraId="624370AE" w14:textId="77777777" w:rsidR="00DF694E" w:rsidRPr="00DF694E" w:rsidRDefault="00DF694E">
            <w:pPr>
              <w:rPr>
                <w:rFonts w:ascii="Arial" w:hAnsi="Arial" w:cs="Arial"/>
                <w:sz w:val="20"/>
                <w:szCs w:val="20"/>
              </w:rPr>
            </w:pPr>
            <w:r w:rsidRPr="00DF694E">
              <w:rPr>
                <w:rFonts w:ascii="Arial" w:hAnsi="Arial" w:cs="Arial"/>
                <w:sz w:val="20"/>
                <w:szCs w:val="20"/>
              </w:rPr>
              <w:t>Estimated by fuel type</w:t>
            </w:r>
          </w:p>
        </w:tc>
        <w:tc>
          <w:tcPr>
            <w:tcW w:w="2610" w:type="dxa"/>
            <w:tcBorders>
              <w:top w:val="nil"/>
              <w:left w:val="nil"/>
              <w:bottom w:val="nil"/>
              <w:right w:val="nil"/>
            </w:tcBorders>
            <w:hideMark/>
          </w:tcPr>
          <w:p w14:paraId="5046BFBE" w14:textId="0AD336DC"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AuthorYear="1"&gt;&lt;Author&gt;Kasischke&lt;/Author&gt;&lt;Year&gt;2012&lt;/Year&gt;&lt;RecNum&gt;68&lt;/RecNum&gt;&lt;DisplayText&gt;Kasischke and Hoy &lt;style face="superscript"&gt;5&lt;/style&gt;&lt;/DisplayText&gt;&lt;record&gt;&lt;rec-number&gt;68&lt;/rec-number&gt;&lt;foreign-keys&gt;&lt;key app="EN" db-id="rwwf2as9uepxr8epfdsvva5qt5rxtree9edp" timestamp="1588781491"&gt;68&lt;/key&gt;&lt;/foreign-keys&gt;&lt;ref-type name="Journal Article"&gt;17&lt;/ref-type&gt;&lt;contributors&gt;&lt;authors&gt;&lt;author&gt;Kasischke, Eric S.&lt;/author&gt;&lt;author&gt;Hoy, Elizabeth E.&lt;/author&gt;&lt;/authors&gt;&lt;/contributors&gt;&lt;titles&gt;&lt;title&gt;Controls on carbon consumption during Alaskan wildland fires&lt;/title&gt;&lt;secondary-title&gt;Global Change Biology&lt;/secondary-title&gt;&lt;/titles&gt;&lt;periodical&gt;&lt;full-title&gt;Global Change Biology&lt;/full-title&gt;&lt;/periodical&gt;&lt;pages&gt;685-699&lt;/pages&gt;&lt;volume&gt;18&lt;/volume&gt;&lt;number&gt;2&lt;/number&gt;&lt;keywords&gt;&lt;keyword&gt;boreal carbon dynamics&lt;/keyword&gt;&lt;keyword&gt;disturbance&lt;/keyword&gt;&lt;keyword&gt;fire ecology&lt;/keyword&gt;&lt;keyword&gt;fire emissions&lt;/keyword&gt;&lt;keyword&gt;fuel moisture&lt;/keyword&gt;&lt;keyword&gt;remote sensing&lt;/keyword&gt;&lt;/keywords&gt;&lt;dates&gt;&lt;year&gt;2012&lt;/year&gt;&lt;pub-dates&gt;&lt;date&gt;2012/02/01&lt;/date&gt;&lt;/pub-dates&gt;&lt;/dates&gt;&lt;publisher&gt;John Wiley &amp;amp; Sons, Ltd&lt;/publisher&gt;&lt;isbn&gt;1354-1013&lt;/isbn&gt;&lt;urls&gt;&lt;related-urls&gt;&lt;url&gt;https://doi.org/10.1111/j.1365-2486.2011.02573.x&lt;/url&gt;&lt;/related-urls&gt;&lt;/urls&gt;&lt;electronic-resource-num&gt;10.1111/j.1365-2486.2011.02573.x&lt;/electronic-resource-num&gt;&lt;access-date&gt;2020/05/01&lt;/access-date&gt;&lt;/record&gt;&lt;/Cite&gt;&lt;/EndNote&gt;</w:instrText>
            </w:r>
            <w:r w:rsidRPr="00DF694E">
              <w:rPr>
                <w:rFonts w:ascii="Arial" w:hAnsi="Arial" w:cs="Arial"/>
                <w:sz w:val="20"/>
              </w:rPr>
              <w:fldChar w:fldCharType="separate"/>
            </w:r>
            <w:r>
              <w:rPr>
                <w:rFonts w:ascii="Arial" w:hAnsi="Arial" w:cs="Arial"/>
                <w:noProof/>
                <w:sz w:val="20"/>
                <w:szCs w:val="20"/>
              </w:rPr>
              <w:t xml:space="preserve">Kasischke and Hoy </w:t>
            </w:r>
            <w:r w:rsidRPr="00DF694E">
              <w:rPr>
                <w:rFonts w:ascii="Arial" w:hAnsi="Arial" w:cs="Arial"/>
                <w:noProof/>
                <w:sz w:val="20"/>
                <w:szCs w:val="20"/>
                <w:vertAlign w:val="superscript"/>
              </w:rPr>
              <w:t>5</w:t>
            </w:r>
            <w:r w:rsidRPr="00DF694E">
              <w:rPr>
                <w:rFonts w:ascii="Arial" w:hAnsi="Arial" w:cs="Arial"/>
                <w:sz w:val="20"/>
              </w:rPr>
              <w:fldChar w:fldCharType="end"/>
            </w:r>
          </w:p>
        </w:tc>
      </w:tr>
      <w:tr w:rsidR="00DF694E" w:rsidRPr="00DF694E" w14:paraId="709B761A" w14:textId="77777777" w:rsidTr="0048034E">
        <w:tc>
          <w:tcPr>
            <w:tcW w:w="975" w:type="dxa"/>
            <w:vMerge/>
            <w:tcBorders>
              <w:top w:val="nil"/>
              <w:left w:val="nil"/>
              <w:bottom w:val="nil"/>
              <w:right w:val="nil"/>
            </w:tcBorders>
            <w:vAlign w:val="center"/>
            <w:hideMark/>
          </w:tcPr>
          <w:p w14:paraId="5E44F875"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16FC82BD" w14:textId="77777777" w:rsidR="00DF694E" w:rsidRPr="00DF694E" w:rsidRDefault="00DF694E">
            <w:pPr>
              <w:rPr>
                <w:rFonts w:ascii="Arial" w:hAnsi="Arial" w:cs="Arial"/>
                <w:sz w:val="20"/>
                <w:szCs w:val="20"/>
              </w:rPr>
            </w:pPr>
            <w:r w:rsidRPr="00DF694E">
              <w:rPr>
                <w:rFonts w:ascii="Arial" w:hAnsi="Arial" w:cs="Arial"/>
                <w:sz w:val="20"/>
                <w:szCs w:val="20"/>
              </w:rPr>
              <w:t>3.1 ± 0.7</w:t>
            </w:r>
          </w:p>
        </w:tc>
        <w:tc>
          <w:tcPr>
            <w:tcW w:w="5400" w:type="dxa"/>
            <w:tcBorders>
              <w:top w:val="nil"/>
              <w:left w:val="nil"/>
              <w:bottom w:val="nil"/>
              <w:right w:val="nil"/>
            </w:tcBorders>
            <w:hideMark/>
          </w:tcPr>
          <w:p w14:paraId="70304527" w14:textId="77777777" w:rsidR="00DF694E" w:rsidRPr="00DF694E" w:rsidRDefault="00DF694E">
            <w:pPr>
              <w:rPr>
                <w:rFonts w:ascii="Arial" w:hAnsi="Arial" w:cs="Arial"/>
                <w:sz w:val="20"/>
                <w:szCs w:val="20"/>
              </w:rPr>
            </w:pPr>
            <w:r w:rsidRPr="00DF694E">
              <w:rPr>
                <w:rFonts w:ascii="Arial" w:hAnsi="Arial" w:cs="Arial"/>
                <w:sz w:val="20"/>
                <w:szCs w:val="20"/>
              </w:rPr>
              <w:t>Estimated from land cover, drainage type and C stock</w:t>
            </w:r>
          </w:p>
        </w:tc>
        <w:tc>
          <w:tcPr>
            <w:tcW w:w="2610" w:type="dxa"/>
            <w:tcBorders>
              <w:top w:val="nil"/>
              <w:left w:val="nil"/>
              <w:bottom w:val="nil"/>
              <w:right w:val="nil"/>
            </w:tcBorders>
            <w:hideMark/>
          </w:tcPr>
          <w:p w14:paraId="06D9E7BA" w14:textId="44160315" w:rsidR="00DF694E" w:rsidRPr="00DF694E" w:rsidRDefault="00DF694E">
            <w:pPr>
              <w:rPr>
                <w:rFonts w:ascii="Arial" w:hAnsi="Arial" w:cs="Arial"/>
                <w:sz w:val="20"/>
                <w:szCs w:val="20"/>
              </w:rPr>
            </w:pPr>
            <w:r w:rsidRPr="00DF694E">
              <w:rPr>
                <w:rFonts w:ascii="Arial" w:hAnsi="Arial" w:cs="Arial"/>
                <w:sz w:val="20"/>
              </w:rPr>
              <w:fldChar w:fldCharType="begin"/>
            </w:r>
            <w:r>
              <w:rPr>
                <w:rFonts w:ascii="Arial" w:hAnsi="Arial" w:cs="Arial"/>
                <w:sz w:val="20"/>
                <w:szCs w:val="20"/>
              </w:rPr>
              <w:instrText xml:space="preserve"> ADDIN EN.CITE &lt;EndNote&gt;&lt;Cite AuthorYear="1"&gt;&lt;Author&gt;Tan&lt;/Author&gt;&lt;Year&gt;2007&lt;/Year&gt;&lt;RecNum&gt;86&lt;/RecNum&gt;&lt;DisplayText&gt;Tan, et al. &lt;style face="superscript"&gt;6&lt;/style&gt;&lt;/DisplayText&gt;&lt;record&gt;&lt;rec-number&gt;86&lt;/rec-number&gt;&lt;foreign-keys&gt;&lt;key app="EN" db-id="rwwf2as9uepxr8epfdsvva5qt5rxtree9edp" timestamp="1588781551"&gt;86&lt;/key&gt;&lt;/foreign-keys&gt;&lt;ref-type name="Journal Article"&gt;17&lt;/ref-type&gt;&lt;contributors&gt;&lt;authors&gt;&lt;author&gt;Tan, Zhengxi&lt;/author&gt;&lt;author&gt;Tieszen, Larry L.&lt;/author&gt;&lt;author&gt;Zhu, Zhiliang&lt;/author&gt;&lt;author&gt;Liu, Shuguang&lt;/author&gt;&lt;author&gt;Howard, Stephen M.&lt;/author&gt;&lt;/authors&gt;&lt;/contributors&gt;&lt;titles&gt;&lt;title&gt;An estimate of carbon emissions from 2004 wildfires across Alaskan Yukon River Basin&lt;/title&gt;&lt;secondary-title&gt;Carbon Balance and Management&lt;/secondary-title&gt;&lt;/titles&gt;&lt;periodical&gt;&lt;full-title&gt;Carbon Balance and Management&lt;/full-title&gt;&lt;/periodical&gt;&lt;pages&gt;12&lt;/pages&gt;&lt;volume&gt;2&lt;/volume&gt;&lt;number&gt;1&lt;/number&gt;&lt;dates&gt;&lt;year&gt;2007&lt;/year&gt;&lt;pub-dates&gt;&lt;date&gt;2007/12/19&lt;/date&gt;&lt;/pub-dates&gt;&lt;/dates&gt;&lt;isbn&gt;1750-0680&lt;/isbn&gt;&lt;urls&gt;&lt;related-urls&gt;&lt;url&gt;https://doi.org/10.1186/1750-0680-2-12&lt;/url&gt;&lt;/related-urls&gt;&lt;/urls&gt;&lt;electronic-resource-num&gt;10.1186/1750-0680-2-12&lt;/electronic-resource-num&gt;&lt;/record&gt;&lt;/Cite&gt;&lt;/EndNote&gt;</w:instrText>
            </w:r>
            <w:r w:rsidRPr="00DF694E">
              <w:rPr>
                <w:rFonts w:ascii="Arial" w:hAnsi="Arial" w:cs="Arial"/>
                <w:sz w:val="20"/>
              </w:rPr>
              <w:fldChar w:fldCharType="separate"/>
            </w:r>
            <w:r>
              <w:rPr>
                <w:rFonts w:ascii="Arial" w:hAnsi="Arial" w:cs="Arial"/>
                <w:noProof/>
                <w:sz w:val="20"/>
                <w:szCs w:val="20"/>
              </w:rPr>
              <w:t xml:space="preserve">Tan, et al. </w:t>
            </w:r>
            <w:r w:rsidRPr="00DF694E">
              <w:rPr>
                <w:rFonts w:ascii="Arial" w:hAnsi="Arial" w:cs="Arial"/>
                <w:noProof/>
                <w:sz w:val="20"/>
                <w:szCs w:val="20"/>
                <w:vertAlign w:val="superscript"/>
              </w:rPr>
              <w:t>6</w:t>
            </w:r>
            <w:r w:rsidRPr="00DF694E">
              <w:rPr>
                <w:rFonts w:ascii="Arial" w:hAnsi="Arial" w:cs="Arial"/>
                <w:sz w:val="20"/>
              </w:rPr>
              <w:fldChar w:fldCharType="end"/>
            </w:r>
          </w:p>
        </w:tc>
      </w:tr>
      <w:tr w:rsidR="004C2D8F" w:rsidRPr="00DF694E" w14:paraId="737AD587" w14:textId="77777777" w:rsidTr="0048034E">
        <w:tc>
          <w:tcPr>
            <w:tcW w:w="975" w:type="dxa"/>
            <w:tcBorders>
              <w:top w:val="nil"/>
              <w:left w:val="nil"/>
              <w:bottom w:val="nil"/>
              <w:right w:val="nil"/>
            </w:tcBorders>
            <w:vAlign w:val="center"/>
          </w:tcPr>
          <w:p w14:paraId="754383A8" w14:textId="77777777" w:rsidR="004C2D8F" w:rsidRPr="00DF694E" w:rsidRDefault="004C2D8F">
            <w:pPr>
              <w:rPr>
                <w:rFonts w:ascii="Arial" w:hAnsi="Arial" w:cs="Arial"/>
                <w:sz w:val="20"/>
              </w:rPr>
            </w:pPr>
          </w:p>
        </w:tc>
        <w:tc>
          <w:tcPr>
            <w:tcW w:w="1365" w:type="dxa"/>
            <w:tcBorders>
              <w:top w:val="nil"/>
              <w:left w:val="nil"/>
              <w:bottom w:val="nil"/>
              <w:right w:val="nil"/>
            </w:tcBorders>
          </w:tcPr>
          <w:p w14:paraId="3A1EB8C5" w14:textId="3DB2FF57" w:rsidR="004C2D8F" w:rsidRPr="00DF694E" w:rsidRDefault="004C2D8F">
            <w:pPr>
              <w:rPr>
                <w:rFonts w:ascii="Arial" w:hAnsi="Arial" w:cs="Arial"/>
                <w:sz w:val="20"/>
              </w:rPr>
            </w:pPr>
            <w:r>
              <w:rPr>
                <w:rFonts w:ascii="Arial" w:hAnsi="Arial" w:cs="Arial"/>
                <w:sz w:val="20"/>
              </w:rPr>
              <w:t>3.0</w:t>
            </w:r>
            <w:r w:rsidRPr="004C2D8F">
              <w:rPr>
                <w:rFonts w:ascii="Arial" w:hAnsi="Arial" w:cs="Arial"/>
                <w:sz w:val="20"/>
              </w:rPr>
              <w:t>±0.12</w:t>
            </w:r>
          </w:p>
        </w:tc>
        <w:tc>
          <w:tcPr>
            <w:tcW w:w="5400" w:type="dxa"/>
            <w:tcBorders>
              <w:top w:val="nil"/>
              <w:left w:val="nil"/>
              <w:bottom w:val="nil"/>
              <w:right w:val="nil"/>
            </w:tcBorders>
          </w:tcPr>
          <w:p w14:paraId="47A33768" w14:textId="2EA92BE4" w:rsidR="004C2D8F" w:rsidRPr="00DF694E" w:rsidRDefault="004C2D8F">
            <w:pPr>
              <w:rPr>
                <w:rFonts w:ascii="Arial" w:hAnsi="Arial" w:cs="Arial"/>
                <w:sz w:val="20"/>
              </w:rPr>
            </w:pPr>
            <w:r w:rsidRPr="00DF694E">
              <w:rPr>
                <w:rFonts w:ascii="Arial" w:hAnsi="Arial" w:cs="Arial"/>
                <w:sz w:val="20"/>
                <w:szCs w:val="20"/>
              </w:rPr>
              <w:t>Field measurement</w:t>
            </w:r>
          </w:p>
        </w:tc>
        <w:tc>
          <w:tcPr>
            <w:tcW w:w="2610" w:type="dxa"/>
            <w:tcBorders>
              <w:top w:val="nil"/>
              <w:left w:val="nil"/>
              <w:bottom w:val="nil"/>
              <w:right w:val="nil"/>
            </w:tcBorders>
          </w:tcPr>
          <w:p w14:paraId="5B916274" w14:textId="28FFC45B" w:rsidR="004C2D8F"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AuthorYear="1"&gt;&lt;Author&gt;Turetsky&lt;/Author&gt;&lt;Year&gt;2011&lt;/Year&gt;&lt;RecNum&gt;126&lt;/RecNum&gt;&lt;DisplayText&gt;Turetsky, et al. &lt;style face="superscript"&gt;7&lt;/style&gt;&lt;/DisplayText&gt;&lt;record&gt;&lt;rec-number&gt;126&lt;/rec-number&gt;&lt;foreign-keys&gt;&lt;key app="EN" db-id="rwwf2as9uepxr8epfdsvva5qt5rxtree9edp" timestamp="1604333697"&gt;126&lt;/key&gt;&lt;/foreign-keys&gt;&lt;ref-type name="Journal Article"&gt;17&lt;/ref-type&gt;&lt;contributors&gt;&lt;authors&gt;&lt;author&gt;Turetsky, Merritt R.&lt;/author&gt;&lt;author&gt;Kane, Evan S.&lt;/author&gt;&lt;author&gt;Harden, Jennifer W.&lt;/author&gt;&lt;author&gt;Ottmar, Roger D.&lt;/author&gt;&lt;author&gt;Manies, Kristen L.&lt;/author&gt;&lt;author&gt;Hoy, Elizabeth&lt;/author&gt;&lt;author&gt;Kasischke, Eric S.&lt;/author&gt;&lt;/authors&gt;&lt;/contributors&gt;&lt;titles&gt;&lt;title&gt;Recent acceleration of biomass burning and carbon losses in Alaskan forests and peatlands&lt;/title&gt;&lt;secondary-title&gt;Nature Geoscience&lt;/secondary-title&gt;&lt;/titles&gt;&lt;periodical&gt;&lt;full-title&gt;Nature Geoscience&lt;/full-title&gt;&lt;/periodical&gt;&lt;pages&gt;27-31&lt;/pages&gt;&lt;volume&gt;4&lt;/volume&gt;&lt;number&gt;1&lt;/number&gt;&lt;dates&gt;&lt;year&gt;2011&lt;/year&gt;&lt;pub-dates&gt;&lt;date&gt;2011/01/01&lt;/date&gt;&lt;/pub-dates&gt;&lt;/dates&gt;&lt;isbn&gt;1752-0908&lt;/isbn&gt;&lt;urls&gt;&lt;related-urls&gt;&lt;url&gt;https://doi.org/10.1038/ngeo1027&lt;/url&gt;&lt;/related-urls&gt;&lt;/urls&gt;&lt;electronic-resource-num&gt;10.1038/ngeo1027&lt;/electronic-resource-num&gt;&lt;/record&gt;&lt;/Cite&gt;&lt;/EndNote&gt;</w:instrText>
            </w:r>
            <w:r w:rsidRPr="00774DF5">
              <w:rPr>
                <w:rFonts w:ascii="Arial" w:hAnsi="Arial" w:cs="Arial"/>
                <w:sz w:val="20"/>
              </w:rPr>
              <w:fldChar w:fldCharType="separate"/>
            </w:r>
            <w:r w:rsidRPr="00774DF5">
              <w:rPr>
                <w:rFonts w:ascii="Arial" w:hAnsi="Arial" w:cs="Arial"/>
                <w:noProof/>
                <w:sz w:val="20"/>
              </w:rPr>
              <w:t xml:space="preserve">Turetsky, et al. </w:t>
            </w:r>
            <w:r w:rsidRPr="00774DF5">
              <w:rPr>
                <w:rFonts w:ascii="Arial" w:hAnsi="Arial" w:cs="Arial"/>
                <w:noProof/>
                <w:sz w:val="20"/>
                <w:vertAlign w:val="superscript"/>
              </w:rPr>
              <w:t>7</w:t>
            </w:r>
            <w:r w:rsidRPr="00774DF5">
              <w:rPr>
                <w:rFonts w:ascii="Arial" w:hAnsi="Arial" w:cs="Arial"/>
                <w:sz w:val="20"/>
              </w:rPr>
              <w:fldChar w:fldCharType="end"/>
            </w:r>
          </w:p>
        </w:tc>
      </w:tr>
      <w:tr w:rsidR="004C2D8F" w:rsidRPr="00DF694E" w14:paraId="1B752A38" w14:textId="77777777" w:rsidTr="0048034E">
        <w:tc>
          <w:tcPr>
            <w:tcW w:w="975" w:type="dxa"/>
            <w:tcBorders>
              <w:top w:val="nil"/>
              <w:left w:val="nil"/>
              <w:bottom w:val="nil"/>
              <w:right w:val="nil"/>
            </w:tcBorders>
            <w:vAlign w:val="center"/>
          </w:tcPr>
          <w:p w14:paraId="6100B15A" w14:textId="77777777" w:rsidR="004C2D8F" w:rsidRPr="00DF694E" w:rsidRDefault="004C2D8F">
            <w:pPr>
              <w:rPr>
                <w:rFonts w:ascii="Arial" w:hAnsi="Arial" w:cs="Arial"/>
                <w:sz w:val="20"/>
              </w:rPr>
            </w:pPr>
          </w:p>
        </w:tc>
        <w:tc>
          <w:tcPr>
            <w:tcW w:w="1365" w:type="dxa"/>
            <w:tcBorders>
              <w:top w:val="nil"/>
              <w:left w:val="nil"/>
              <w:bottom w:val="nil"/>
              <w:right w:val="nil"/>
            </w:tcBorders>
          </w:tcPr>
          <w:p w14:paraId="72A0A568" w14:textId="70286570" w:rsidR="004C2D8F" w:rsidRPr="004C2D8F" w:rsidRDefault="004C2D8F">
            <w:pPr>
              <w:rPr>
                <w:rFonts w:ascii="Arial" w:hAnsi="Arial" w:cs="Arial"/>
                <w:sz w:val="20"/>
              </w:rPr>
            </w:pPr>
            <w:r>
              <w:rPr>
                <w:rFonts w:ascii="Arial" w:hAnsi="Arial" w:cs="Arial"/>
                <w:sz w:val="20"/>
              </w:rPr>
              <w:t>2.5</w:t>
            </w:r>
          </w:p>
        </w:tc>
        <w:tc>
          <w:tcPr>
            <w:tcW w:w="5400" w:type="dxa"/>
            <w:tcBorders>
              <w:top w:val="nil"/>
              <w:left w:val="nil"/>
              <w:bottom w:val="nil"/>
              <w:right w:val="nil"/>
            </w:tcBorders>
          </w:tcPr>
          <w:p w14:paraId="17F66D36" w14:textId="4C64A745" w:rsidR="004C2D8F" w:rsidRPr="00DF694E" w:rsidRDefault="004C2D8F">
            <w:pPr>
              <w:rPr>
                <w:rFonts w:ascii="Arial" w:hAnsi="Arial" w:cs="Arial"/>
                <w:sz w:val="20"/>
              </w:rPr>
            </w:pPr>
            <w:r>
              <w:rPr>
                <w:rFonts w:ascii="Arial" w:hAnsi="Arial" w:cs="Arial"/>
                <w:sz w:val="20"/>
              </w:rPr>
              <w:t>Summary from previous work</w:t>
            </w:r>
          </w:p>
        </w:tc>
        <w:tc>
          <w:tcPr>
            <w:tcW w:w="2610" w:type="dxa"/>
            <w:tcBorders>
              <w:top w:val="nil"/>
              <w:left w:val="nil"/>
              <w:bottom w:val="nil"/>
              <w:right w:val="nil"/>
            </w:tcBorders>
          </w:tcPr>
          <w:p w14:paraId="63C86FC8" w14:textId="0EADBF1A" w:rsidR="004C2D8F"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AuthorYear="1"&gt;&lt;Author&gt;Turetsky&lt;/Author&gt;&lt;Year&gt;2011&lt;/Year&gt;&lt;RecNum&gt;126&lt;/RecNum&gt;&lt;DisplayText&gt;Turetsky, et al. &lt;style face="superscript"&gt;7&lt;/style&gt;&lt;/DisplayText&gt;&lt;record&gt;&lt;rec-number&gt;126&lt;/rec-number&gt;&lt;foreign-keys&gt;&lt;key app="EN" db-id="rwwf2as9uepxr8epfdsvva5qt5rxtree9edp" timestamp="1604333697"&gt;126&lt;/key&gt;&lt;/foreign-keys&gt;&lt;ref-type name="Journal Article"&gt;17&lt;/ref-type&gt;&lt;contributors&gt;&lt;authors&gt;&lt;author&gt;Turetsky, Merritt R.&lt;/author&gt;&lt;author&gt;Kane, Evan S.&lt;/author&gt;&lt;author&gt;Harden, Jennifer W.&lt;/author&gt;&lt;author&gt;Ottmar, Roger D.&lt;/author&gt;&lt;author&gt;Manies, Kristen L.&lt;/author&gt;&lt;author&gt;Hoy, Elizabeth&lt;/author&gt;&lt;author&gt;Kasischke, Eric S.&lt;/author&gt;&lt;/authors&gt;&lt;/contributors&gt;&lt;titles&gt;&lt;title&gt;Recent acceleration of biomass burning and carbon losses in Alaskan forests and peatlands&lt;/title&gt;&lt;secondary-title&gt;Nature Geoscience&lt;/secondary-title&gt;&lt;/titles&gt;&lt;periodical&gt;&lt;full-title&gt;Nature Geoscience&lt;/full-title&gt;&lt;/periodical&gt;&lt;pages&gt;27-31&lt;/pages&gt;&lt;volume&gt;4&lt;/volume&gt;&lt;number&gt;1&lt;/number&gt;&lt;dates&gt;&lt;year&gt;2011&lt;/year&gt;&lt;pub-dates&gt;&lt;date&gt;2011/01/01&lt;/date&gt;&lt;/pub-dates&gt;&lt;/dates&gt;&lt;isbn&gt;1752-0908&lt;/isbn&gt;&lt;urls&gt;&lt;related-urls&gt;&lt;url&gt;https://doi.org/10.1038/ngeo1027&lt;/url&gt;&lt;/related-urls&gt;&lt;/urls&gt;&lt;electronic-resource-num&gt;10.1038/ngeo1027&lt;/electronic-resource-num&gt;&lt;/record&gt;&lt;/Cite&gt;&lt;/EndNote&gt;</w:instrText>
            </w:r>
            <w:r w:rsidRPr="00774DF5">
              <w:rPr>
                <w:rFonts w:ascii="Arial" w:hAnsi="Arial" w:cs="Arial"/>
                <w:sz w:val="20"/>
              </w:rPr>
              <w:fldChar w:fldCharType="separate"/>
            </w:r>
            <w:r w:rsidRPr="00774DF5">
              <w:rPr>
                <w:rFonts w:ascii="Arial" w:hAnsi="Arial" w:cs="Arial"/>
                <w:noProof/>
                <w:sz w:val="20"/>
              </w:rPr>
              <w:t xml:space="preserve">Turetsky, et al. </w:t>
            </w:r>
            <w:r w:rsidRPr="00774DF5">
              <w:rPr>
                <w:rFonts w:ascii="Arial" w:hAnsi="Arial" w:cs="Arial"/>
                <w:noProof/>
                <w:sz w:val="20"/>
                <w:vertAlign w:val="superscript"/>
              </w:rPr>
              <w:t>7</w:t>
            </w:r>
            <w:r w:rsidRPr="00774DF5">
              <w:rPr>
                <w:rFonts w:ascii="Arial" w:hAnsi="Arial" w:cs="Arial"/>
                <w:sz w:val="20"/>
              </w:rPr>
              <w:fldChar w:fldCharType="end"/>
            </w:r>
          </w:p>
        </w:tc>
      </w:tr>
      <w:tr w:rsidR="00B47821" w:rsidRPr="00DF694E" w14:paraId="4EA1D017" w14:textId="77777777" w:rsidTr="0048034E">
        <w:tc>
          <w:tcPr>
            <w:tcW w:w="975" w:type="dxa"/>
            <w:tcBorders>
              <w:top w:val="nil"/>
              <w:left w:val="nil"/>
              <w:bottom w:val="nil"/>
              <w:right w:val="nil"/>
            </w:tcBorders>
            <w:vAlign w:val="center"/>
          </w:tcPr>
          <w:p w14:paraId="0509D80F" w14:textId="77777777" w:rsidR="00B47821" w:rsidRPr="00DF694E" w:rsidRDefault="00B47821">
            <w:pPr>
              <w:rPr>
                <w:rFonts w:ascii="Arial" w:hAnsi="Arial" w:cs="Arial"/>
                <w:sz w:val="20"/>
              </w:rPr>
            </w:pPr>
          </w:p>
        </w:tc>
        <w:tc>
          <w:tcPr>
            <w:tcW w:w="1365" w:type="dxa"/>
            <w:tcBorders>
              <w:top w:val="nil"/>
              <w:left w:val="nil"/>
              <w:bottom w:val="nil"/>
              <w:right w:val="nil"/>
            </w:tcBorders>
          </w:tcPr>
          <w:p w14:paraId="65B2672D" w14:textId="3A7BE53D" w:rsidR="00B47821" w:rsidRDefault="00B47821">
            <w:pPr>
              <w:rPr>
                <w:rFonts w:ascii="Arial" w:hAnsi="Arial" w:cs="Arial"/>
                <w:sz w:val="20"/>
              </w:rPr>
            </w:pPr>
            <w:r>
              <w:rPr>
                <w:rFonts w:ascii="Arial" w:hAnsi="Arial" w:cs="Arial"/>
                <w:sz w:val="20"/>
              </w:rPr>
              <w:t>2.2*</w:t>
            </w:r>
          </w:p>
        </w:tc>
        <w:tc>
          <w:tcPr>
            <w:tcW w:w="5400" w:type="dxa"/>
            <w:tcBorders>
              <w:top w:val="nil"/>
              <w:left w:val="nil"/>
              <w:bottom w:val="nil"/>
              <w:right w:val="nil"/>
            </w:tcBorders>
          </w:tcPr>
          <w:p w14:paraId="082D1E3D" w14:textId="69B2C87F" w:rsidR="00B47821" w:rsidRDefault="00B47821">
            <w:pPr>
              <w:rPr>
                <w:rFonts w:ascii="Arial" w:hAnsi="Arial" w:cs="Arial"/>
                <w:sz w:val="20"/>
              </w:rPr>
            </w:pPr>
            <w:r>
              <w:rPr>
                <w:rFonts w:ascii="Arial" w:hAnsi="Arial" w:cs="Arial"/>
                <w:sz w:val="20"/>
              </w:rPr>
              <w:t>Estimated based on literature</w:t>
            </w:r>
          </w:p>
        </w:tc>
        <w:tc>
          <w:tcPr>
            <w:tcW w:w="2610" w:type="dxa"/>
            <w:tcBorders>
              <w:top w:val="nil"/>
              <w:left w:val="nil"/>
              <w:bottom w:val="nil"/>
              <w:right w:val="nil"/>
            </w:tcBorders>
          </w:tcPr>
          <w:p w14:paraId="45EDCB6C" w14:textId="347F74E2" w:rsidR="00B47821"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AuthorYear="1"&gt;&lt;Author&gt;Turquety&lt;/Author&gt;&lt;Year&gt;2007&lt;/Year&gt;&lt;RecNum&gt;127&lt;/RecNum&gt;&lt;DisplayText&gt;Turquety, et al. &lt;style face="superscript"&gt;8&lt;/style&gt;&lt;/DisplayText&gt;&lt;record&gt;&lt;rec-number&gt;127&lt;/rec-number&gt;&lt;foreign-keys&gt;&lt;key app="EN" db-id="rwwf2as9uepxr8epfdsvva5qt5rxtree9edp" timestamp="1604333699"&gt;127&lt;/key&gt;&lt;/foreign-keys&gt;&lt;ref-type name="Journal Article"&gt;17&lt;/ref-type&gt;&lt;contributors&gt;&lt;authors&gt;&lt;author&gt;Turquety, Solène&lt;/author&gt;&lt;author&gt;Logan, Jennifer A.&lt;/author&gt;&lt;author&gt;Jacob, Daniel J.&lt;/author&gt;&lt;author&gt;Hudman, Rynda C.&lt;/author&gt;&lt;author&gt;Leung, Fok Yan&lt;/author&gt;&lt;author&gt;Heald, Colette L.&lt;/author&gt;&lt;author&gt;Yantosca, Robert M.&lt;/author&gt;&lt;author&gt;Wu, Shiliang&lt;/author&gt;&lt;author&gt;Emmons, Louisa K.&lt;/author&gt;&lt;author&gt;Edwards, David P.&lt;/author&gt;&lt;author&gt;Sachse, Glen W.&lt;/author&gt;&lt;/authors&gt;&lt;/contributors&gt;&lt;titles&gt;&lt;title&gt;Inventory of boreal fire emissions for North America in 2004: Importance of peat burning and pyroconvective injection&lt;/title&gt;&lt;secondary-title&gt;Journal of Geophysical Research: Atmospheres&lt;/secondary-title&gt;&lt;/titles&gt;&lt;periodical&gt;&lt;full-title&gt;Journal of Geophysical Research: Atmospheres&lt;/full-title&gt;&lt;/periodical&gt;&lt;volume&gt;112&lt;/volume&gt;&lt;number&gt;D12&lt;/number&gt;&lt;keywords&gt;&lt;keyword&gt;biomass burning&lt;/keyword&gt;&lt;keyword&gt;tropospheric chemistry&lt;/keyword&gt;&lt;keyword&gt;carbon monoxide&lt;/keyword&gt;&lt;/keywords&gt;&lt;dates&gt;&lt;year&gt;2007&lt;/year&gt;&lt;pub-dates&gt;&lt;date&gt;2007/06/27&lt;/date&gt;&lt;/pub-dates&gt;&lt;/dates&gt;&lt;publisher&gt;John Wiley &amp;amp; Sons, Ltd&lt;/publisher&gt;&lt;isbn&gt;0148-0227&lt;/isbn&gt;&lt;urls&gt;&lt;related-urls&gt;&lt;url&gt;https://doi.org/10.1029/2006JD007281&lt;/url&gt;&lt;/related-urls&gt;&lt;/urls&gt;&lt;electronic-resource-num&gt;10.1029/2006JD007281&lt;/electronic-resource-num&gt;&lt;access-date&gt;2020/11/02&lt;/access-date&gt;&lt;/record&gt;&lt;/Cite&gt;&lt;/EndNote&gt;</w:instrText>
            </w:r>
            <w:r w:rsidRPr="00774DF5">
              <w:rPr>
                <w:rFonts w:ascii="Arial" w:hAnsi="Arial" w:cs="Arial"/>
                <w:sz w:val="20"/>
              </w:rPr>
              <w:fldChar w:fldCharType="separate"/>
            </w:r>
            <w:r w:rsidRPr="00774DF5">
              <w:rPr>
                <w:rFonts w:ascii="Arial" w:hAnsi="Arial" w:cs="Arial"/>
                <w:noProof/>
                <w:sz w:val="20"/>
              </w:rPr>
              <w:t xml:space="preserve">Turquety, et al. </w:t>
            </w:r>
            <w:r w:rsidRPr="00774DF5">
              <w:rPr>
                <w:rFonts w:ascii="Arial" w:hAnsi="Arial" w:cs="Arial"/>
                <w:noProof/>
                <w:sz w:val="20"/>
                <w:vertAlign w:val="superscript"/>
              </w:rPr>
              <w:t>8</w:t>
            </w:r>
            <w:r w:rsidRPr="00774DF5">
              <w:rPr>
                <w:rFonts w:ascii="Arial" w:hAnsi="Arial" w:cs="Arial"/>
                <w:sz w:val="20"/>
              </w:rPr>
              <w:fldChar w:fldCharType="end"/>
            </w:r>
          </w:p>
        </w:tc>
      </w:tr>
      <w:tr w:rsidR="00811EA2" w:rsidRPr="00DF694E" w14:paraId="7534F816" w14:textId="77777777" w:rsidTr="0048034E">
        <w:tc>
          <w:tcPr>
            <w:tcW w:w="975" w:type="dxa"/>
            <w:tcBorders>
              <w:top w:val="nil"/>
              <w:left w:val="nil"/>
              <w:bottom w:val="nil"/>
              <w:right w:val="nil"/>
            </w:tcBorders>
            <w:vAlign w:val="center"/>
          </w:tcPr>
          <w:p w14:paraId="7732A4C7" w14:textId="77777777" w:rsidR="00811EA2" w:rsidRPr="00DF694E" w:rsidRDefault="00811EA2">
            <w:pPr>
              <w:rPr>
                <w:rFonts w:ascii="Arial" w:hAnsi="Arial" w:cs="Arial"/>
                <w:sz w:val="20"/>
              </w:rPr>
            </w:pPr>
          </w:p>
        </w:tc>
        <w:tc>
          <w:tcPr>
            <w:tcW w:w="1365" w:type="dxa"/>
            <w:tcBorders>
              <w:top w:val="nil"/>
              <w:left w:val="nil"/>
              <w:bottom w:val="nil"/>
              <w:right w:val="nil"/>
            </w:tcBorders>
          </w:tcPr>
          <w:p w14:paraId="6CE84CB8" w14:textId="14456512" w:rsidR="00811EA2" w:rsidRDefault="00811EA2">
            <w:pPr>
              <w:rPr>
                <w:rFonts w:ascii="Arial" w:hAnsi="Arial" w:cs="Arial"/>
                <w:sz w:val="20"/>
              </w:rPr>
            </w:pPr>
            <w:r>
              <w:rPr>
                <w:rFonts w:ascii="Arial" w:hAnsi="Arial" w:cs="Arial"/>
                <w:sz w:val="20"/>
              </w:rPr>
              <w:t>2.8*</w:t>
            </w:r>
          </w:p>
        </w:tc>
        <w:tc>
          <w:tcPr>
            <w:tcW w:w="5400" w:type="dxa"/>
            <w:tcBorders>
              <w:top w:val="nil"/>
              <w:left w:val="nil"/>
              <w:bottom w:val="nil"/>
              <w:right w:val="nil"/>
            </w:tcBorders>
          </w:tcPr>
          <w:p w14:paraId="26D41460" w14:textId="07E522C1" w:rsidR="00811EA2" w:rsidRDefault="00811EA2">
            <w:pPr>
              <w:rPr>
                <w:rFonts w:ascii="Arial" w:hAnsi="Arial" w:cs="Arial"/>
                <w:sz w:val="20"/>
              </w:rPr>
            </w:pPr>
            <w:r w:rsidRPr="00DF694E">
              <w:rPr>
                <w:rFonts w:ascii="Arial" w:hAnsi="Arial" w:cs="Arial"/>
                <w:sz w:val="20"/>
                <w:szCs w:val="20"/>
              </w:rPr>
              <w:t>Field measurement</w:t>
            </w:r>
          </w:p>
        </w:tc>
        <w:tc>
          <w:tcPr>
            <w:tcW w:w="2610" w:type="dxa"/>
            <w:tcBorders>
              <w:top w:val="nil"/>
              <w:left w:val="nil"/>
              <w:bottom w:val="nil"/>
              <w:right w:val="nil"/>
            </w:tcBorders>
          </w:tcPr>
          <w:p w14:paraId="311E5F26" w14:textId="464C058E" w:rsidR="00811EA2"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AuthorYear="1"&gt;&lt;Author&gt;Turquety&lt;/Author&gt;&lt;Year&gt;2007&lt;/Year&gt;&lt;RecNum&gt;127&lt;/RecNum&gt;&lt;DisplayText&gt;Turquety, et al. &lt;style face="superscript"&gt;8&lt;/style&gt;&lt;/DisplayText&gt;&lt;record&gt;&lt;rec-number&gt;127&lt;/rec-number&gt;&lt;foreign-keys&gt;&lt;key app="EN" db-id="rwwf2as9uepxr8epfdsvva5qt5rxtree9edp" timestamp="1604333699"&gt;127&lt;/key&gt;&lt;/foreign-keys&gt;&lt;ref-type name="Journal Article"&gt;17&lt;/ref-type&gt;&lt;contributors&gt;&lt;authors&gt;&lt;author&gt;Turquety, Solène&lt;/author&gt;&lt;author&gt;Logan, Jennifer A.&lt;/author&gt;&lt;author&gt;Jacob, Daniel J.&lt;/author&gt;&lt;author&gt;Hudman, Rynda C.&lt;/author&gt;&lt;author&gt;Leung, Fok Yan&lt;/author&gt;&lt;author&gt;Heald, Colette L.&lt;/author&gt;&lt;author&gt;Yantosca, Robert M.&lt;/author&gt;&lt;author&gt;Wu, Shiliang&lt;/author&gt;&lt;author&gt;Emmons, Louisa K.&lt;/author&gt;&lt;author&gt;Edwards, David P.&lt;/author&gt;&lt;author&gt;Sachse, Glen W.&lt;/author&gt;&lt;/authors&gt;&lt;/contributors&gt;&lt;titles&gt;&lt;title&gt;Inventory of boreal fire emissions for North America in 2004: Importance of peat burning and pyroconvective injection&lt;/title&gt;&lt;secondary-title&gt;Journal of Geophysical Research: Atmospheres&lt;/secondary-title&gt;&lt;/titles&gt;&lt;periodical&gt;&lt;full-title&gt;Journal of Geophysical Research: Atmospheres&lt;/full-title&gt;&lt;/periodical&gt;&lt;volume&gt;112&lt;/volume&gt;&lt;number&gt;D12&lt;/number&gt;&lt;keywords&gt;&lt;keyword&gt;biomass burning&lt;/keyword&gt;&lt;keyword&gt;tropospheric chemistry&lt;/keyword&gt;&lt;keyword&gt;carbon monoxide&lt;/keyword&gt;&lt;/keywords&gt;&lt;dates&gt;&lt;year&gt;2007&lt;/year&gt;&lt;pub-dates&gt;&lt;date&gt;2007/06/27&lt;/date&gt;&lt;/pub-dates&gt;&lt;/dates&gt;&lt;publisher&gt;John Wiley &amp;amp; Sons, Ltd&lt;/publisher&gt;&lt;isbn&gt;0148-0227&lt;/isbn&gt;&lt;urls&gt;&lt;related-urls&gt;&lt;url&gt;https://doi.org/10.1029/2006JD007281&lt;/url&gt;&lt;/related-urls&gt;&lt;/urls&gt;&lt;electronic-resource-num&gt;10.1029/2006JD007281&lt;/electronic-resource-num&gt;&lt;access-date&gt;2020/11/02&lt;/access-date&gt;&lt;/record&gt;&lt;/Cite&gt;&lt;/EndNote&gt;</w:instrText>
            </w:r>
            <w:r w:rsidRPr="00774DF5">
              <w:rPr>
                <w:rFonts w:ascii="Arial" w:hAnsi="Arial" w:cs="Arial"/>
                <w:sz w:val="20"/>
              </w:rPr>
              <w:fldChar w:fldCharType="separate"/>
            </w:r>
            <w:r w:rsidRPr="00774DF5">
              <w:rPr>
                <w:rFonts w:ascii="Arial" w:hAnsi="Arial" w:cs="Arial"/>
                <w:noProof/>
                <w:sz w:val="20"/>
              </w:rPr>
              <w:t xml:space="preserve">Turquety, et al. </w:t>
            </w:r>
            <w:r w:rsidRPr="00774DF5">
              <w:rPr>
                <w:rFonts w:ascii="Arial" w:hAnsi="Arial" w:cs="Arial"/>
                <w:noProof/>
                <w:sz w:val="20"/>
                <w:vertAlign w:val="superscript"/>
              </w:rPr>
              <w:t>8</w:t>
            </w:r>
            <w:r w:rsidRPr="00774DF5">
              <w:rPr>
                <w:rFonts w:ascii="Arial" w:hAnsi="Arial" w:cs="Arial"/>
                <w:sz w:val="20"/>
              </w:rPr>
              <w:fldChar w:fldCharType="end"/>
            </w:r>
          </w:p>
        </w:tc>
      </w:tr>
      <w:tr w:rsidR="00B47821" w:rsidRPr="00DF694E" w14:paraId="724036DD" w14:textId="77777777" w:rsidTr="0048034E">
        <w:tc>
          <w:tcPr>
            <w:tcW w:w="975" w:type="dxa"/>
            <w:tcBorders>
              <w:top w:val="nil"/>
              <w:left w:val="nil"/>
              <w:bottom w:val="nil"/>
              <w:right w:val="nil"/>
            </w:tcBorders>
            <w:vAlign w:val="center"/>
          </w:tcPr>
          <w:p w14:paraId="0B23B323" w14:textId="77777777" w:rsidR="00B47821" w:rsidRPr="00DF694E" w:rsidRDefault="00B47821">
            <w:pPr>
              <w:rPr>
                <w:rFonts w:ascii="Arial" w:hAnsi="Arial" w:cs="Arial"/>
                <w:sz w:val="20"/>
              </w:rPr>
            </w:pPr>
          </w:p>
        </w:tc>
        <w:tc>
          <w:tcPr>
            <w:tcW w:w="1365" w:type="dxa"/>
            <w:tcBorders>
              <w:top w:val="nil"/>
              <w:left w:val="nil"/>
              <w:bottom w:val="nil"/>
              <w:right w:val="nil"/>
            </w:tcBorders>
          </w:tcPr>
          <w:p w14:paraId="739BEF5F" w14:textId="752E22EA" w:rsidR="00B47821" w:rsidRDefault="00811EA2">
            <w:pPr>
              <w:rPr>
                <w:rFonts w:ascii="Arial" w:hAnsi="Arial" w:cs="Arial"/>
                <w:sz w:val="20"/>
              </w:rPr>
            </w:pPr>
            <w:r>
              <w:rPr>
                <w:rFonts w:ascii="Arial" w:hAnsi="Arial" w:cs="Arial"/>
                <w:sz w:val="20"/>
              </w:rPr>
              <w:t>2.0 (1.7-2.4)</w:t>
            </w:r>
          </w:p>
        </w:tc>
        <w:tc>
          <w:tcPr>
            <w:tcW w:w="5400" w:type="dxa"/>
            <w:tcBorders>
              <w:top w:val="nil"/>
              <w:left w:val="nil"/>
              <w:bottom w:val="nil"/>
              <w:right w:val="nil"/>
            </w:tcBorders>
          </w:tcPr>
          <w:p w14:paraId="403B0F6A" w14:textId="3AB56E4C" w:rsidR="00B47821" w:rsidRDefault="00811EA2">
            <w:pPr>
              <w:rPr>
                <w:rFonts w:ascii="Arial" w:hAnsi="Arial" w:cs="Arial"/>
                <w:sz w:val="20"/>
              </w:rPr>
            </w:pPr>
            <w:r>
              <w:rPr>
                <w:rFonts w:ascii="Arial" w:hAnsi="Arial" w:cs="Arial"/>
                <w:sz w:val="20"/>
              </w:rPr>
              <w:t>Estimated by severity, biomass and fire area</w:t>
            </w:r>
          </w:p>
        </w:tc>
        <w:tc>
          <w:tcPr>
            <w:tcW w:w="2610" w:type="dxa"/>
            <w:tcBorders>
              <w:top w:val="nil"/>
              <w:left w:val="nil"/>
              <w:bottom w:val="nil"/>
              <w:right w:val="nil"/>
            </w:tcBorders>
          </w:tcPr>
          <w:p w14:paraId="34CB31BF" w14:textId="232C4F7A" w:rsidR="00B47821"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AuthorYear="1"&gt;&lt;Author&gt;French&lt;/Author&gt;&lt;Year&gt;2002&lt;/Year&gt;&lt;RecNum&gt;114&lt;/RecNum&gt;&lt;DisplayText&gt;French, et al. &lt;style face="superscript"&gt;9&lt;/style&gt;&lt;/DisplayText&gt;&lt;record&gt;&lt;rec-number&gt;114&lt;/rec-number&gt;&lt;foreign-keys&gt;&lt;key app="EN" db-id="rwwf2as9uepxr8epfdsvva5qt5rxtree9edp" timestamp="1604333647"&gt;114&lt;/key&gt;&lt;/foreign-keys&gt;&lt;ref-type name="Journal Article"&gt;17&lt;/ref-type&gt;&lt;contributors&gt;&lt;authors&gt;&lt;author&gt;French, Nancy&lt;/author&gt;&lt;author&gt;Kasischke, Eric&lt;/author&gt;&lt;author&gt;Williams, David&lt;/author&gt;&lt;/authors&gt;&lt;/contributors&gt;&lt;titles&gt;&lt;title&gt;Variability in the emission of carbon-based trace gases from wildfire in the Alaskan boreal forest&lt;/title&gt;&lt;secondary-title&gt;J. Geophys. Res&lt;/secondary-title&gt;&lt;/titles&gt;&lt;periodical&gt;&lt;full-title&gt;J. Geophys. Res&lt;/full-title&gt;&lt;/periodical&gt;&lt;volume&gt;107&lt;/volume&gt;&lt;dates&gt;&lt;year&gt;2002&lt;/year&gt;&lt;pub-dates&gt;&lt;date&gt;01/01&lt;/date&gt;&lt;/pub-dates&gt;&lt;/dates&gt;&lt;urls&gt;&lt;/urls&gt;&lt;electronic-resource-num&gt;10.1029/2001JD000480&lt;/electronic-resource-num&gt;&lt;/record&gt;&lt;/Cite&gt;&lt;/EndNote&gt;</w:instrText>
            </w:r>
            <w:r w:rsidRPr="00774DF5">
              <w:rPr>
                <w:rFonts w:ascii="Arial" w:hAnsi="Arial" w:cs="Arial"/>
                <w:sz w:val="20"/>
              </w:rPr>
              <w:fldChar w:fldCharType="separate"/>
            </w:r>
            <w:r w:rsidRPr="00774DF5">
              <w:rPr>
                <w:rFonts w:ascii="Arial" w:hAnsi="Arial" w:cs="Arial"/>
                <w:noProof/>
                <w:sz w:val="20"/>
              </w:rPr>
              <w:t xml:space="preserve">French, et al. </w:t>
            </w:r>
            <w:r w:rsidRPr="00774DF5">
              <w:rPr>
                <w:rFonts w:ascii="Arial" w:hAnsi="Arial" w:cs="Arial"/>
                <w:noProof/>
                <w:sz w:val="20"/>
                <w:vertAlign w:val="superscript"/>
              </w:rPr>
              <w:t>9</w:t>
            </w:r>
            <w:r w:rsidRPr="00774DF5">
              <w:rPr>
                <w:rFonts w:ascii="Arial" w:hAnsi="Arial" w:cs="Arial"/>
                <w:sz w:val="20"/>
              </w:rPr>
              <w:fldChar w:fldCharType="end"/>
            </w:r>
          </w:p>
        </w:tc>
      </w:tr>
      <w:tr w:rsidR="00774DF5" w:rsidRPr="00DF694E" w14:paraId="105990DC" w14:textId="77777777" w:rsidTr="0048034E">
        <w:tc>
          <w:tcPr>
            <w:tcW w:w="975" w:type="dxa"/>
            <w:tcBorders>
              <w:top w:val="nil"/>
              <w:left w:val="nil"/>
              <w:bottom w:val="nil"/>
              <w:right w:val="nil"/>
            </w:tcBorders>
            <w:vAlign w:val="center"/>
          </w:tcPr>
          <w:p w14:paraId="5594E39C" w14:textId="77777777" w:rsidR="00774DF5" w:rsidRPr="00DF694E" w:rsidRDefault="00774DF5">
            <w:pPr>
              <w:rPr>
                <w:rFonts w:ascii="Arial" w:hAnsi="Arial" w:cs="Arial"/>
                <w:sz w:val="20"/>
              </w:rPr>
            </w:pPr>
          </w:p>
        </w:tc>
        <w:tc>
          <w:tcPr>
            <w:tcW w:w="1365" w:type="dxa"/>
            <w:tcBorders>
              <w:top w:val="nil"/>
              <w:left w:val="nil"/>
              <w:bottom w:val="nil"/>
              <w:right w:val="nil"/>
            </w:tcBorders>
          </w:tcPr>
          <w:p w14:paraId="4BECB987" w14:textId="77777777" w:rsidR="00774DF5" w:rsidRDefault="00774DF5">
            <w:pPr>
              <w:rPr>
                <w:rFonts w:ascii="Arial" w:hAnsi="Arial" w:cs="Arial"/>
                <w:sz w:val="20"/>
              </w:rPr>
            </w:pPr>
          </w:p>
        </w:tc>
        <w:tc>
          <w:tcPr>
            <w:tcW w:w="5400" w:type="dxa"/>
            <w:tcBorders>
              <w:top w:val="nil"/>
              <w:left w:val="nil"/>
              <w:bottom w:val="nil"/>
              <w:right w:val="nil"/>
            </w:tcBorders>
          </w:tcPr>
          <w:p w14:paraId="5396526C" w14:textId="77777777" w:rsidR="00774DF5" w:rsidRDefault="00774DF5">
            <w:pPr>
              <w:rPr>
                <w:rFonts w:ascii="Arial" w:hAnsi="Arial" w:cs="Arial"/>
                <w:sz w:val="20"/>
              </w:rPr>
            </w:pPr>
          </w:p>
        </w:tc>
        <w:tc>
          <w:tcPr>
            <w:tcW w:w="2610" w:type="dxa"/>
            <w:tcBorders>
              <w:top w:val="nil"/>
              <w:left w:val="nil"/>
              <w:bottom w:val="nil"/>
              <w:right w:val="nil"/>
            </w:tcBorders>
          </w:tcPr>
          <w:p w14:paraId="48E4E608" w14:textId="77777777" w:rsidR="00774DF5" w:rsidRPr="00774DF5" w:rsidRDefault="00774DF5">
            <w:pPr>
              <w:rPr>
                <w:rFonts w:ascii="Arial" w:hAnsi="Arial" w:cs="Arial"/>
                <w:sz w:val="20"/>
              </w:rPr>
            </w:pPr>
          </w:p>
        </w:tc>
      </w:tr>
      <w:tr w:rsidR="00DF694E" w:rsidRPr="00DF694E" w14:paraId="0BB0C209" w14:textId="77777777" w:rsidTr="0048034E">
        <w:tc>
          <w:tcPr>
            <w:tcW w:w="975" w:type="dxa"/>
            <w:vMerge w:val="restart"/>
            <w:tcBorders>
              <w:top w:val="nil"/>
              <w:left w:val="nil"/>
              <w:bottom w:val="nil"/>
              <w:right w:val="nil"/>
            </w:tcBorders>
            <w:hideMark/>
          </w:tcPr>
          <w:p w14:paraId="170EB1BE" w14:textId="77777777" w:rsidR="00DF694E" w:rsidRPr="00DF694E" w:rsidRDefault="00DF694E">
            <w:pPr>
              <w:rPr>
                <w:rFonts w:ascii="Arial" w:hAnsi="Arial" w:cs="Arial"/>
                <w:sz w:val="20"/>
                <w:szCs w:val="20"/>
              </w:rPr>
            </w:pPr>
            <w:r w:rsidRPr="00DF694E">
              <w:rPr>
                <w:rFonts w:ascii="Arial" w:hAnsi="Arial" w:cs="Arial"/>
                <w:sz w:val="20"/>
                <w:szCs w:val="20"/>
              </w:rPr>
              <w:t>Canada</w:t>
            </w:r>
          </w:p>
        </w:tc>
        <w:tc>
          <w:tcPr>
            <w:tcW w:w="1365" w:type="dxa"/>
            <w:tcBorders>
              <w:top w:val="nil"/>
              <w:left w:val="nil"/>
              <w:bottom w:val="nil"/>
              <w:right w:val="nil"/>
            </w:tcBorders>
            <w:hideMark/>
          </w:tcPr>
          <w:p w14:paraId="29C587E3" w14:textId="77777777" w:rsidR="00DF694E" w:rsidRPr="00DF694E" w:rsidRDefault="00DF694E">
            <w:pPr>
              <w:rPr>
                <w:rFonts w:ascii="Arial" w:hAnsi="Arial" w:cs="Arial"/>
                <w:b/>
                <w:sz w:val="20"/>
                <w:szCs w:val="20"/>
              </w:rPr>
            </w:pPr>
            <w:r w:rsidRPr="00DF694E">
              <w:rPr>
                <w:rFonts w:ascii="Arial" w:hAnsi="Arial" w:cs="Arial"/>
                <w:b/>
                <w:sz w:val="20"/>
                <w:szCs w:val="20"/>
              </w:rPr>
              <w:t>2.1</w:t>
            </w:r>
          </w:p>
        </w:tc>
        <w:tc>
          <w:tcPr>
            <w:tcW w:w="5400" w:type="dxa"/>
            <w:tcBorders>
              <w:top w:val="nil"/>
              <w:left w:val="nil"/>
              <w:bottom w:val="nil"/>
              <w:right w:val="nil"/>
            </w:tcBorders>
            <w:hideMark/>
          </w:tcPr>
          <w:p w14:paraId="19FADC58" w14:textId="77777777" w:rsidR="00DF694E" w:rsidRPr="00DF694E" w:rsidRDefault="00DF694E">
            <w:pPr>
              <w:rPr>
                <w:rFonts w:ascii="Arial" w:hAnsi="Arial" w:cs="Arial"/>
                <w:b/>
                <w:sz w:val="20"/>
                <w:szCs w:val="20"/>
              </w:rPr>
            </w:pPr>
            <w:r w:rsidRPr="00DF694E">
              <w:rPr>
                <w:rFonts w:ascii="Arial" w:hAnsi="Arial" w:cs="Arial"/>
                <w:b/>
                <w:sz w:val="20"/>
                <w:szCs w:val="20"/>
              </w:rPr>
              <w:t xml:space="preserve">Estimated from </w:t>
            </w:r>
            <w:proofErr w:type="spellStart"/>
            <w:r w:rsidRPr="00DF694E">
              <w:rPr>
                <w:rFonts w:ascii="Arial" w:hAnsi="Arial" w:cs="Arial"/>
                <w:b/>
                <w:sz w:val="20"/>
                <w:szCs w:val="20"/>
              </w:rPr>
              <w:t>dNBR</w:t>
            </w:r>
            <w:proofErr w:type="spellEnd"/>
            <w:r w:rsidRPr="00DF694E">
              <w:rPr>
                <w:rFonts w:ascii="Arial" w:hAnsi="Arial" w:cs="Arial"/>
                <w:b/>
                <w:sz w:val="20"/>
                <w:szCs w:val="20"/>
              </w:rPr>
              <w:t xml:space="preserve"> and C stock</w:t>
            </w:r>
          </w:p>
        </w:tc>
        <w:tc>
          <w:tcPr>
            <w:tcW w:w="2610" w:type="dxa"/>
            <w:tcBorders>
              <w:top w:val="nil"/>
              <w:left w:val="nil"/>
              <w:bottom w:val="nil"/>
              <w:right w:val="nil"/>
            </w:tcBorders>
            <w:hideMark/>
          </w:tcPr>
          <w:p w14:paraId="47E3DD62" w14:textId="77777777" w:rsidR="00DF694E" w:rsidRPr="00DF694E" w:rsidRDefault="00DF694E">
            <w:pPr>
              <w:rPr>
                <w:rFonts w:ascii="Arial" w:hAnsi="Arial" w:cs="Arial"/>
                <w:b/>
                <w:sz w:val="20"/>
                <w:szCs w:val="20"/>
              </w:rPr>
            </w:pPr>
            <w:r w:rsidRPr="00DF694E">
              <w:rPr>
                <w:rFonts w:ascii="Arial" w:hAnsi="Arial" w:cs="Arial"/>
                <w:b/>
                <w:sz w:val="20"/>
                <w:szCs w:val="20"/>
              </w:rPr>
              <w:t>This study</w:t>
            </w:r>
          </w:p>
        </w:tc>
      </w:tr>
      <w:tr w:rsidR="00DF694E" w:rsidRPr="00DF694E" w14:paraId="54EF66FA" w14:textId="77777777" w:rsidTr="0048034E">
        <w:tc>
          <w:tcPr>
            <w:tcW w:w="975" w:type="dxa"/>
            <w:vMerge/>
            <w:tcBorders>
              <w:top w:val="nil"/>
              <w:left w:val="nil"/>
              <w:bottom w:val="nil"/>
              <w:right w:val="nil"/>
            </w:tcBorders>
            <w:vAlign w:val="center"/>
            <w:hideMark/>
          </w:tcPr>
          <w:p w14:paraId="1710870C"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70199E8A" w14:textId="77777777" w:rsidR="00DF694E" w:rsidRPr="00DF694E" w:rsidRDefault="00DF694E">
            <w:pPr>
              <w:rPr>
                <w:rFonts w:ascii="Arial" w:hAnsi="Arial" w:cs="Arial"/>
                <w:sz w:val="20"/>
                <w:szCs w:val="20"/>
              </w:rPr>
            </w:pPr>
            <w:r w:rsidRPr="00DF694E">
              <w:rPr>
                <w:rFonts w:ascii="Arial" w:hAnsi="Arial" w:cs="Arial"/>
                <w:sz w:val="20"/>
                <w:szCs w:val="20"/>
              </w:rPr>
              <w:t>1.3 (1.8-3.9)</w:t>
            </w:r>
          </w:p>
        </w:tc>
        <w:tc>
          <w:tcPr>
            <w:tcW w:w="5400" w:type="dxa"/>
            <w:tcBorders>
              <w:top w:val="nil"/>
              <w:left w:val="nil"/>
              <w:bottom w:val="nil"/>
              <w:right w:val="nil"/>
            </w:tcBorders>
            <w:hideMark/>
          </w:tcPr>
          <w:p w14:paraId="21E40367" w14:textId="77777777" w:rsidR="00DF694E" w:rsidRPr="00DF694E" w:rsidRDefault="00DF694E">
            <w:pPr>
              <w:rPr>
                <w:rFonts w:ascii="Arial" w:hAnsi="Arial" w:cs="Arial"/>
                <w:sz w:val="20"/>
                <w:szCs w:val="20"/>
              </w:rPr>
            </w:pPr>
            <w:r w:rsidRPr="00DF694E">
              <w:rPr>
                <w:rFonts w:ascii="Arial" w:hAnsi="Arial" w:cs="Arial"/>
                <w:sz w:val="20"/>
                <w:szCs w:val="20"/>
              </w:rPr>
              <w:t xml:space="preserve">Estimated by fuel type and </w:t>
            </w:r>
            <w:proofErr w:type="spellStart"/>
            <w:r w:rsidRPr="00DF694E">
              <w:rPr>
                <w:rFonts w:ascii="Arial" w:hAnsi="Arial" w:cs="Arial"/>
                <w:sz w:val="20"/>
                <w:szCs w:val="20"/>
              </w:rPr>
              <w:t>ecozone</w:t>
            </w:r>
            <w:proofErr w:type="spellEnd"/>
          </w:p>
        </w:tc>
        <w:tc>
          <w:tcPr>
            <w:tcW w:w="2610" w:type="dxa"/>
            <w:tcBorders>
              <w:top w:val="nil"/>
              <w:left w:val="nil"/>
              <w:bottom w:val="nil"/>
              <w:right w:val="nil"/>
            </w:tcBorders>
            <w:hideMark/>
          </w:tcPr>
          <w:p w14:paraId="43635637" w14:textId="769A9D31" w:rsidR="00DF694E" w:rsidRPr="00DF694E" w:rsidRDefault="00DF694E">
            <w:pPr>
              <w:rPr>
                <w:rFonts w:ascii="Arial" w:hAnsi="Arial" w:cs="Arial"/>
                <w:sz w:val="20"/>
                <w:szCs w:val="20"/>
              </w:rPr>
            </w:pPr>
            <w:r w:rsidRPr="00DF694E">
              <w:rPr>
                <w:rFonts w:ascii="Arial" w:hAnsi="Arial" w:cs="Arial"/>
                <w:sz w:val="20"/>
              </w:rPr>
              <w:fldChar w:fldCharType="begin"/>
            </w:r>
            <w:r w:rsidR="00774DF5">
              <w:rPr>
                <w:rFonts w:ascii="Arial" w:hAnsi="Arial" w:cs="Arial"/>
                <w:sz w:val="20"/>
              </w:rPr>
              <w:instrText xml:space="preserve"> ADDIN EN.CITE &lt;EndNote&gt;&lt;Cite AuthorYear="1"&gt;&lt;Author&gt;Amiro&lt;/Author&gt;&lt;Year&gt;2001&lt;/Year&gt;&lt;RecNum&gt;38&lt;/RecNum&gt;&lt;DisplayText&gt;Amiro, et al. &lt;style face="superscript"&gt;10&lt;/style&gt;&lt;/DisplayText&gt;&lt;record&gt;&lt;rec-number&gt;38&lt;/rec-number&gt;&lt;foreign-keys&gt;&lt;key app="EN" db-id="rwwf2as9uepxr8epfdsvva5qt5rxtree9edp" timestamp="1588781439"&gt;38&lt;/key&gt;&lt;/foreign-keys&gt;&lt;ref-type name="Journal Article"&gt;17&lt;/ref-type&gt;&lt;contributors&gt;&lt;authors&gt;&lt;author&gt;Amiro, B. D.&lt;/author&gt;&lt;author&gt;Todd, J. B.&lt;/author&gt;&lt;author&gt;Wotton, B. M.&lt;/author&gt;&lt;author&gt;Logan, K. A.&lt;/author&gt;&lt;author&gt;Flannigan, M. D.&lt;/author&gt;&lt;author&gt;Stocks, B. J.&lt;/author&gt;&lt;author&gt;Mason, J. A.&lt;/author&gt;&lt;author&gt;Martell, D. L.&lt;/author&gt;&lt;author&gt;Hirsch, K. G.&lt;/author&gt;&lt;/authors&gt;&lt;/contributors&gt;&lt;titles&gt;&lt;title&gt;Direct carbon emissions from Canadian forest fires, 1959-1999&lt;/title&gt;&lt;secondary-title&gt;Canadian Journal of Forest Research&lt;/secondary-title&gt;&lt;/titles&gt;&lt;periodical&gt;&lt;full-title&gt;Canadian Journal of Forest Research&lt;/full-title&gt;&lt;/periodical&gt;&lt;pages&gt;512-525&lt;/pages&gt;&lt;volume&gt;31&lt;/volume&gt;&lt;number&gt;3&lt;/number&gt;&lt;dates&gt;&lt;year&gt;2001&lt;/year&gt;&lt;pub-dates&gt;&lt;date&gt;2001/03/01&lt;/date&gt;&lt;/pub-dates&gt;&lt;/dates&gt;&lt;publisher&gt;NRC Research Press&lt;/publisher&gt;&lt;isbn&gt;0045-5067&lt;/isbn&gt;&lt;urls&gt;&lt;related-urls&gt;&lt;url&gt;https://doi.org/10.1139/x00-197&lt;/url&gt;&lt;/related-urls&gt;&lt;/urls&gt;&lt;electronic-resource-num&gt;10.1139/x00-197&lt;/electronic-resource-num&gt;&lt;access-date&gt;2020/03/27&lt;/access-date&gt;&lt;/record&gt;&lt;/Cite&gt;&lt;/EndNote&gt;</w:instrText>
            </w:r>
            <w:r w:rsidRPr="00DF694E">
              <w:rPr>
                <w:rFonts w:ascii="Arial" w:hAnsi="Arial" w:cs="Arial"/>
                <w:sz w:val="20"/>
              </w:rPr>
              <w:fldChar w:fldCharType="separate"/>
            </w:r>
            <w:r w:rsidR="00774DF5">
              <w:rPr>
                <w:rFonts w:ascii="Arial" w:hAnsi="Arial" w:cs="Arial"/>
                <w:noProof/>
                <w:sz w:val="20"/>
              </w:rPr>
              <w:t xml:space="preserve">Amiro, et al. </w:t>
            </w:r>
            <w:r w:rsidR="00774DF5" w:rsidRPr="00774DF5">
              <w:rPr>
                <w:rFonts w:ascii="Arial" w:hAnsi="Arial" w:cs="Arial"/>
                <w:noProof/>
                <w:sz w:val="20"/>
                <w:vertAlign w:val="superscript"/>
              </w:rPr>
              <w:t>10</w:t>
            </w:r>
            <w:r w:rsidRPr="00DF694E">
              <w:rPr>
                <w:rFonts w:ascii="Arial" w:hAnsi="Arial" w:cs="Arial"/>
                <w:sz w:val="20"/>
              </w:rPr>
              <w:fldChar w:fldCharType="end"/>
            </w:r>
          </w:p>
        </w:tc>
      </w:tr>
      <w:tr w:rsidR="00DF694E" w:rsidRPr="00DF694E" w14:paraId="08BA2DA7" w14:textId="77777777" w:rsidTr="0048034E">
        <w:tc>
          <w:tcPr>
            <w:tcW w:w="975" w:type="dxa"/>
            <w:vMerge/>
            <w:tcBorders>
              <w:top w:val="nil"/>
              <w:left w:val="nil"/>
              <w:bottom w:val="nil"/>
              <w:right w:val="nil"/>
            </w:tcBorders>
            <w:vAlign w:val="center"/>
            <w:hideMark/>
          </w:tcPr>
          <w:p w14:paraId="7F4E6D57"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7EC5B1B7" w14:textId="77777777" w:rsidR="00DF694E" w:rsidRPr="00DF694E" w:rsidRDefault="00DF694E">
            <w:pPr>
              <w:rPr>
                <w:rFonts w:ascii="Arial" w:hAnsi="Arial" w:cs="Arial"/>
                <w:sz w:val="20"/>
                <w:szCs w:val="20"/>
              </w:rPr>
            </w:pPr>
            <w:r w:rsidRPr="00DF694E">
              <w:rPr>
                <w:rFonts w:ascii="Arial" w:hAnsi="Arial" w:cs="Arial"/>
                <w:sz w:val="20"/>
                <w:szCs w:val="20"/>
              </w:rPr>
              <w:t>3.2±0.5</w:t>
            </w:r>
          </w:p>
        </w:tc>
        <w:tc>
          <w:tcPr>
            <w:tcW w:w="5400" w:type="dxa"/>
            <w:tcBorders>
              <w:top w:val="nil"/>
              <w:left w:val="nil"/>
              <w:bottom w:val="nil"/>
              <w:right w:val="nil"/>
            </w:tcBorders>
            <w:hideMark/>
          </w:tcPr>
          <w:p w14:paraId="013FB74A" w14:textId="77777777" w:rsidR="00DF694E" w:rsidRPr="00DF694E" w:rsidRDefault="00DF694E">
            <w:pPr>
              <w:rPr>
                <w:rFonts w:ascii="Arial" w:hAnsi="Arial" w:cs="Arial"/>
                <w:sz w:val="20"/>
                <w:szCs w:val="20"/>
              </w:rPr>
            </w:pPr>
            <w:r w:rsidRPr="00DF694E">
              <w:rPr>
                <w:rFonts w:ascii="Arial" w:hAnsi="Arial" w:cs="Arial"/>
                <w:sz w:val="20"/>
                <w:szCs w:val="20"/>
              </w:rPr>
              <w:t>Estimated by Fire Behavior Prediction System</w:t>
            </w:r>
          </w:p>
        </w:tc>
        <w:tc>
          <w:tcPr>
            <w:tcW w:w="2610" w:type="dxa"/>
            <w:tcBorders>
              <w:top w:val="nil"/>
              <w:left w:val="nil"/>
              <w:bottom w:val="nil"/>
              <w:right w:val="nil"/>
            </w:tcBorders>
            <w:hideMark/>
          </w:tcPr>
          <w:p w14:paraId="04674477" w14:textId="2D561555" w:rsidR="00DF694E" w:rsidRPr="00DF694E" w:rsidRDefault="00DF694E">
            <w:pPr>
              <w:rPr>
                <w:rFonts w:ascii="Arial" w:hAnsi="Arial" w:cs="Arial"/>
                <w:sz w:val="20"/>
                <w:szCs w:val="20"/>
              </w:rPr>
            </w:pPr>
            <w:r w:rsidRPr="00DF694E">
              <w:rPr>
                <w:rFonts w:ascii="Arial" w:hAnsi="Arial" w:cs="Arial"/>
                <w:sz w:val="20"/>
              </w:rPr>
              <w:fldChar w:fldCharType="begin"/>
            </w:r>
            <w:r w:rsidR="00774DF5">
              <w:rPr>
                <w:rFonts w:ascii="Arial" w:hAnsi="Arial" w:cs="Arial"/>
                <w:sz w:val="20"/>
              </w:rPr>
              <w:instrText xml:space="preserve"> ADDIN EN.CITE &lt;EndNote&gt;&lt;Cite AuthorYear="1"&gt;&lt;Author&gt;de Groot&lt;/Author&gt;&lt;Year&gt;2007&lt;/Year&gt;&lt;RecNum&gt;58&lt;/RecNum&gt;&lt;DisplayText&gt;de Groot, et al. &lt;style face="superscript"&gt;11&lt;/style&gt;&lt;/DisplayText&gt;&lt;record&gt;&lt;rec-number&gt;58&lt;/rec-number&gt;&lt;foreign-keys&gt;&lt;key app="EN" db-id="rwwf2as9uepxr8epfdsvva5qt5rxtree9edp" timestamp="1588781470"&gt;58&lt;/key&gt;&lt;/foreign-keys&gt;&lt;ref-type name="Journal Article"&gt;17&lt;/ref-type&gt;&lt;contributors&gt;&lt;authors&gt;&lt;author&gt;de Groot, William&lt;/author&gt;&lt;author&gt;Landry, Robert&lt;/author&gt;&lt;author&gt;Kurz, Werner&lt;/author&gt;&lt;author&gt;Anderson, Kerry&lt;/author&gt;&lt;author&gt;Englefield, Peter&lt;/author&gt;&lt;author&gt;Fraser, Robert&lt;/author&gt;&lt;author&gt;Hall, R. J.&lt;/author&gt;&lt;author&gt;Banfield, George&lt;/author&gt;&lt;author&gt;Raymond, Donald&lt;/author&gt;&lt;author&gt;Decker, Vincent&lt;/author&gt;&lt;author&gt;Lynham, Tim&lt;/author&gt;&lt;author&gt;Pritchard, Janet&lt;/author&gt;&lt;/authors&gt;&lt;/contributors&gt;&lt;titles&gt;&lt;title&gt;Estimating direct carbon emissions from Canadian wildland fires&lt;/title&gt;&lt;secondary-title&gt;International Journal of Wildland Fire&lt;/secondary-title&gt;&lt;/titles&gt;&lt;periodical&gt;&lt;full-title&gt;International Journal of Wildland Fire&lt;/full-title&gt;&lt;/periodical&gt;&lt;volume&gt;16&lt;/volume&gt;&lt;dates&gt;&lt;year&gt;2007&lt;/year&gt;&lt;pub-dates&gt;&lt;date&gt;01/01&lt;/date&gt;&lt;/pub-dates&gt;&lt;/dates&gt;&lt;urls&gt;&lt;/urls&gt;&lt;electronic-resource-num&gt;10.1071/WF06150&lt;/electronic-resource-num&gt;&lt;/record&gt;&lt;/Cite&gt;&lt;/EndNote&gt;</w:instrText>
            </w:r>
            <w:r w:rsidRPr="00DF694E">
              <w:rPr>
                <w:rFonts w:ascii="Arial" w:hAnsi="Arial" w:cs="Arial"/>
                <w:sz w:val="20"/>
              </w:rPr>
              <w:fldChar w:fldCharType="separate"/>
            </w:r>
            <w:r w:rsidR="00774DF5">
              <w:rPr>
                <w:rFonts w:ascii="Arial" w:hAnsi="Arial" w:cs="Arial"/>
                <w:noProof/>
                <w:sz w:val="20"/>
              </w:rPr>
              <w:t xml:space="preserve">de Groot, et al. </w:t>
            </w:r>
            <w:r w:rsidR="00774DF5" w:rsidRPr="00774DF5">
              <w:rPr>
                <w:rFonts w:ascii="Arial" w:hAnsi="Arial" w:cs="Arial"/>
                <w:noProof/>
                <w:sz w:val="20"/>
                <w:vertAlign w:val="superscript"/>
              </w:rPr>
              <w:t>11</w:t>
            </w:r>
            <w:r w:rsidRPr="00DF694E">
              <w:rPr>
                <w:rFonts w:ascii="Arial" w:hAnsi="Arial" w:cs="Arial"/>
                <w:sz w:val="20"/>
              </w:rPr>
              <w:fldChar w:fldCharType="end"/>
            </w:r>
          </w:p>
        </w:tc>
      </w:tr>
      <w:tr w:rsidR="00DF694E" w:rsidRPr="00DF694E" w14:paraId="62E9C148" w14:textId="77777777" w:rsidTr="0048034E">
        <w:tc>
          <w:tcPr>
            <w:tcW w:w="975" w:type="dxa"/>
            <w:vMerge/>
            <w:tcBorders>
              <w:top w:val="nil"/>
              <w:left w:val="nil"/>
              <w:bottom w:val="nil"/>
              <w:right w:val="nil"/>
            </w:tcBorders>
            <w:vAlign w:val="center"/>
            <w:hideMark/>
          </w:tcPr>
          <w:p w14:paraId="697602EA"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6F5AC21F" w14:textId="77777777" w:rsidR="00DF694E" w:rsidRPr="00DF694E" w:rsidRDefault="00DF694E">
            <w:pPr>
              <w:rPr>
                <w:rFonts w:ascii="Arial" w:hAnsi="Arial" w:cs="Arial"/>
                <w:sz w:val="20"/>
                <w:szCs w:val="20"/>
              </w:rPr>
            </w:pPr>
            <w:r w:rsidRPr="00DF694E">
              <w:rPr>
                <w:rFonts w:ascii="Arial" w:hAnsi="Arial" w:cs="Arial"/>
                <w:sz w:val="20"/>
                <w:szCs w:val="20"/>
              </w:rPr>
              <w:t>4.3±1.1</w:t>
            </w:r>
          </w:p>
        </w:tc>
        <w:tc>
          <w:tcPr>
            <w:tcW w:w="5400" w:type="dxa"/>
            <w:tcBorders>
              <w:top w:val="nil"/>
              <w:left w:val="nil"/>
              <w:bottom w:val="nil"/>
              <w:right w:val="nil"/>
            </w:tcBorders>
            <w:hideMark/>
          </w:tcPr>
          <w:p w14:paraId="07D61FFE" w14:textId="77777777" w:rsidR="00DF694E" w:rsidRPr="00DF694E" w:rsidRDefault="00DF694E">
            <w:pPr>
              <w:rPr>
                <w:rFonts w:ascii="Arial" w:hAnsi="Arial" w:cs="Arial"/>
                <w:sz w:val="20"/>
                <w:szCs w:val="20"/>
              </w:rPr>
            </w:pPr>
            <w:r w:rsidRPr="00DF694E">
              <w:rPr>
                <w:rFonts w:ascii="Arial" w:hAnsi="Arial" w:cs="Arial"/>
                <w:sz w:val="20"/>
                <w:szCs w:val="20"/>
              </w:rPr>
              <w:t>Estimated based on Boreal Fire Effects Model</w:t>
            </w:r>
          </w:p>
        </w:tc>
        <w:tc>
          <w:tcPr>
            <w:tcW w:w="2610" w:type="dxa"/>
            <w:tcBorders>
              <w:top w:val="nil"/>
              <w:left w:val="nil"/>
              <w:bottom w:val="nil"/>
              <w:right w:val="nil"/>
            </w:tcBorders>
            <w:hideMark/>
          </w:tcPr>
          <w:p w14:paraId="3C960926" w14:textId="559FDB44" w:rsidR="00DF694E" w:rsidRPr="00DF694E" w:rsidRDefault="00DF694E">
            <w:pPr>
              <w:rPr>
                <w:rFonts w:ascii="Arial" w:hAnsi="Arial" w:cs="Arial"/>
                <w:sz w:val="20"/>
                <w:szCs w:val="20"/>
              </w:rPr>
            </w:pPr>
            <w:r w:rsidRPr="00DF694E">
              <w:rPr>
                <w:rFonts w:ascii="Arial" w:hAnsi="Arial" w:cs="Arial"/>
                <w:sz w:val="20"/>
              </w:rPr>
              <w:fldChar w:fldCharType="begin"/>
            </w:r>
            <w:r w:rsidR="00774DF5">
              <w:rPr>
                <w:rFonts w:ascii="Arial" w:hAnsi="Arial" w:cs="Arial"/>
                <w:sz w:val="20"/>
              </w:rPr>
              <w:instrText xml:space="preserve"> ADDIN EN.CITE &lt;EndNote&gt;&lt;Cite AuthorYear="1"&gt;&lt;Author&gt;de Groot&lt;/Author&gt;&lt;Year&gt;2007&lt;/Year&gt;&lt;RecNum&gt;58&lt;/RecNum&gt;&lt;DisplayText&gt;de Groot, et al. &lt;style face="superscript"&gt;11&lt;/style&gt;&lt;/DisplayText&gt;&lt;record&gt;&lt;rec-number&gt;58&lt;/rec-number&gt;&lt;foreign-keys&gt;&lt;key app="EN" db-id="rwwf2as9uepxr8epfdsvva5qt5rxtree9edp" timestamp="1588781470"&gt;58&lt;/key&gt;&lt;/foreign-keys&gt;&lt;ref-type name="Journal Article"&gt;17&lt;/ref-type&gt;&lt;contributors&gt;&lt;authors&gt;&lt;author&gt;de Groot, William&lt;/author&gt;&lt;author&gt;Landry, Robert&lt;/author&gt;&lt;author&gt;Kurz, Werner&lt;/author&gt;&lt;author&gt;Anderson, Kerry&lt;/author&gt;&lt;author&gt;Englefield, Peter&lt;/author&gt;&lt;author&gt;Fraser, Robert&lt;/author&gt;&lt;author&gt;Hall, R. J.&lt;/author&gt;&lt;author&gt;Banfield, George&lt;/author&gt;&lt;author&gt;Raymond, Donald&lt;/author&gt;&lt;author&gt;Decker, Vincent&lt;/author&gt;&lt;author&gt;Lynham, Tim&lt;/author&gt;&lt;author&gt;Pritchard, Janet&lt;/author&gt;&lt;/authors&gt;&lt;/contributors&gt;&lt;titles&gt;&lt;title&gt;Estimating direct carbon emissions from Canadian wildland fires&lt;/title&gt;&lt;secondary-title&gt;International Journal of Wildland Fire&lt;/secondary-title&gt;&lt;/titles&gt;&lt;periodical&gt;&lt;full-title&gt;International Journal of Wildland Fire&lt;/full-title&gt;&lt;/periodical&gt;&lt;volume&gt;16&lt;/volume&gt;&lt;dates&gt;&lt;year&gt;2007&lt;/year&gt;&lt;pub-dates&gt;&lt;date&gt;01/01&lt;/date&gt;&lt;/pub-dates&gt;&lt;/dates&gt;&lt;urls&gt;&lt;/urls&gt;&lt;electronic-resource-num&gt;10.1071/WF06150&lt;/electronic-resource-num&gt;&lt;/record&gt;&lt;/Cite&gt;&lt;/EndNote&gt;</w:instrText>
            </w:r>
            <w:r w:rsidRPr="00DF694E">
              <w:rPr>
                <w:rFonts w:ascii="Arial" w:hAnsi="Arial" w:cs="Arial"/>
                <w:sz w:val="20"/>
              </w:rPr>
              <w:fldChar w:fldCharType="separate"/>
            </w:r>
            <w:r w:rsidR="00774DF5">
              <w:rPr>
                <w:rFonts w:ascii="Arial" w:hAnsi="Arial" w:cs="Arial"/>
                <w:noProof/>
                <w:sz w:val="20"/>
              </w:rPr>
              <w:t xml:space="preserve">de Groot, et al. </w:t>
            </w:r>
            <w:r w:rsidR="00774DF5" w:rsidRPr="00774DF5">
              <w:rPr>
                <w:rFonts w:ascii="Arial" w:hAnsi="Arial" w:cs="Arial"/>
                <w:noProof/>
                <w:sz w:val="20"/>
                <w:vertAlign w:val="superscript"/>
              </w:rPr>
              <w:t>11</w:t>
            </w:r>
            <w:r w:rsidRPr="00DF694E">
              <w:rPr>
                <w:rFonts w:ascii="Arial" w:hAnsi="Arial" w:cs="Arial"/>
                <w:sz w:val="20"/>
              </w:rPr>
              <w:fldChar w:fldCharType="end"/>
            </w:r>
          </w:p>
        </w:tc>
      </w:tr>
      <w:tr w:rsidR="00DF694E" w:rsidRPr="00DF694E" w14:paraId="604DB616" w14:textId="77777777" w:rsidTr="0048034E">
        <w:tc>
          <w:tcPr>
            <w:tcW w:w="975" w:type="dxa"/>
            <w:tcBorders>
              <w:top w:val="nil"/>
              <w:left w:val="nil"/>
              <w:bottom w:val="nil"/>
              <w:right w:val="nil"/>
            </w:tcBorders>
          </w:tcPr>
          <w:p w14:paraId="3CA8D620" w14:textId="77777777" w:rsidR="00DF694E" w:rsidRPr="00DF694E" w:rsidRDefault="00DF694E">
            <w:pPr>
              <w:rPr>
                <w:rFonts w:ascii="Arial" w:hAnsi="Arial" w:cs="Arial"/>
                <w:sz w:val="20"/>
                <w:szCs w:val="20"/>
              </w:rPr>
            </w:pPr>
          </w:p>
        </w:tc>
        <w:tc>
          <w:tcPr>
            <w:tcW w:w="1365" w:type="dxa"/>
            <w:tcBorders>
              <w:top w:val="nil"/>
              <w:left w:val="nil"/>
              <w:bottom w:val="nil"/>
              <w:right w:val="nil"/>
            </w:tcBorders>
            <w:hideMark/>
          </w:tcPr>
          <w:p w14:paraId="342B63D7" w14:textId="77777777" w:rsidR="00DF694E" w:rsidRPr="00DF694E" w:rsidRDefault="00DF694E">
            <w:pPr>
              <w:rPr>
                <w:rFonts w:ascii="Arial" w:hAnsi="Arial" w:cs="Arial"/>
                <w:sz w:val="20"/>
                <w:szCs w:val="20"/>
              </w:rPr>
            </w:pPr>
            <w:r w:rsidRPr="00DF694E">
              <w:rPr>
                <w:rFonts w:ascii="Arial" w:hAnsi="Arial" w:cs="Arial"/>
                <w:sz w:val="20"/>
                <w:szCs w:val="20"/>
              </w:rPr>
              <w:t>3.35</w:t>
            </w:r>
          </w:p>
        </w:tc>
        <w:tc>
          <w:tcPr>
            <w:tcW w:w="5400" w:type="dxa"/>
            <w:tcBorders>
              <w:top w:val="nil"/>
              <w:left w:val="nil"/>
              <w:bottom w:val="nil"/>
              <w:right w:val="nil"/>
            </w:tcBorders>
            <w:hideMark/>
          </w:tcPr>
          <w:p w14:paraId="7FA1FD41" w14:textId="77777777" w:rsidR="00DF694E" w:rsidRPr="00DF694E" w:rsidRDefault="00DF694E">
            <w:pPr>
              <w:rPr>
                <w:rFonts w:ascii="Arial" w:hAnsi="Arial" w:cs="Arial"/>
                <w:sz w:val="20"/>
                <w:szCs w:val="20"/>
              </w:rPr>
            </w:pPr>
            <w:r w:rsidRPr="00DF694E">
              <w:rPr>
                <w:rFonts w:ascii="Arial" w:hAnsi="Arial" w:cs="Arial"/>
                <w:sz w:val="20"/>
                <w:szCs w:val="20"/>
              </w:rPr>
              <w:t>Field measurement</w:t>
            </w:r>
          </w:p>
        </w:tc>
        <w:tc>
          <w:tcPr>
            <w:tcW w:w="2610" w:type="dxa"/>
            <w:tcBorders>
              <w:top w:val="nil"/>
              <w:left w:val="nil"/>
              <w:bottom w:val="nil"/>
              <w:right w:val="nil"/>
            </w:tcBorders>
            <w:hideMark/>
          </w:tcPr>
          <w:p w14:paraId="047D91C4" w14:textId="30B84B7E" w:rsidR="00DF694E" w:rsidRPr="00DF694E" w:rsidRDefault="00DF694E">
            <w:pPr>
              <w:rPr>
                <w:rFonts w:ascii="Arial" w:hAnsi="Arial" w:cs="Arial"/>
                <w:sz w:val="20"/>
                <w:szCs w:val="20"/>
              </w:rPr>
            </w:pPr>
            <w:r w:rsidRPr="00DF694E">
              <w:rPr>
                <w:rFonts w:ascii="Arial" w:hAnsi="Arial" w:cs="Arial"/>
                <w:sz w:val="20"/>
              </w:rPr>
              <w:fldChar w:fldCharType="begin"/>
            </w:r>
            <w:r w:rsidR="00774DF5">
              <w:rPr>
                <w:rFonts w:ascii="Arial" w:hAnsi="Arial" w:cs="Arial"/>
                <w:sz w:val="20"/>
              </w:rPr>
              <w:instrText xml:space="preserve"> ADDIN EN.CITE &lt;EndNote&gt;&lt;Cite AuthorYear="1"&gt;&lt;Author&gt;Walker&lt;/Author&gt;&lt;Year&gt;2018&lt;/Year&gt;&lt;RecNum&gt;30&lt;/RecNum&gt;&lt;DisplayText&gt;Walker, et al. &lt;style face="superscript"&gt;12&lt;/style&gt;&lt;/DisplayText&gt;&lt;record&gt;&lt;rec-number&gt;30&lt;/rec-number&gt;&lt;foreign-keys&gt;&lt;key app="EN" db-id="rwwf2as9uepxr8epfdsvva5qt5rxtree9edp" timestamp="1588781421"&gt;30&lt;/key&gt;&lt;/foreign-keys&gt;&lt;ref-type name="Journal Article"&gt;17&lt;/ref-type&gt;&lt;contributors&gt;&lt;authors&gt;&lt;author&gt;Walker, Xanthe J.&lt;/author&gt;&lt;author&gt;Rogers, Brendan M.&lt;/author&gt;&lt;author&gt;Baltzer, Jennifer L.&lt;/author&gt;&lt;author&gt;Cumming, Steven G.&lt;/author&gt;&lt;author&gt;Day, Nicola J.&lt;/author&gt;&lt;author&gt;Goetz, Scott J.&lt;/author&gt;&lt;author&gt;Johnstone, Jill F.&lt;/author&gt;&lt;author&gt;Schuur, Edward A. G.&lt;/author&gt;&lt;author&gt;Turetsky, Merritt R.&lt;/author&gt;&lt;author&gt;Mack, Michelle C.&lt;/author&gt;&lt;/authors&gt;&lt;/contributors&gt;&lt;titles&gt;&lt;title&gt;Cross-scale controls on carbon emissions from boreal forest megafires&lt;/title&gt;&lt;secondary-title&gt;Global Change Biology&lt;/secondary-title&gt;&lt;/titles&gt;&lt;periodical&gt;&lt;full-title&gt;Global Change Biology&lt;/full-title&gt;&lt;/periodical&gt;&lt;pages&gt;4251-4265&lt;/pages&gt;&lt;volume&gt;24&lt;/volume&gt;&lt;number&gt;9&lt;/number&gt;&lt;dates&gt;&lt;year&gt;2018&lt;/year&gt;&lt;/dates&gt;&lt;isbn&gt;1354-1013&lt;/isbn&gt;&lt;urls&gt;&lt;related-urls&gt;&lt;url&gt;https://onlinelibrary.wiley.com/doi/abs/10.1111/gcb.14287&lt;/url&gt;&lt;/related-urls&gt;&lt;/urls&gt;&lt;electronic-resource-num&gt;10.1111/gcb.14287&lt;/electronic-resource-num&gt;&lt;/record&gt;&lt;/Cite&gt;&lt;/EndNote&gt;</w:instrText>
            </w:r>
            <w:r w:rsidRPr="00DF694E">
              <w:rPr>
                <w:rFonts w:ascii="Arial" w:hAnsi="Arial" w:cs="Arial"/>
                <w:sz w:val="20"/>
              </w:rPr>
              <w:fldChar w:fldCharType="separate"/>
            </w:r>
            <w:r w:rsidR="00774DF5">
              <w:rPr>
                <w:rFonts w:ascii="Arial" w:hAnsi="Arial" w:cs="Arial"/>
                <w:noProof/>
                <w:sz w:val="20"/>
              </w:rPr>
              <w:t xml:space="preserve">Walker, et al. </w:t>
            </w:r>
            <w:r w:rsidR="00774DF5" w:rsidRPr="00774DF5">
              <w:rPr>
                <w:rFonts w:ascii="Arial" w:hAnsi="Arial" w:cs="Arial"/>
                <w:noProof/>
                <w:sz w:val="20"/>
                <w:vertAlign w:val="superscript"/>
              </w:rPr>
              <w:t>12</w:t>
            </w:r>
            <w:r w:rsidRPr="00DF694E">
              <w:rPr>
                <w:rFonts w:ascii="Arial" w:hAnsi="Arial" w:cs="Arial"/>
                <w:sz w:val="20"/>
              </w:rPr>
              <w:fldChar w:fldCharType="end"/>
            </w:r>
            <w:r w:rsidRPr="00DF694E">
              <w:rPr>
                <w:rFonts w:ascii="Arial" w:hAnsi="Arial" w:cs="Arial"/>
                <w:sz w:val="20"/>
                <w:szCs w:val="20"/>
              </w:rPr>
              <w:t xml:space="preserve"> </w:t>
            </w:r>
          </w:p>
        </w:tc>
      </w:tr>
      <w:tr w:rsidR="00E611A2" w:rsidRPr="00DF694E" w14:paraId="1ED631F5" w14:textId="77777777" w:rsidTr="0048034E">
        <w:tc>
          <w:tcPr>
            <w:tcW w:w="975" w:type="dxa"/>
            <w:tcBorders>
              <w:top w:val="nil"/>
              <w:left w:val="nil"/>
              <w:bottom w:val="nil"/>
              <w:right w:val="nil"/>
            </w:tcBorders>
          </w:tcPr>
          <w:p w14:paraId="6EA69FB6" w14:textId="77777777" w:rsidR="00E611A2" w:rsidRPr="00DF694E" w:rsidRDefault="00E611A2">
            <w:pPr>
              <w:rPr>
                <w:rFonts w:ascii="Arial" w:hAnsi="Arial" w:cs="Arial"/>
                <w:sz w:val="20"/>
              </w:rPr>
            </w:pPr>
          </w:p>
        </w:tc>
        <w:tc>
          <w:tcPr>
            <w:tcW w:w="1365" w:type="dxa"/>
            <w:tcBorders>
              <w:top w:val="nil"/>
              <w:left w:val="nil"/>
              <w:bottom w:val="nil"/>
              <w:right w:val="nil"/>
            </w:tcBorders>
          </w:tcPr>
          <w:p w14:paraId="0949F6BE" w14:textId="17489332" w:rsidR="00E611A2" w:rsidRPr="00DF694E" w:rsidRDefault="00E611A2">
            <w:pPr>
              <w:rPr>
                <w:rFonts w:ascii="Arial" w:hAnsi="Arial" w:cs="Arial"/>
                <w:sz w:val="20"/>
              </w:rPr>
            </w:pPr>
            <w:r w:rsidRPr="00E611A2">
              <w:rPr>
                <w:rFonts w:ascii="Arial" w:hAnsi="Arial" w:cs="Arial"/>
                <w:sz w:val="20"/>
              </w:rPr>
              <w:t>3.3 ± 1.1</w:t>
            </w:r>
          </w:p>
        </w:tc>
        <w:tc>
          <w:tcPr>
            <w:tcW w:w="5400" w:type="dxa"/>
            <w:tcBorders>
              <w:top w:val="nil"/>
              <w:left w:val="nil"/>
              <w:bottom w:val="nil"/>
              <w:right w:val="nil"/>
            </w:tcBorders>
          </w:tcPr>
          <w:p w14:paraId="758B809B" w14:textId="7280406E" w:rsidR="00E611A2" w:rsidRPr="00DF694E" w:rsidRDefault="00E611A2">
            <w:pPr>
              <w:rPr>
                <w:rFonts w:ascii="Arial" w:hAnsi="Arial" w:cs="Arial"/>
                <w:sz w:val="20"/>
              </w:rPr>
            </w:pPr>
            <w:r w:rsidRPr="00DF694E">
              <w:rPr>
                <w:rFonts w:ascii="Arial" w:hAnsi="Arial" w:cs="Arial"/>
                <w:sz w:val="20"/>
                <w:szCs w:val="20"/>
              </w:rPr>
              <w:t>Field measurement</w:t>
            </w:r>
          </w:p>
        </w:tc>
        <w:tc>
          <w:tcPr>
            <w:tcW w:w="2610" w:type="dxa"/>
            <w:tcBorders>
              <w:top w:val="nil"/>
              <w:left w:val="nil"/>
              <w:bottom w:val="nil"/>
              <w:right w:val="nil"/>
            </w:tcBorders>
          </w:tcPr>
          <w:p w14:paraId="03D1B33F" w14:textId="49998DEF" w:rsidR="00E611A2" w:rsidRPr="00774DF5" w:rsidRDefault="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AuthorYear="1"&gt;&lt;Author&gt;Dieleman&lt;/Author&gt;&lt;Year&gt;2020&lt;/Year&gt;&lt;RecNum&gt;113&lt;/RecNum&gt;&lt;DisplayText&gt;Dieleman, et al. &lt;style face="superscript"&gt;13&lt;/style&gt;&lt;/DisplayText&gt;&lt;record&gt;&lt;rec-number&gt;113&lt;/rec-number&gt;&lt;foreign-keys&gt;&lt;key app="EN" db-id="rwwf2as9uepxr8epfdsvva5qt5rxtree9edp" timestamp="1604333645"&gt;113&lt;/key&gt;&lt;/foreign-keys&gt;&lt;ref-type name="Journal Article"&gt;17&lt;/ref-type&gt;&lt;contributors&gt;&lt;authors&gt;&lt;author&gt;Dieleman, Catherine M.&lt;/author&gt;&lt;author&gt;Rogers, Brendan M.&lt;/author&gt;&lt;author&gt;Potter, Stefano&lt;/author&gt;&lt;author&gt;Veraverbeke, Sander&lt;/author&gt;&lt;author&gt;Johnstone, Jill F.&lt;/author&gt;&lt;author&gt;Laflamme, Jocelyne&lt;/author&gt;&lt;author&gt;Solvik, Kylen&lt;/author&gt;&lt;author&gt;Walker, Xanthe J.&lt;/author&gt;&lt;author&gt;Mack, Michelle C.&lt;/author&gt;&lt;author&gt;Turetsky, Merritt R.&lt;/author&gt;&lt;/authors&gt;&lt;/contributors&gt;&lt;titles&gt;&lt;title&gt;Wildfire combustion and carbon stocks in the southern Canadian boreal forest: Implications for a warming world&lt;/title&gt;&lt;secondary-title&gt;Global Change Biology&lt;/secondary-title&gt;&lt;/titles&gt;&lt;periodical&gt;&lt;full-title&gt;Global Change Biology&lt;/full-title&gt;&lt;/periodical&gt;&lt;pages&gt;6062-6079&lt;/pages&gt;&lt;volume&gt;26&lt;/volume&gt;&lt;number&gt;11&lt;/number&gt;&lt;keywords&gt;&lt;keyword&gt;climate change&lt;/keyword&gt;&lt;keyword&gt;ecozone&lt;/keyword&gt;&lt;keyword&gt;harvesting&lt;/keyword&gt;&lt;keyword&gt;land use&lt;/keyword&gt;&lt;keyword&gt;latitudinal gradient&lt;/keyword&gt;&lt;keyword&gt;soil moisture&lt;/keyword&gt;&lt;keyword&gt;stand age&lt;/keyword&gt;&lt;/keywords&gt;&lt;dates&gt;&lt;year&gt;2020&lt;/year&gt;&lt;pub-dates&gt;&lt;date&gt;2020/11/01&lt;/date&gt;&lt;/pub-dates&gt;&lt;/dates&gt;&lt;publisher&gt;John Wiley &amp;amp; Sons, Ltd&lt;/publisher&gt;&lt;isbn&gt;1354-1013&lt;/isbn&gt;&lt;urls&gt;&lt;related-urls&gt;&lt;url&gt;https://doi.org/10.1111/gcb.15158&lt;/url&gt;&lt;/related-urls&gt;&lt;/urls&gt;&lt;electronic-resource-num&gt;10.1111/gcb.15158&lt;/electronic-resource-num&gt;&lt;access-date&gt;2020/10/27&lt;/access-date&gt;&lt;/record&gt;&lt;/Cite&gt;&lt;/EndNote&gt;</w:instrText>
            </w:r>
            <w:r w:rsidRPr="00774DF5">
              <w:rPr>
                <w:rFonts w:ascii="Arial" w:hAnsi="Arial" w:cs="Arial"/>
                <w:sz w:val="20"/>
              </w:rPr>
              <w:fldChar w:fldCharType="separate"/>
            </w:r>
            <w:r w:rsidRPr="00774DF5">
              <w:rPr>
                <w:rFonts w:ascii="Arial" w:hAnsi="Arial" w:cs="Arial"/>
                <w:noProof/>
                <w:sz w:val="20"/>
              </w:rPr>
              <w:t xml:space="preserve">Dieleman, et al. </w:t>
            </w:r>
            <w:r w:rsidRPr="00774DF5">
              <w:rPr>
                <w:rFonts w:ascii="Arial" w:hAnsi="Arial" w:cs="Arial"/>
                <w:noProof/>
                <w:sz w:val="20"/>
                <w:vertAlign w:val="superscript"/>
              </w:rPr>
              <w:t>13</w:t>
            </w:r>
            <w:r w:rsidRPr="00774DF5">
              <w:rPr>
                <w:rFonts w:ascii="Arial" w:hAnsi="Arial" w:cs="Arial"/>
                <w:sz w:val="20"/>
              </w:rPr>
              <w:fldChar w:fldCharType="end"/>
            </w:r>
          </w:p>
        </w:tc>
      </w:tr>
      <w:tr w:rsidR="00774DF5" w:rsidRPr="00DF694E" w14:paraId="70313342" w14:textId="77777777" w:rsidTr="0048034E">
        <w:tc>
          <w:tcPr>
            <w:tcW w:w="975" w:type="dxa"/>
            <w:tcBorders>
              <w:top w:val="nil"/>
              <w:left w:val="nil"/>
              <w:bottom w:val="nil"/>
              <w:right w:val="nil"/>
            </w:tcBorders>
          </w:tcPr>
          <w:p w14:paraId="3A2FFCA2" w14:textId="77777777" w:rsidR="00774DF5" w:rsidRPr="00DF694E" w:rsidRDefault="00774DF5" w:rsidP="00774DF5">
            <w:pPr>
              <w:rPr>
                <w:rFonts w:ascii="Arial" w:hAnsi="Arial" w:cs="Arial"/>
                <w:sz w:val="20"/>
              </w:rPr>
            </w:pPr>
          </w:p>
        </w:tc>
        <w:tc>
          <w:tcPr>
            <w:tcW w:w="1365" w:type="dxa"/>
            <w:tcBorders>
              <w:top w:val="nil"/>
              <w:left w:val="nil"/>
              <w:bottom w:val="nil"/>
              <w:right w:val="nil"/>
            </w:tcBorders>
          </w:tcPr>
          <w:p w14:paraId="5DFBACC4" w14:textId="02771A57" w:rsidR="00774DF5" w:rsidRPr="00E611A2" w:rsidRDefault="00774DF5" w:rsidP="00774DF5">
            <w:pPr>
              <w:rPr>
                <w:rFonts w:ascii="Arial" w:hAnsi="Arial" w:cs="Arial"/>
                <w:sz w:val="20"/>
              </w:rPr>
            </w:pPr>
            <w:r w:rsidRPr="00E611A2">
              <w:rPr>
                <w:rFonts w:ascii="Arial" w:hAnsi="Arial" w:cs="Arial"/>
                <w:sz w:val="20"/>
              </w:rPr>
              <w:t>2.5 ± 1.1</w:t>
            </w:r>
          </w:p>
        </w:tc>
        <w:tc>
          <w:tcPr>
            <w:tcW w:w="5400" w:type="dxa"/>
            <w:tcBorders>
              <w:top w:val="nil"/>
              <w:left w:val="nil"/>
              <w:bottom w:val="nil"/>
              <w:right w:val="nil"/>
            </w:tcBorders>
          </w:tcPr>
          <w:p w14:paraId="1B1FB3D9" w14:textId="2B0CDFFE" w:rsidR="00774DF5" w:rsidRPr="00DF694E" w:rsidRDefault="00774DF5" w:rsidP="00774DF5">
            <w:pPr>
              <w:rPr>
                <w:rFonts w:ascii="Arial" w:hAnsi="Arial" w:cs="Arial"/>
                <w:sz w:val="20"/>
              </w:rPr>
            </w:pPr>
            <w:r>
              <w:rPr>
                <w:rFonts w:ascii="Arial" w:hAnsi="Arial" w:cs="Arial"/>
                <w:sz w:val="20"/>
              </w:rPr>
              <w:t>Spatial modeling</w:t>
            </w:r>
          </w:p>
        </w:tc>
        <w:tc>
          <w:tcPr>
            <w:tcW w:w="2610" w:type="dxa"/>
            <w:tcBorders>
              <w:top w:val="nil"/>
              <w:left w:val="nil"/>
              <w:bottom w:val="nil"/>
              <w:right w:val="nil"/>
            </w:tcBorders>
          </w:tcPr>
          <w:p w14:paraId="2A433ABD" w14:textId="367C1D8A" w:rsidR="00774DF5" w:rsidRPr="00774DF5" w:rsidRDefault="00774DF5" w:rsidP="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AuthorYear="1"&gt;&lt;Author&gt;Dieleman&lt;/Author&gt;&lt;Year&gt;2020&lt;/Year&gt;&lt;RecNum&gt;113&lt;/RecNum&gt;&lt;DisplayText&gt;Dieleman, et al. &lt;style face="superscript"&gt;13&lt;/style&gt;&lt;/DisplayText&gt;&lt;record&gt;&lt;rec-number&gt;113&lt;/rec-number&gt;&lt;foreign-keys&gt;&lt;key app="EN" db-id="rwwf2as9uepxr8epfdsvva5qt5rxtree9edp" timestamp="1604333645"&gt;113&lt;/key&gt;&lt;/foreign-keys&gt;&lt;ref-type name="Journal Article"&gt;17&lt;/ref-type&gt;&lt;contributors&gt;&lt;authors&gt;&lt;author&gt;Dieleman, Catherine M.&lt;/author&gt;&lt;author&gt;Rogers, Brendan M.&lt;/author&gt;&lt;author&gt;Potter, Stefano&lt;/author&gt;&lt;author&gt;Veraverbeke, Sander&lt;/author&gt;&lt;author&gt;Johnstone, Jill F.&lt;/author&gt;&lt;author&gt;Laflamme, Jocelyne&lt;/author&gt;&lt;author&gt;Solvik, Kylen&lt;/author&gt;&lt;author&gt;Walker, Xanthe J.&lt;/author&gt;&lt;author&gt;Mack, Michelle C.&lt;/author&gt;&lt;author&gt;Turetsky, Merritt R.&lt;/author&gt;&lt;/authors&gt;&lt;/contributors&gt;&lt;titles&gt;&lt;title&gt;Wildfire combustion and carbon stocks in the southern Canadian boreal forest: Implications for a warming world&lt;/title&gt;&lt;secondary-title&gt;Global Change Biology&lt;/secondary-title&gt;&lt;/titles&gt;&lt;periodical&gt;&lt;full-title&gt;Global Change Biology&lt;/full-title&gt;&lt;/periodical&gt;&lt;pages&gt;6062-6079&lt;/pages&gt;&lt;volume&gt;26&lt;/volume&gt;&lt;number&gt;11&lt;/number&gt;&lt;keywords&gt;&lt;keyword&gt;climate change&lt;/keyword&gt;&lt;keyword&gt;ecozone&lt;/keyword&gt;&lt;keyword&gt;harvesting&lt;/keyword&gt;&lt;keyword&gt;land use&lt;/keyword&gt;&lt;keyword&gt;latitudinal gradient&lt;/keyword&gt;&lt;keyword&gt;soil moisture&lt;/keyword&gt;&lt;keyword&gt;stand age&lt;/keyword&gt;&lt;/keywords&gt;&lt;dates&gt;&lt;year&gt;2020&lt;/year&gt;&lt;pub-dates&gt;&lt;date&gt;2020/11/01&lt;/date&gt;&lt;/pub-dates&gt;&lt;/dates&gt;&lt;publisher&gt;John Wiley &amp;amp; Sons, Ltd&lt;/publisher&gt;&lt;isbn&gt;1354-1013&lt;/isbn&gt;&lt;urls&gt;&lt;related-urls&gt;&lt;url&gt;https://doi.org/10.1111/gcb.15158&lt;/url&gt;&lt;/related-urls&gt;&lt;/urls&gt;&lt;electronic-resource-num&gt;10.1111/gcb.15158&lt;/electronic-resource-num&gt;&lt;access-date&gt;2020/10/27&lt;/access-date&gt;&lt;/record&gt;&lt;/Cite&gt;&lt;/EndNote&gt;</w:instrText>
            </w:r>
            <w:r w:rsidRPr="00774DF5">
              <w:rPr>
                <w:rFonts w:ascii="Arial" w:hAnsi="Arial" w:cs="Arial"/>
                <w:sz w:val="20"/>
              </w:rPr>
              <w:fldChar w:fldCharType="separate"/>
            </w:r>
            <w:r w:rsidRPr="00774DF5">
              <w:rPr>
                <w:rFonts w:ascii="Arial" w:hAnsi="Arial" w:cs="Arial"/>
                <w:noProof/>
                <w:sz w:val="20"/>
              </w:rPr>
              <w:t xml:space="preserve">Dieleman, et al. </w:t>
            </w:r>
            <w:r w:rsidRPr="00774DF5">
              <w:rPr>
                <w:rFonts w:ascii="Arial" w:hAnsi="Arial" w:cs="Arial"/>
                <w:noProof/>
                <w:sz w:val="20"/>
                <w:vertAlign w:val="superscript"/>
              </w:rPr>
              <w:t>13</w:t>
            </w:r>
            <w:r w:rsidRPr="00774DF5">
              <w:rPr>
                <w:rFonts w:ascii="Arial" w:hAnsi="Arial" w:cs="Arial"/>
                <w:sz w:val="20"/>
              </w:rPr>
              <w:fldChar w:fldCharType="end"/>
            </w:r>
          </w:p>
        </w:tc>
      </w:tr>
      <w:tr w:rsidR="00774DF5" w:rsidRPr="00DF694E" w14:paraId="378FE3E0" w14:textId="77777777" w:rsidTr="0048034E">
        <w:tc>
          <w:tcPr>
            <w:tcW w:w="975" w:type="dxa"/>
            <w:tcBorders>
              <w:top w:val="nil"/>
              <w:left w:val="nil"/>
              <w:bottom w:val="nil"/>
              <w:right w:val="nil"/>
            </w:tcBorders>
          </w:tcPr>
          <w:p w14:paraId="371CDDA6" w14:textId="77777777" w:rsidR="00774DF5" w:rsidRPr="00DF694E" w:rsidRDefault="00774DF5" w:rsidP="00774DF5">
            <w:pPr>
              <w:rPr>
                <w:rFonts w:ascii="Arial" w:hAnsi="Arial" w:cs="Arial"/>
                <w:sz w:val="20"/>
              </w:rPr>
            </w:pPr>
          </w:p>
        </w:tc>
        <w:tc>
          <w:tcPr>
            <w:tcW w:w="1365" w:type="dxa"/>
            <w:tcBorders>
              <w:top w:val="nil"/>
              <w:left w:val="nil"/>
              <w:bottom w:val="nil"/>
              <w:right w:val="nil"/>
            </w:tcBorders>
          </w:tcPr>
          <w:p w14:paraId="696FF19C" w14:textId="434FEC34" w:rsidR="00774DF5" w:rsidRPr="00E611A2" w:rsidRDefault="00774DF5" w:rsidP="00774DF5">
            <w:pPr>
              <w:rPr>
                <w:rFonts w:ascii="Arial" w:hAnsi="Arial" w:cs="Arial"/>
                <w:sz w:val="20"/>
              </w:rPr>
            </w:pPr>
            <w:r>
              <w:rPr>
                <w:rFonts w:ascii="Arial" w:hAnsi="Arial" w:cs="Arial"/>
                <w:sz w:val="20"/>
              </w:rPr>
              <w:t>1.9*</w:t>
            </w:r>
          </w:p>
        </w:tc>
        <w:tc>
          <w:tcPr>
            <w:tcW w:w="5400" w:type="dxa"/>
            <w:tcBorders>
              <w:top w:val="nil"/>
              <w:left w:val="nil"/>
              <w:bottom w:val="nil"/>
              <w:right w:val="nil"/>
            </w:tcBorders>
          </w:tcPr>
          <w:p w14:paraId="0694D261" w14:textId="0457FBF8" w:rsidR="00774DF5" w:rsidRDefault="00774DF5" w:rsidP="00774DF5">
            <w:pPr>
              <w:rPr>
                <w:rFonts w:ascii="Arial" w:hAnsi="Arial" w:cs="Arial"/>
                <w:sz w:val="20"/>
              </w:rPr>
            </w:pPr>
            <w:r>
              <w:rPr>
                <w:rFonts w:ascii="Arial" w:hAnsi="Arial" w:cs="Arial"/>
                <w:sz w:val="20"/>
              </w:rPr>
              <w:t>Estimated based on literature</w:t>
            </w:r>
          </w:p>
        </w:tc>
        <w:tc>
          <w:tcPr>
            <w:tcW w:w="2610" w:type="dxa"/>
            <w:tcBorders>
              <w:top w:val="nil"/>
              <w:left w:val="nil"/>
              <w:bottom w:val="nil"/>
              <w:right w:val="nil"/>
            </w:tcBorders>
          </w:tcPr>
          <w:p w14:paraId="16578B83" w14:textId="07BB4FA8" w:rsidR="00774DF5" w:rsidRPr="00774DF5" w:rsidRDefault="00774DF5" w:rsidP="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AuthorYear="1"&gt;&lt;Author&gt;Turquety&lt;/Author&gt;&lt;Year&gt;2007&lt;/Year&gt;&lt;RecNum&gt;127&lt;/RecNum&gt;&lt;DisplayText&gt;Turquety, et al. &lt;style face="superscript"&gt;8&lt;/style&gt;&lt;/DisplayText&gt;&lt;record&gt;&lt;rec-number&gt;127&lt;/rec-number&gt;&lt;foreign-keys&gt;&lt;key app="EN" db-id="rwwf2as9uepxr8epfdsvva5qt5rxtree9edp" timestamp="1604333699"&gt;127&lt;/key&gt;&lt;/foreign-keys&gt;&lt;ref-type name="Journal Article"&gt;17&lt;/ref-type&gt;&lt;contributors&gt;&lt;authors&gt;&lt;author&gt;Turquety, Solène&lt;/author&gt;&lt;author&gt;Logan, Jennifer A.&lt;/author&gt;&lt;author&gt;Jacob, Daniel J.&lt;/author&gt;&lt;author&gt;Hudman, Rynda C.&lt;/author&gt;&lt;author&gt;Leung, Fok Yan&lt;/author&gt;&lt;author&gt;Heald, Colette L.&lt;/author&gt;&lt;author&gt;Yantosca, Robert M.&lt;/author&gt;&lt;author&gt;Wu, Shiliang&lt;/author&gt;&lt;author&gt;Emmons, Louisa K.&lt;/author&gt;&lt;author&gt;Edwards, David P.&lt;/author&gt;&lt;author&gt;Sachse, Glen W.&lt;/author&gt;&lt;/authors&gt;&lt;/contributors&gt;&lt;titles&gt;&lt;title&gt;Inventory of boreal fire emissions for North America in 2004: Importance of peat burning and pyroconvective injection&lt;/title&gt;&lt;secondary-title&gt;Journal of Geophysical Research: Atmospheres&lt;/secondary-title&gt;&lt;/titles&gt;&lt;periodical&gt;&lt;full-title&gt;Journal of Geophysical Research: Atmospheres&lt;/full-title&gt;&lt;/periodical&gt;&lt;volume&gt;112&lt;/volume&gt;&lt;number&gt;D12&lt;/number&gt;&lt;keywords&gt;&lt;keyword&gt;biomass burning&lt;/keyword&gt;&lt;keyword&gt;tropospheric chemistry&lt;/keyword&gt;&lt;keyword&gt;carbon monoxide&lt;/keyword&gt;&lt;/keywords&gt;&lt;dates&gt;&lt;year&gt;2007&lt;/year&gt;&lt;pub-dates&gt;&lt;date&gt;2007/06/27&lt;/date&gt;&lt;/pub-dates&gt;&lt;/dates&gt;&lt;publisher&gt;John Wiley &amp;amp; Sons, Ltd&lt;/publisher&gt;&lt;isbn&gt;0148-0227&lt;/isbn&gt;&lt;urls&gt;&lt;related-urls&gt;&lt;url&gt;https://doi.org/10.1029/2006JD007281&lt;/url&gt;&lt;/related-urls&gt;&lt;/urls&gt;&lt;electronic-resource-num&gt;10.1029/2006JD007281&lt;/electronic-resource-num&gt;&lt;access-date&gt;2020/11/02&lt;/access-date&gt;&lt;/record&gt;&lt;/Cite&gt;&lt;/EndNote&gt;</w:instrText>
            </w:r>
            <w:r w:rsidRPr="00774DF5">
              <w:rPr>
                <w:rFonts w:ascii="Arial" w:hAnsi="Arial" w:cs="Arial"/>
                <w:sz w:val="20"/>
              </w:rPr>
              <w:fldChar w:fldCharType="separate"/>
            </w:r>
            <w:r w:rsidRPr="00774DF5">
              <w:rPr>
                <w:rFonts w:ascii="Arial" w:hAnsi="Arial" w:cs="Arial"/>
                <w:noProof/>
                <w:sz w:val="20"/>
              </w:rPr>
              <w:t xml:space="preserve">Turquety, et al. </w:t>
            </w:r>
            <w:r w:rsidRPr="00774DF5">
              <w:rPr>
                <w:rFonts w:ascii="Arial" w:hAnsi="Arial" w:cs="Arial"/>
                <w:noProof/>
                <w:sz w:val="20"/>
                <w:vertAlign w:val="superscript"/>
              </w:rPr>
              <w:t>8</w:t>
            </w:r>
            <w:r w:rsidRPr="00774DF5">
              <w:rPr>
                <w:rFonts w:ascii="Arial" w:hAnsi="Arial" w:cs="Arial"/>
                <w:sz w:val="20"/>
              </w:rPr>
              <w:fldChar w:fldCharType="end"/>
            </w:r>
          </w:p>
        </w:tc>
      </w:tr>
      <w:tr w:rsidR="00774DF5" w:rsidRPr="00DF694E" w14:paraId="389AD1CD" w14:textId="77777777" w:rsidTr="0048034E">
        <w:tc>
          <w:tcPr>
            <w:tcW w:w="975" w:type="dxa"/>
            <w:tcBorders>
              <w:top w:val="nil"/>
              <w:left w:val="nil"/>
              <w:bottom w:val="nil"/>
              <w:right w:val="nil"/>
            </w:tcBorders>
          </w:tcPr>
          <w:p w14:paraId="6BD51F0F" w14:textId="77777777" w:rsidR="00774DF5" w:rsidRPr="00DF694E" w:rsidRDefault="00774DF5" w:rsidP="00774DF5">
            <w:pPr>
              <w:rPr>
                <w:rFonts w:ascii="Arial" w:hAnsi="Arial" w:cs="Arial"/>
                <w:sz w:val="20"/>
              </w:rPr>
            </w:pPr>
          </w:p>
        </w:tc>
        <w:tc>
          <w:tcPr>
            <w:tcW w:w="1365" w:type="dxa"/>
            <w:tcBorders>
              <w:top w:val="nil"/>
              <w:left w:val="nil"/>
              <w:bottom w:val="nil"/>
              <w:right w:val="nil"/>
            </w:tcBorders>
          </w:tcPr>
          <w:p w14:paraId="6A156B59" w14:textId="3593B468" w:rsidR="00774DF5" w:rsidRDefault="00774DF5" w:rsidP="00774DF5">
            <w:pPr>
              <w:rPr>
                <w:rFonts w:ascii="Arial" w:hAnsi="Arial" w:cs="Arial"/>
                <w:sz w:val="20"/>
              </w:rPr>
            </w:pPr>
            <w:r>
              <w:rPr>
                <w:rFonts w:ascii="Arial" w:hAnsi="Arial" w:cs="Arial"/>
                <w:sz w:val="20"/>
              </w:rPr>
              <w:t>1.4-2.8*</w:t>
            </w:r>
          </w:p>
        </w:tc>
        <w:tc>
          <w:tcPr>
            <w:tcW w:w="5400" w:type="dxa"/>
            <w:tcBorders>
              <w:top w:val="nil"/>
              <w:left w:val="nil"/>
              <w:bottom w:val="nil"/>
              <w:right w:val="nil"/>
            </w:tcBorders>
          </w:tcPr>
          <w:p w14:paraId="52C41A8F" w14:textId="109D5084" w:rsidR="00774DF5" w:rsidRDefault="00774DF5" w:rsidP="00774DF5">
            <w:pPr>
              <w:rPr>
                <w:rFonts w:ascii="Arial" w:hAnsi="Arial" w:cs="Arial"/>
                <w:sz w:val="20"/>
              </w:rPr>
            </w:pPr>
            <w:r w:rsidRPr="00DF694E">
              <w:rPr>
                <w:rFonts w:ascii="Arial" w:hAnsi="Arial" w:cs="Arial"/>
                <w:sz w:val="20"/>
                <w:szCs w:val="20"/>
              </w:rPr>
              <w:t>Field measurement</w:t>
            </w:r>
          </w:p>
        </w:tc>
        <w:tc>
          <w:tcPr>
            <w:tcW w:w="2610" w:type="dxa"/>
            <w:tcBorders>
              <w:top w:val="nil"/>
              <w:left w:val="nil"/>
              <w:bottom w:val="nil"/>
              <w:right w:val="nil"/>
            </w:tcBorders>
          </w:tcPr>
          <w:p w14:paraId="483BC900" w14:textId="32E81784" w:rsidR="00774DF5" w:rsidRPr="00774DF5" w:rsidRDefault="00774DF5" w:rsidP="00774DF5">
            <w:pPr>
              <w:rPr>
                <w:rFonts w:ascii="Arial" w:hAnsi="Arial" w:cs="Arial"/>
                <w:sz w:val="20"/>
              </w:rPr>
            </w:pPr>
            <w:r w:rsidRPr="00774DF5">
              <w:rPr>
                <w:rFonts w:ascii="Arial" w:hAnsi="Arial" w:cs="Arial"/>
                <w:sz w:val="20"/>
              </w:rPr>
              <w:fldChar w:fldCharType="begin"/>
            </w:r>
            <w:r w:rsidRPr="00774DF5">
              <w:rPr>
                <w:rFonts w:ascii="Arial" w:hAnsi="Arial" w:cs="Arial"/>
                <w:sz w:val="20"/>
              </w:rPr>
              <w:instrText xml:space="preserve"> ADDIN EN.CITE &lt;EndNote&gt;&lt;Cite AuthorYear="1"&gt;&lt;Author&gt;Stocks&lt;/Author&gt;&lt;Year&gt;2004&lt;/Year&gt;&lt;RecNum&gt;123&lt;/RecNum&gt;&lt;DisplayText&gt;Stocks, et al. &lt;style face="superscript"&gt;14&lt;/style&gt;&lt;/DisplayText&gt;&lt;record&gt;&lt;rec-number&gt;123&lt;/rec-number&gt;&lt;foreign-keys&gt;&lt;key app="EN" db-id="rwwf2as9uepxr8epfdsvva5qt5rxtree9edp" timestamp="1604333689"&gt;123&lt;/key&gt;&lt;/foreign-keys&gt;&lt;ref-type name="Journal Article"&gt;17&lt;/ref-type&gt;&lt;contributors&gt;&lt;authors&gt;&lt;author&gt;Stocks, B.&lt;/author&gt;&lt;author&gt;Alexander, Martin&lt;/author&gt;&lt;author&gt;Wotton, Mike&lt;/author&gt;&lt;author&gt;Stefner, C.&lt;/author&gt;&lt;author&gt;Flannigan, Mike&lt;/author&gt;&lt;author&gt;Taylor, S. W.&lt;/author&gt;&lt;author&gt;Lavoie, N.&lt;/author&gt;&lt;author&gt;Mason, J. A.&lt;/author&gt;&lt;author&gt;Hartley, G.&lt;/author&gt;&lt;author&gt;Maffey, M.&lt;/author&gt;&lt;author&gt;Dalrymple, G.&lt;/author&gt;&lt;author&gt;Blake, T.&lt;/author&gt;&lt;author&gt;Cruz, Miguel&lt;/author&gt;&lt;/authors&gt;&lt;/contributors&gt;&lt;titles&gt;&lt;title&gt;Crown fire behaviour in a northern jack pine - Black spruce forest&lt;/title&gt;&lt;secondary-title&gt;Canadian Journal of Forest Research-revue Canadienne De Recherche Forestiere - CAN J FOREST RES&lt;/secondary-title&gt;&lt;/titles&gt;&lt;periodical&gt;&lt;full-title&gt;Canadian Journal of Forest Research-revue Canadienne De Recherche Forestiere - CAN J FOREST RES&lt;/full-title&gt;&lt;/periodical&gt;&lt;volume&gt;36&lt;/volume&gt;&lt;dates&gt;&lt;year&gt;2004&lt;/year&gt;&lt;pub-dates&gt;&lt;date&gt;08/01&lt;/date&gt;&lt;/pub-dates&gt;&lt;/dates&gt;&lt;urls&gt;&lt;/urls&gt;&lt;electronic-resource-num&gt;10.1139/X06-185&lt;/electronic-resource-num&gt;&lt;/record&gt;&lt;/Cite&gt;&lt;/EndNote&gt;</w:instrText>
            </w:r>
            <w:r w:rsidRPr="00774DF5">
              <w:rPr>
                <w:rFonts w:ascii="Arial" w:hAnsi="Arial" w:cs="Arial"/>
                <w:sz w:val="20"/>
              </w:rPr>
              <w:fldChar w:fldCharType="separate"/>
            </w:r>
            <w:r w:rsidRPr="00774DF5">
              <w:rPr>
                <w:rFonts w:ascii="Arial" w:hAnsi="Arial" w:cs="Arial"/>
                <w:noProof/>
                <w:sz w:val="20"/>
              </w:rPr>
              <w:t xml:space="preserve">Stocks, et al. </w:t>
            </w:r>
            <w:r w:rsidRPr="00774DF5">
              <w:rPr>
                <w:rFonts w:ascii="Arial" w:hAnsi="Arial" w:cs="Arial"/>
                <w:noProof/>
                <w:sz w:val="20"/>
                <w:vertAlign w:val="superscript"/>
              </w:rPr>
              <w:t>14</w:t>
            </w:r>
            <w:r w:rsidRPr="00774DF5">
              <w:rPr>
                <w:rFonts w:ascii="Arial" w:hAnsi="Arial" w:cs="Arial"/>
                <w:sz w:val="20"/>
              </w:rPr>
              <w:fldChar w:fldCharType="end"/>
            </w:r>
          </w:p>
        </w:tc>
      </w:tr>
      <w:tr w:rsidR="00774DF5" w:rsidRPr="00DF694E" w14:paraId="2380B48E" w14:textId="77777777" w:rsidTr="0048034E">
        <w:tc>
          <w:tcPr>
            <w:tcW w:w="975" w:type="dxa"/>
            <w:tcBorders>
              <w:top w:val="nil"/>
              <w:left w:val="nil"/>
              <w:bottom w:val="nil"/>
              <w:right w:val="nil"/>
            </w:tcBorders>
          </w:tcPr>
          <w:p w14:paraId="260BFC41" w14:textId="77777777" w:rsidR="00774DF5" w:rsidRPr="00DF694E" w:rsidRDefault="00774DF5" w:rsidP="00774DF5">
            <w:pPr>
              <w:rPr>
                <w:rFonts w:ascii="Arial" w:hAnsi="Arial" w:cs="Arial"/>
                <w:sz w:val="20"/>
              </w:rPr>
            </w:pPr>
          </w:p>
        </w:tc>
        <w:tc>
          <w:tcPr>
            <w:tcW w:w="1365" w:type="dxa"/>
            <w:tcBorders>
              <w:top w:val="nil"/>
              <w:left w:val="nil"/>
              <w:bottom w:val="nil"/>
              <w:right w:val="nil"/>
            </w:tcBorders>
          </w:tcPr>
          <w:p w14:paraId="34D92062" w14:textId="77777777" w:rsidR="00774DF5" w:rsidRDefault="00774DF5" w:rsidP="00774DF5">
            <w:pPr>
              <w:rPr>
                <w:rFonts w:ascii="Arial" w:hAnsi="Arial" w:cs="Arial"/>
                <w:sz w:val="20"/>
              </w:rPr>
            </w:pPr>
          </w:p>
        </w:tc>
        <w:tc>
          <w:tcPr>
            <w:tcW w:w="5400" w:type="dxa"/>
            <w:tcBorders>
              <w:top w:val="nil"/>
              <w:left w:val="nil"/>
              <w:bottom w:val="nil"/>
              <w:right w:val="nil"/>
            </w:tcBorders>
          </w:tcPr>
          <w:p w14:paraId="08BC101E" w14:textId="77777777" w:rsidR="00774DF5" w:rsidRPr="00DF694E" w:rsidRDefault="00774DF5" w:rsidP="00774DF5">
            <w:pPr>
              <w:rPr>
                <w:rFonts w:ascii="Arial" w:hAnsi="Arial" w:cs="Arial"/>
                <w:sz w:val="20"/>
              </w:rPr>
            </w:pPr>
          </w:p>
        </w:tc>
        <w:tc>
          <w:tcPr>
            <w:tcW w:w="2610" w:type="dxa"/>
            <w:tcBorders>
              <w:top w:val="nil"/>
              <w:left w:val="nil"/>
              <w:bottom w:val="nil"/>
              <w:right w:val="nil"/>
            </w:tcBorders>
          </w:tcPr>
          <w:p w14:paraId="31C31170" w14:textId="77777777" w:rsidR="00774DF5" w:rsidRPr="00774DF5" w:rsidRDefault="00774DF5" w:rsidP="00774DF5">
            <w:pPr>
              <w:rPr>
                <w:rFonts w:ascii="Arial" w:hAnsi="Arial" w:cs="Arial"/>
                <w:sz w:val="20"/>
              </w:rPr>
            </w:pPr>
          </w:p>
        </w:tc>
      </w:tr>
      <w:tr w:rsidR="00774DF5" w:rsidRPr="00DF694E" w14:paraId="613CBD24" w14:textId="77777777" w:rsidTr="0048034E">
        <w:tc>
          <w:tcPr>
            <w:tcW w:w="975" w:type="dxa"/>
            <w:vMerge w:val="restart"/>
            <w:tcBorders>
              <w:top w:val="nil"/>
              <w:left w:val="nil"/>
              <w:bottom w:val="nil"/>
              <w:right w:val="nil"/>
            </w:tcBorders>
            <w:hideMark/>
          </w:tcPr>
          <w:p w14:paraId="204F5870" w14:textId="77777777" w:rsidR="00774DF5" w:rsidRPr="00DF694E" w:rsidRDefault="00774DF5" w:rsidP="00774DF5">
            <w:pPr>
              <w:rPr>
                <w:rFonts w:ascii="Arial" w:hAnsi="Arial" w:cs="Arial"/>
                <w:sz w:val="20"/>
                <w:szCs w:val="20"/>
              </w:rPr>
            </w:pPr>
            <w:r w:rsidRPr="00DF694E">
              <w:rPr>
                <w:rFonts w:ascii="Arial" w:hAnsi="Arial" w:cs="Arial"/>
                <w:sz w:val="20"/>
                <w:szCs w:val="20"/>
              </w:rPr>
              <w:t>North America</w:t>
            </w:r>
          </w:p>
        </w:tc>
        <w:tc>
          <w:tcPr>
            <w:tcW w:w="1365" w:type="dxa"/>
            <w:tcBorders>
              <w:top w:val="nil"/>
              <w:left w:val="nil"/>
              <w:bottom w:val="nil"/>
              <w:right w:val="nil"/>
            </w:tcBorders>
            <w:hideMark/>
          </w:tcPr>
          <w:p w14:paraId="1F00907D" w14:textId="77777777" w:rsidR="00774DF5" w:rsidRPr="00DF694E" w:rsidRDefault="00774DF5" w:rsidP="00774DF5">
            <w:pPr>
              <w:rPr>
                <w:rFonts w:ascii="Arial" w:hAnsi="Arial" w:cs="Arial"/>
                <w:b/>
                <w:sz w:val="20"/>
                <w:szCs w:val="20"/>
              </w:rPr>
            </w:pPr>
            <w:r w:rsidRPr="00DF694E">
              <w:rPr>
                <w:rFonts w:ascii="Arial" w:hAnsi="Arial" w:cs="Arial"/>
                <w:b/>
                <w:sz w:val="20"/>
                <w:szCs w:val="20"/>
              </w:rPr>
              <w:t>2.0</w:t>
            </w:r>
          </w:p>
        </w:tc>
        <w:tc>
          <w:tcPr>
            <w:tcW w:w="5400" w:type="dxa"/>
            <w:tcBorders>
              <w:top w:val="nil"/>
              <w:left w:val="nil"/>
              <w:bottom w:val="nil"/>
              <w:right w:val="nil"/>
            </w:tcBorders>
            <w:hideMark/>
          </w:tcPr>
          <w:p w14:paraId="73B3D00B" w14:textId="2A6ECDBA" w:rsidR="00774DF5" w:rsidRPr="00DF694E" w:rsidRDefault="00774DF5" w:rsidP="00774DF5">
            <w:pPr>
              <w:rPr>
                <w:rFonts w:ascii="Arial" w:hAnsi="Arial" w:cs="Arial"/>
                <w:b/>
                <w:sz w:val="20"/>
                <w:szCs w:val="20"/>
              </w:rPr>
            </w:pPr>
            <w:r w:rsidRPr="00DF694E">
              <w:rPr>
                <w:rFonts w:ascii="Arial" w:hAnsi="Arial" w:cs="Arial"/>
                <w:sz w:val="20"/>
                <w:szCs w:val="20"/>
              </w:rPr>
              <w:t>Estimated by fuel type</w:t>
            </w:r>
          </w:p>
        </w:tc>
        <w:tc>
          <w:tcPr>
            <w:tcW w:w="2610" w:type="dxa"/>
            <w:tcBorders>
              <w:top w:val="nil"/>
              <w:left w:val="nil"/>
              <w:bottom w:val="nil"/>
              <w:right w:val="nil"/>
            </w:tcBorders>
            <w:hideMark/>
          </w:tcPr>
          <w:p w14:paraId="54411E85" w14:textId="77777777" w:rsidR="00774DF5" w:rsidRPr="00DF694E" w:rsidRDefault="00774DF5" w:rsidP="00774DF5">
            <w:pPr>
              <w:rPr>
                <w:rFonts w:ascii="Arial" w:hAnsi="Arial" w:cs="Arial"/>
                <w:b/>
                <w:sz w:val="20"/>
                <w:szCs w:val="20"/>
              </w:rPr>
            </w:pPr>
            <w:r w:rsidRPr="00DF694E">
              <w:rPr>
                <w:rFonts w:ascii="Arial" w:hAnsi="Arial" w:cs="Arial"/>
                <w:b/>
                <w:sz w:val="20"/>
                <w:szCs w:val="20"/>
              </w:rPr>
              <w:t>This study</w:t>
            </w:r>
          </w:p>
        </w:tc>
      </w:tr>
      <w:tr w:rsidR="00774DF5" w:rsidRPr="00DF694E" w14:paraId="77C93F36" w14:textId="77777777" w:rsidTr="0048034E">
        <w:tc>
          <w:tcPr>
            <w:tcW w:w="975" w:type="dxa"/>
            <w:vMerge/>
            <w:tcBorders>
              <w:top w:val="nil"/>
              <w:left w:val="nil"/>
              <w:bottom w:val="nil"/>
              <w:right w:val="nil"/>
            </w:tcBorders>
            <w:vAlign w:val="center"/>
            <w:hideMark/>
          </w:tcPr>
          <w:p w14:paraId="7230EC56" w14:textId="77777777" w:rsidR="00774DF5" w:rsidRPr="00DF694E" w:rsidRDefault="00774DF5" w:rsidP="00774DF5">
            <w:pPr>
              <w:rPr>
                <w:rFonts w:ascii="Arial" w:hAnsi="Arial" w:cs="Arial"/>
                <w:sz w:val="20"/>
                <w:szCs w:val="20"/>
              </w:rPr>
            </w:pPr>
          </w:p>
        </w:tc>
        <w:tc>
          <w:tcPr>
            <w:tcW w:w="1365" w:type="dxa"/>
            <w:tcBorders>
              <w:top w:val="nil"/>
              <w:left w:val="nil"/>
              <w:bottom w:val="nil"/>
              <w:right w:val="nil"/>
            </w:tcBorders>
            <w:hideMark/>
          </w:tcPr>
          <w:p w14:paraId="59E78C69" w14:textId="77777777" w:rsidR="00774DF5" w:rsidRPr="00DF694E" w:rsidRDefault="00774DF5" w:rsidP="00774DF5">
            <w:pPr>
              <w:rPr>
                <w:rFonts w:ascii="Arial" w:hAnsi="Arial" w:cs="Arial"/>
                <w:sz w:val="20"/>
                <w:szCs w:val="20"/>
              </w:rPr>
            </w:pPr>
            <w:r w:rsidRPr="00DF694E">
              <w:rPr>
                <w:rFonts w:ascii="Arial" w:hAnsi="Arial" w:cs="Arial"/>
                <w:sz w:val="20"/>
                <w:szCs w:val="20"/>
              </w:rPr>
              <w:t>2.7</w:t>
            </w:r>
          </w:p>
        </w:tc>
        <w:tc>
          <w:tcPr>
            <w:tcW w:w="5400" w:type="dxa"/>
            <w:tcBorders>
              <w:top w:val="nil"/>
              <w:left w:val="nil"/>
              <w:bottom w:val="nil"/>
              <w:right w:val="nil"/>
            </w:tcBorders>
            <w:hideMark/>
          </w:tcPr>
          <w:p w14:paraId="23028B03" w14:textId="77777777" w:rsidR="00774DF5" w:rsidRPr="00DF694E" w:rsidRDefault="00774DF5" w:rsidP="00774DF5">
            <w:pPr>
              <w:rPr>
                <w:rFonts w:ascii="Arial" w:hAnsi="Arial" w:cs="Arial"/>
                <w:sz w:val="20"/>
                <w:szCs w:val="20"/>
              </w:rPr>
            </w:pPr>
            <w:r w:rsidRPr="00DF694E">
              <w:rPr>
                <w:rFonts w:ascii="Arial" w:hAnsi="Arial" w:cs="Arial"/>
                <w:sz w:val="20"/>
                <w:szCs w:val="20"/>
              </w:rPr>
              <w:t>Estimated based on tree cover, climate and fire persistence</w:t>
            </w:r>
          </w:p>
        </w:tc>
        <w:tc>
          <w:tcPr>
            <w:tcW w:w="2610" w:type="dxa"/>
            <w:tcBorders>
              <w:top w:val="nil"/>
              <w:left w:val="nil"/>
              <w:bottom w:val="nil"/>
              <w:right w:val="nil"/>
            </w:tcBorders>
            <w:hideMark/>
          </w:tcPr>
          <w:p w14:paraId="339BB706" w14:textId="022AAD7F" w:rsidR="00774DF5" w:rsidRPr="00DF694E" w:rsidRDefault="00774DF5" w:rsidP="00774DF5">
            <w:pPr>
              <w:rPr>
                <w:rFonts w:ascii="Arial" w:hAnsi="Arial" w:cs="Arial"/>
                <w:sz w:val="20"/>
                <w:szCs w:val="20"/>
              </w:rPr>
            </w:pPr>
            <w:r w:rsidRPr="00DF694E">
              <w:rPr>
                <w:rFonts w:ascii="Arial" w:hAnsi="Arial" w:cs="Arial"/>
                <w:sz w:val="20"/>
              </w:rPr>
              <w:fldChar w:fldCharType="begin"/>
            </w:r>
            <w:r>
              <w:rPr>
                <w:rFonts w:ascii="Arial" w:hAnsi="Arial" w:cs="Arial"/>
                <w:sz w:val="20"/>
              </w:rPr>
              <w:instrText xml:space="preserve"> ADDIN EN.CITE &lt;EndNote&gt;&lt;Cite AuthorYear="1"&gt;&lt;Author&gt;van der Werf&lt;/Author&gt;&lt;Year&gt;2010&lt;/Year&gt;&lt;RecNum&gt;89&lt;/RecNum&gt;&lt;DisplayText&gt;van der Werf, et al. &lt;style face="superscript"&gt;15&lt;/style&gt;&lt;/DisplayText&gt;&lt;record&gt;&lt;rec-number&gt;89&lt;/rec-number&gt;&lt;foreign-keys&gt;&lt;key app="EN" db-id="rwwf2as9uepxr8epfdsvva5qt5rxtree9edp" timestamp="1588781555"&gt;89&lt;/key&gt;&lt;/foreign-keys&gt;&lt;ref-type name="Journal Article"&gt;17&lt;/ref-type&gt;&lt;contributors&gt;&lt;authors&gt;&lt;author&gt;van der Werf, G. R.&lt;/author&gt;&lt;author&gt;Randerson, J. T.&lt;/author&gt;&lt;author&gt;Giglio, L.&lt;/author&gt;&lt;author&gt;Collatz, G. J.&lt;/author&gt;&lt;author&gt;Mu, M.&lt;/author&gt;&lt;author&gt;Kasibhatla, P. S.&lt;/author&gt;&lt;author&gt;Morton, D. C.&lt;/author&gt;&lt;author&gt;DeFries, R. S.&lt;/author&gt;&lt;author&gt;Jin, Y.&lt;/author&gt;&lt;author&gt;van Leeuwen, T. T.&lt;/author&gt;&lt;/authors&gt;&lt;/contributors&gt;&lt;titles&gt;&lt;title&gt;Global fire emissions and the contribution of deforestation, savanna, forest, agricultural, and peat fires (1997–2009)&lt;/title&gt;&lt;secondary-title&gt;Atmos. Chem. Phys.&lt;/secondary-title&gt;&lt;/titles&gt;&lt;periodical&gt;&lt;full-title&gt;Atmos. Chem. Phys.&lt;/full-title&gt;&lt;/periodical&gt;&lt;pages&gt;11707-11735&lt;/pages&gt;&lt;volume&gt;10&lt;/volume&gt;&lt;number&gt;23&lt;/number&gt;&lt;dates&gt;&lt;year&gt;2010&lt;/year&gt;&lt;/dates&gt;&lt;publisher&gt;Copernicus Publications&lt;/publisher&gt;&lt;isbn&gt;1680-7324&lt;/isbn&gt;&lt;urls&gt;&lt;related-urls&gt;&lt;url&gt;https://www.atmos-chem-phys.net/10/11707/2010/&lt;/url&gt;&lt;/related-urls&gt;&lt;pdf-urls&gt;&lt;url&gt;https://www.atmos-chem-phys.net/10/11707/2010/acp-10-11707-2010.pdf&lt;/url&gt;&lt;/pdf-urls&gt;&lt;/urls&gt;&lt;electronic-resource-num&gt;10.5194/acp-10-11707-2010&lt;/electronic-resource-num&gt;&lt;/record&gt;&lt;/Cite&gt;&lt;/EndNote&gt;</w:instrText>
            </w:r>
            <w:r w:rsidRPr="00DF694E">
              <w:rPr>
                <w:rFonts w:ascii="Arial" w:hAnsi="Arial" w:cs="Arial"/>
                <w:sz w:val="20"/>
              </w:rPr>
              <w:fldChar w:fldCharType="separate"/>
            </w:r>
            <w:r>
              <w:rPr>
                <w:rFonts w:ascii="Arial" w:hAnsi="Arial" w:cs="Arial"/>
                <w:noProof/>
                <w:sz w:val="20"/>
              </w:rPr>
              <w:t xml:space="preserve">van der Werf, et al. </w:t>
            </w:r>
            <w:r w:rsidRPr="00774DF5">
              <w:rPr>
                <w:rFonts w:ascii="Arial" w:hAnsi="Arial" w:cs="Arial"/>
                <w:noProof/>
                <w:sz w:val="20"/>
                <w:vertAlign w:val="superscript"/>
              </w:rPr>
              <w:t>15</w:t>
            </w:r>
            <w:r w:rsidRPr="00DF694E">
              <w:rPr>
                <w:rFonts w:ascii="Arial" w:hAnsi="Arial" w:cs="Arial"/>
                <w:sz w:val="20"/>
              </w:rPr>
              <w:fldChar w:fldCharType="end"/>
            </w:r>
          </w:p>
        </w:tc>
      </w:tr>
      <w:tr w:rsidR="00774DF5" w:rsidRPr="00DF694E" w14:paraId="37C9E6DA" w14:textId="77777777" w:rsidTr="0048034E">
        <w:tc>
          <w:tcPr>
            <w:tcW w:w="975" w:type="dxa"/>
            <w:tcBorders>
              <w:top w:val="nil"/>
              <w:left w:val="nil"/>
              <w:bottom w:val="nil"/>
              <w:right w:val="nil"/>
            </w:tcBorders>
            <w:vAlign w:val="center"/>
          </w:tcPr>
          <w:p w14:paraId="58F722AA" w14:textId="77777777" w:rsidR="00774DF5" w:rsidRPr="00DF694E" w:rsidRDefault="00774DF5" w:rsidP="00774DF5">
            <w:pPr>
              <w:rPr>
                <w:rFonts w:ascii="Arial" w:hAnsi="Arial" w:cs="Arial"/>
                <w:sz w:val="20"/>
              </w:rPr>
            </w:pPr>
          </w:p>
        </w:tc>
        <w:tc>
          <w:tcPr>
            <w:tcW w:w="1365" w:type="dxa"/>
            <w:tcBorders>
              <w:top w:val="nil"/>
              <w:left w:val="nil"/>
              <w:bottom w:val="nil"/>
              <w:right w:val="nil"/>
            </w:tcBorders>
          </w:tcPr>
          <w:p w14:paraId="1BF9C4FA" w14:textId="77777777" w:rsidR="00774DF5" w:rsidRPr="00DF694E" w:rsidRDefault="00774DF5" w:rsidP="00774DF5">
            <w:pPr>
              <w:rPr>
                <w:rFonts w:ascii="Arial" w:hAnsi="Arial" w:cs="Arial"/>
                <w:sz w:val="20"/>
              </w:rPr>
            </w:pPr>
          </w:p>
        </w:tc>
        <w:tc>
          <w:tcPr>
            <w:tcW w:w="5400" w:type="dxa"/>
            <w:tcBorders>
              <w:top w:val="nil"/>
              <w:left w:val="nil"/>
              <w:bottom w:val="nil"/>
              <w:right w:val="nil"/>
            </w:tcBorders>
          </w:tcPr>
          <w:p w14:paraId="58066FE7" w14:textId="77777777" w:rsidR="00774DF5" w:rsidRPr="00DF694E" w:rsidRDefault="00774DF5" w:rsidP="00774DF5">
            <w:pPr>
              <w:rPr>
                <w:rFonts w:ascii="Arial" w:hAnsi="Arial" w:cs="Arial"/>
                <w:sz w:val="20"/>
              </w:rPr>
            </w:pPr>
          </w:p>
        </w:tc>
        <w:tc>
          <w:tcPr>
            <w:tcW w:w="2610" w:type="dxa"/>
            <w:tcBorders>
              <w:top w:val="nil"/>
              <w:left w:val="nil"/>
              <w:bottom w:val="nil"/>
              <w:right w:val="nil"/>
            </w:tcBorders>
          </w:tcPr>
          <w:p w14:paraId="09FFDCE5" w14:textId="77777777" w:rsidR="00774DF5" w:rsidRPr="00DF694E" w:rsidRDefault="00774DF5" w:rsidP="00774DF5">
            <w:pPr>
              <w:rPr>
                <w:rFonts w:ascii="Arial" w:hAnsi="Arial" w:cs="Arial"/>
                <w:sz w:val="20"/>
              </w:rPr>
            </w:pPr>
          </w:p>
        </w:tc>
      </w:tr>
      <w:tr w:rsidR="00774DF5" w:rsidRPr="00DF694E" w14:paraId="37A2F1D7" w14:textId="77777777" w:rsidTr="0048034E">
        <w:tc>
          <w:tcPr>
            <w:tcW w:w="975" w:type="dxa"/>
            <w:vMerge w:val="restart"/>
            <w:tcBorders>
              <w:top w:val="nil"/>
              <w:left w:val="nil"/>
              <w:bottom w:val="single" w:sz="4" w:space="0" w:color="auto"/>
              <w:right w:val="nil"/>
            </w:tcBorders>
            <w:hideMark/>
          </w:tcPr>
          <w:p w14:paraId="7E8AF93E" w14:textId="77777777" w:rsidR="00774DF5" w:rsidRPr="00DF694E" w:rsidRDefault="00774DF5" w:rsidP="00774DF5">
            <w:pPr>
              <w:rPr>
                <w:rFonts w:ascii="Arial" w:hAnsi="Arial" w:cs="Arial"/>
                <w:sz w:val="20"/>
                <w:szCs w:val="20"/>
              </w:rPr>
            </w:pPr>
            <w:r w:rsidRPr="00DF694E">
              <w:rPr>
                <w:rFonts w:ascii="Arial" w:hAnsi="Arial" w:cs="Arial"/>
                <w:sz w:val="20"/>
                <w:szCs w:val="20"/>
              </w:rPr>
              <w:t>Global</w:t>
            </w:r>
          </w:p>
        </w:tc>
        <w:tc>
          <w:tcPr>
            <w:tcW w:w="1365" w:type="dxa"/>
            <w:tcBorders>
              <w:top w:val="nil"/>
              <w:left w:val="nil"/>
              <w:bottom w:val="nil"/>
              <w:right w:val="nil"/>
            </w:tcBorders>
            <w:hideMark/>
          </w:tcPr>
          <w:p w14:paraId="3488BED4" w14:textId="77777777" w:rsidR="00774DF5" w:rsidRPr="00DF694E" w:rsidRDefault="00774DF5" w:rsidP="00774DF5">
            <w:pPr>
              <w:rPr>
                <w:rFonts w:ascii="Arial" w:hAnsi="Arial" w:cs="Arial"/>
                <w:sz w:val="20"/>
                <w:szCs w:val="20"/>
              </w:rPr>
            </w:pPr>
            <w:r w:rsidRPr="00DF694E">
              <w:rPr>
                <w:rFonts w:ascii="Arial" w:hAnsi="Arial" w:cs="Arial"/>
                <w:sz w:val="20"/>
                <w:szCs w:val="20"/>
              </w:rPr>
              <w:t>2.6-3.3</w:t>
            </w:r>
          </w:p>
        </w:tc>
        <w:tc>
          <w:tcPr>
            <w:tcW w:w="5400" w:type="dxa"/>
            <w:tcBorders>
              <w:top w:val="nil"/>
              <w:left w:val="nil"/>
              <w:bottom w:val="nil"/>
              <w:right w:val="nil"/>
            </w:tcBorders>
            <w:hideMark/>
          </w:tcPr>
          <w:p w14:paraId="7D0D95DE" w14:textId="77777777" w:rsidR="00774DF5" w:rsidRPr="00DF694E" w:rsidRDefault="00774DF5" w:rsidP="00774DF5">
            <w:pPr>
              <w:rPr>
                <w:rFonts w:ascii="Arial" w:hAnsi="Arial" w:cs="Arial"/>
                <w:sz w:val="20"/>
                <w:szCs w:val="20"/>
              </w:rPr>
            </w:pPr>
            <w:r w:rsidRPr="00DF694E">
              <w:rPr>
                <w:rFonts w:ascii="Arial" w:hAnsi="Arial" w:cs="Arial"/>
                <w:sz w:val="20"/>
                <w:szCs w:val="20"/>
              </w:rPr>
              <w:t>Model simulation based on baseline conditions</w:t>
            </w:r>
          </w:p>
        </w:tc>
        <w:tc>
          <w:tcPr>
            <w:tcW w:w="2610" w:type="dxa"/>
            <w:tcBorders>
              <w:top w:val="nil"/>
              <w:left w:val="nil"/>
              <w:bottom w:val="nil"/>
              <w:right w:val="nil"/>
            </w:tcBorders>
            <w:hideMark/>
          </w:tcPr>
          <w:p w14:paraId="0D3B5119" w14:textId="5BF2ADCB" w:rsidR="00774DF5" w:rsidRPr="00DF694E" w:rsidRDefault="00774DF5" w:rsidP="00774DF5">
            <w:pPr>
              <w:rPr>
                <w:rFonts w:ascii="Arial" w:hAnsi="Arial" w:cs="Arial"/>
                <w:sz w:val="20"/>
                <w:szCs w:val="20"/>
              </w:rPr>
            </w:pPr>
            <w:r w:rsidRPr="00DF694E">
              <w:rPr>
                <w:rFonts w:ascii="Arial" w:hAnsi="Arial" w:cs="Arial"/>
                <w:sz w:val="20"/>
              </w:rPr>
              <w:fldChar w:fldCharType="begin"/>
            </w:r>
            <w:r>
              <w:rPr>
                <w:rFonts w:ascii="Arial" w:hAnsi="Arial" w:cs="Arial"/>
                <w:sz w:val="20"/>
              </w:rPr>
              <w:instrText xml:space="preserve"> ADDIN EN.CITE &lt;EndNote&gt;&lt;Cite AuthorYear="1"&gt;&lt;Author&gt;Kasischke&lt;/Author&gt;&lt;Year&gt;1995&lt;/Year&gt;&lt;RecNum&gt;65&lt;/RecNum&gt;&lt;DisplayText&gt;Kasischke, et al. &lt;style face="superscript"&gt;16&lt;/style&gt;&lt;/DisplayText&gt;&lt;record&gt;&lt;rec-number&gt;65&lt;/rec-number&gt;&lt;foreign-keys&gt;&lt;key app="EN" db-id="rwwf2as9uepxr8epfdsvva5qt5rxtree9edp" timestamp="1588781483"&gt;65&lt;/key&gt;&lt;/foreign-keys&gt;&lt;ref-type name="Journal Article"&gt;17&lt;/ref-type&gt;&lt;contributors&gt;&lt;authors&gt;&lt;author&gt;Kasischke, Eric S.&lt;/author&gt;&lt;author&gt;Christensen, N. L.&lt;/author&gt;&lt;author&gt;Stocks, Brian J.&lt;/author&gt;&lt;/authors&gt;&lt;/contributors&gt;&lt;titles&gt;&lt;title&gt;Fire, Global Warming, and the Carbon Balance of Boreal Forests&lt;/title&gt;&lt;secondary-title&gt;Ecological Applications&lt;/secondary-title&gt;&lt;/titles&gt;&lt;periodical&gt;&lt;full-title&gt;Ecological Applications&lt;/full-title&gt;&lt;/periodical&gt;&lt;pages&gt;437-451&lt;/pages&gt;&lt;volume&gt;5&lt;/volume&gt;&lt;number&gt;2&lt;/number&gt;&lt;dates&gt;&lt;year&gt;1995&lt;/year&gt;&lt;/dates&gt;&lt;publisher&gt;Ecological Society of America&lt;/publisher&gt;&lt;isbn&gt;10510761&lt;/isbn&gt;&lt;urls&gt;&lt;related-urls&gt;&lt;url&gt;www.jstor.org/stable/1942034&lt;/url&gt;&lt;/related-urls&gt;&lt;/urls&gt;&lt;custom1&gt;Full publication date: May, 1995&lt;/custom1&gt;&lt;electronic-resource-num&gt;10.2307/1942034&lt;/electronic-resource-num&gt;&lt;remote-database-name&gt;JSTOR&lt;/remote-database-name&gt;&lt;access-date&gt;2020/04/27/&lt;/access-date&gt;&lt;/record&gt;&lt;/Cite&gt;&lt;/EndNote&gt;</w:instrText>
            </w:r>
            <w:r w:rsidRPr="00DF694E">
              <w:rPr>
                <w:rFonts w:ascii="Arial" w:hAnsi="Arial" w:cs="Arial"/>
                <w:sz w:val="20"/>
              </w:rPr>
              <w:fldChar w:fldCharType="separate"/>
            </w:r>
            <w:r>
              <w:rPr>
                <w:rFonts w:ascii="Arial" w:hAnsi="Arial" w:cs="Arial"/>
                <w:noProof/>
                <w:sz w:val="20"/>
              </w:rPr>
              <w:t xml:space="preserve">Kasischke, et al. </w:t>
            </w:r>
            <w:r w:rsidRPr="00774DF5">
              <w:rPr>
                <w:rFonts w:ascii="Arial" w:hAnsi="Arial" w:cs="Arial"/>
                <w:noProof/>
                <w:sz w:val="20"/>
                <w:vertAlign w:val="superscript"/>
              </w:rPr>
              <w:t>16</w:t>
            </w:r>
            <w:r w:rsidRPr="00DF694E">
              <w:rPr>
                <w:rFonts w:ascii="Arial" w:hAnsi="Arial" w:cs="Arial"/>
                <w:sz w:val="20"/>
              </w:rPr>
              <w:fldChar w:fldCharType="end"/>
            </w:r>
          </w:p>
        </w:tc>
      </w:tr>
      <w:tr w:rsidR="00774DF5" w:rsidRPr="00DF694E" w14:paraId="40B661A6" w14:textId="77777777" w:rsidTr="0048034E">
        <w:tc>
          <w:tcPr>
            <w:tcW w:w="975" w:type="dxa"/>
            <w:vMerge/>
            <w:tcBorders>
              <w:top w:val="nil"/>
              <w:left w:val="nil"/>
              <w:bottom w:val="single" w:sz="4" w:space="0" w:color="auto"/>
              <w:right w:val="nil"/>
            </w:tcBorders>
            <w:vAlign w:val="center"/>
            <w:hideMark/>
          </w:tcPr>
          <w:p w14:paraId="0124A312" w14:textId="77777777" w:rsidR="00774DF5" w:rsidRPr="00DF694E" w:rsidRDefault="00774DF5" w:rsidP="00774DF5">
            <w:pPr>
              <w:rPr>
                <w:rFonts w:ascii="Arial" w:hAnsi="Arial" w:cs="Arial"/>
                <w:sz w:val="20"/>
                <w:szCs w:val="20"/>
              </w:rPr>
            </w:pPr>
          </w:p>
        </w:tc>
        <w:tc>
          <w:tcPr>
            <w:tcW w:w="1365" w:type="dxa"/>
            <w:tcBorders>
              <w:top w:val="nil"/>
              <w:left w:val="nil"/>
              <w:bottom w:val="single" w:sz="4" w:space="0" w:color="auto"/>
              <w:right w:val="nil"/>
            </w:tcBorders>
            <w:hideMark/>
          </w:tcPr>
          <w:p w14:paraId="75909478" w14:textId="77777777" w:rsidR="00774DF5" w:rsidRPr="00DF694E" w:rsidRDefault="00774DF5" w:rsidP="00774DF5">
            <w:pPr>
              <w:rPr>
                <w:rFonts w:ascii="Arial" w:hAnsi="Arial" w:cs="Arial"/>
                <w:sz w:val="20"/>
                <w:szCs w:val="20"/>
              </w:rPr>
            </w:pPr>
            <w:r w:rsidRPr="00DF694E">
              <w:rPr>
                <w:rFonts w:ascii="Arial" w:hAnsi="Arial" w:cs="Arial"/>
                <w:sz w:val="20"/>
                <w:szCs w:val="20"/>
              </w:rPr>
              <w:t>1.1-2.8</w:t>
            </w:r>
          </w:p>
        </w:tc>
        <w:tc>
          <w:tcPr>
            <w:tcW w:w="5400" w:type="dxa"/>
            <w:tcBorders>
              <w:top w:val="nil"/>
              <w:left w:val="nil"/>
              <w:bottom w:val="single" w:sz="4" w:space="0" w:color="auto"/>
              <w:right w:val="nil"/>
            </w:tcBorders>
            <w:hideMark/>
          </w:tcPr>
          <w:p w14:paraId="469CC2DF" w14:textId="77777777" w:rsidR="00774DF5" w:rsidRPr="00DF694E" w:rsidRDefault="00774DF5" w:rsidP="00774DF5">
            <w:pPr>
              <w:rPr>
                <w:rFonts w:ascii="Arial" w:hAnsi="Arial" w:cs="Arial"/>
                <w:sz w:val="20"/>
                <w:szCs w:val="20"/>
              </w:rPr>
            </w:pPr>
            <w:r w:rsidRPr="00DF694E">
              <w:rPr>
                <w:rFonts w:ascii="Arial" w:hAnsi="Arial" w:cs="Arial"/>
                <w:sz w:val="20"/>
                <w:szCs w:val="20"/>
              </w:rPr>
              <w:t>Estimated from Boreal Wildland-Fire Emissions Model</w:t>
            </w:r>
          </w:p>
        </w:tc>
        <w:tc>
          <w:tcPr>
            <w:tcW w:w="2610" w:type="dxa"/>
            <w:tcBorders>
              <w:top w:val="nil"/>
              <w:left w:val="nil"/>
              <w:bottom w:val="single" w:sz="4" w:space="0" w:color="auto"/>
              <w:right w:val="nil"/>
            </w:tcBorders>
            <w:hideMark/>
          </w:tcPr>
          <w:p w14:paraId="06ECAD06" w14:textId="00D88A06" w:rsidR="00774DF5" w:rsidRPr="00DF694E" w:rsidRDefault="00774DF5" w:rsidP="00774DF5">
            <w:pPr>
              <w:rPr>
                <w:rFonts w:ascii="Arial" w:hAnsi="Arial" w:cs="Arial"/>
                <w:sz w:val="20"/>
                <w:szCs w:val="20"/>
              </w:rPr>
            </w:pPr>
            <w:r w:rsidRPr="00DF694E">
              <w:rPr>
                <w:rFonts w:ascii="Arial" w:hAnsi="Arial" w:cs="Arial"/>
                <w:sz w:val="20"/>
              </w:rPr>
              <w:fldChar w:fldCharType="begin"/>
            </w:r>
            <w:r>
              <w:rPr>
                <w:rFonts w:ascii="Arial" w:hAnsi="Arial" w:cs="Arial"/>
                <w:sz w:val="20"/>
              </w:rPr>
              <w:instrText xml:space="preserve"> ADDIN EN.CITE &lt;EndNote&gt;&lt;Cite AuthorYear="1"&gt;&lt;Author&gt;Kasischke&lt;/Author&gt;&lt;Year&gt;2005&lt;/Year&gt;&lt;RecNum&gt;66&lt;/RecNum&gt;&lt;DisplayText&gt;Kasischke, et al. &lt;style face="superscript"&gt;17&lt;/style&gt;&lt;/DisplayText&gt;&lt;record&gt;&lt;rec-number&gt;66&lt;/rec-number&gt;&lt;foreign-keys&gt;&lt;key app="EN" db-id="rwwf2as9uepxr8epfdsvva5qt5rxtree9edp" timestamp="1588781487"&gt;66&lt;/key&gt;&lt;/foreign-keys&gt;&lt;ref-type name="Journal Article"&gt;17&lt;/ref-type&gt;&lt;contributors&gt;&lt;authors&gt;&lt;author&gt;Kasischke, Eric S.&lt;/author&gt;&lt;author&gt;Hyer, Edward J.&lt;/author&gt;&lt;author&gt;Novelli, Paul C.&lt;/author&gt;&lt;author&gt;Bruhwiler, Lori P.&lt;/author&gt;&lt;author&gt;French, Nancy H. F.&lt;/author&gt;&lt;author&gt;Sukhinin, Anatoly I.&lt;/author&gt;&lt;author&gt;Hewson, Jennifer H.&lt;/author&gt;&lt;author&gt;Stocks, Brian J.&lt;/author&gt;&lt;/authors&gt;&lt;/contributors&gt;&lt;titles&gt;&lt;title&gt;Influences of boreal fire emissions on Northern Hemisphere atmospheric carbon and carbon monoxide&lt;/title&gt;&lt;secondary-title&gt;Global Biogeochemical Cycles&lt;/secondary-title&gt;&lt;/titles&gt;&lt;periodical&gt;&lt;full-title&gt;Global Biogeochemical Cycles&lt;/full-title&gt;&lt;/periodical&gt;&lt;volume&gt;19&lt;/volume&gt;&lt;number&gt;1&lt;/number&gt;&lt;keywords&gt;&lt;keyword&gt;wildland fire&lt;/keyword&gt;&lt;keyword&gt;boreal forest&lt;/keyword&gt;&lt;keyword&gt;trace gas emissions&lt;/keyword&gt;&lt;keyword&gt;carbon&lt;/keyword&gt;&lt;keyword&gt;carbon monoxide&lt;/keyword&gt;&lt;/keywords&gt;&lt;dates&gt;&lt;year&gt;2005&lt;/year&gt;&lt;pub-dates&gt;&lt;date&gt;2005/03/01&lt;/date&gt;&lt;/pub-dates&gt;&lt;/dates&gt;&lt;publisher&gt;John Wiley &amp;amp; Sons, Ltd&lt;/publisher&gt;&lt;isbn&gt;0886-6236&lt;/isbn&gt;&lt;urls&gt;&lt;related-urls&gt;&lt;url&gt;https://doi.org/10.1029/2004GB002300&lt;/url&gt;&lt;/related-urls&gt;&lt;/urls&gt;&lt;electronic-resource-num&gt;10.1029/2004GB002300&lt;/electronic-resource-num&gt;&lt;access-date&gt;2020/04/01&lt;/access-date&gt;&lt;/record&gt;&lt;/Cite&gt;&lt;/EndNote&gt;</w:instrText>
            </w:r>
            <w:r w:rsidRPr="00DF694E">
              <w:rPr>
                <w:rFonts w:ascii="Arial" w:hAnsi="Arial" w:cs="Arial"/>
                <w:sz w:val="20"/>
              </w:rPr>
              <w:fldChar w:fldCharType="separate"/>
            </w:r>
            <w:r>
              <w:rPr>
                <w:rFonts w:ascii="Arial" w:hAnsi="Arial" w:cs="Arial"/>
                <w:noProof/>
                <w:sz w:val="20"/>
              </w:rPr>
              <w:t xml:space="preserve">Kasischke, et al. </w:t>
            </w:r>
            <w:r w:rsidRPr="00774DF5">
              <w:rPr>
                <w:rFonts w:ascii="Arial" w:hAnsi="Arial" w:cs="Arial"/>
                <w:noProof/>
                <w:sz w:val="20"/>
                <w:vertAlign w:val="superscript"/>
              </w:rPr>
              <w:t>17</w:t>
            </w:r>
            <w:r w:rsidRPr="00DF694E">
              <w:rPr>
                <w:rFonts w:ascii="Arial" w:hAnsi="Arial" w:cs="Arial"/>
                <w:sz w:val="20"/>
              </w:rPr>
              <w:fldChar w:fldCharType="end"/>
            </w:r>
          </w:p>
        </w:tc>
      </w:tr>
    </w:tbl>
    <w:p w14:paraId="7744D180" w14:textId="77777777" w:rsidR="00B47821" w:rsidRDefault="00B47821" w:rsidP="00CD48AD">
      <w:pPr>
        <w:rPr>
          <w:rFonts w:ascii="Arial" w:hAnsi="Arial" w:cs="Arial"/>
          <w:b/>
          <w:sz w:val="20"/>
        </w:rPr>
      </w:pPr>
    </w:p>
    <w:p w14:paraId="663CDF52" w14:textId="55A64AF0" w:rsidR="00B47821" w:rsidRPr="00B47821" w:rsidRDefault="00B47821" w:rsidP="00B47821">
      <w:pPr>
        <w:rPr>
          <w:rFonts w:ascii="Arial" w:hAnsi="Arial" w:cs="Arial"/>
          <w:sz w:val="20"/>
        </w:rPr>
      </w:pPr>
      <w:r w:rsidRPr="00B47821">
        <w:rPr>
          <w:rFonts w:ascii="Arial" w:hAnsi="Arial" w:cs="Arial"/>
          <w:sz w:val="20"/>
        </w:rPr>
        <w:t xml:space="preserve">* </w:t>
      </w:r>
      <w:r>
        <w:rPr>
          <w:rFonts w:ascii="Arial" w:hAnsi="Arial" w:cs="Arial"/>
          <w:sz w:val="20"/>
        </w:rPr>
        <w:t>T</w:t>
      </w:r>
      <w:r w:rsidRPr="00B47821">
        <w:rPr>
          <w:rFonts w:ascii="Arial" w:hAnsi="Arial" w:cs="Arial"/>
          <w:sz w:val="20"/>
        </w:rPr>
        <w:t xml:space="preserve">he values in the original literature </w:t>
      </w:r>
      <w:r w:rsidR="00C22B7D">
        <w:rPr>
          <w:rFonts w:ascii="Arial" w:hAnsi="Arial" w:cs="Arial"/>
          <w:sz w:val="20"/>
        </w:rPr>
        <w:t>are</w:t>
      </w:r>
      <w:r w:rsidRPr="00B47821">
        <w:rPr>
          <w:rFonts w:ascii="Arial" w:hAnsi="Arial" w:cs="Arial"/>
          <w:sz w:val="20"/>
        </w:rPr>
        <w:t xml:space="preserve"> in d</w:t>
      </w:r>
      <w:r w:rsidR="00915671">
        <w:rPr>
          <w:rFonts w:ascii="Arial" w:hAnsi="Arial" w:cs="Arial"/>
          <w:sz w:val="20"/>
        </w:rPr>
        <w:t>r</w:t>
      </w:r>
      <w:r w:rsidRPr="00B47821">
        <w:rPr>
          <w:rFonts w:ascii="Arial" w:hAnsi="Arial" w:cs="Arial"/>
          <w:sz w:val="20"/>
        </w:rPr>
        <w:t>y matter per unit area, which are multiplied by 0.5 to convert in</w:t>
      </w:r>
      <w:bookmarkStart w:id="0" w:name="_GoBack"/>
      <w:bookmarkEnd w:id="0"/>
      <w:r w:rsidRPr="00B47821">
        <w:rPr>
          <w:rFonts w:ascii="Arial" w:hAnsi="Arial" w:cs="Arial"/>
          <w:sz w:val="20"/>
        </w:rPr>
        <w:t>to C per unit area.</w:t>
      </w:r>
    </w:p>
    <w:p w14:paraId="53983701" w14:textId="29420EC2" w:rsidR="00B4734E" w:rsidRPr="00CD48AD" w:rsidRDefault="00EA2C5D" w:rsidP="00CD48AD">
      <w:pPr>
        <w:rPr>
          <w:rFonts w:ascii="Arial" w:hAnsi="Arial" w:cs="Arial"/>
          <w:sz w:val="20"/>
        </w:rPr>
      </w:pPr>
      <w:r>
        <w:rPr>
          <w:rFonts w:ascii="Arial" w:hAnsi="Arial" w:cs="Arial"/>
          <w:b/>
          <w:sz w:val="20"/>
        </w:rPr>
        <w:br w:type="page"/>
      </w:r>
      <w:r w:rsidRPr="00CD48AD">
        <w:rPr>
          <w:rFonts w:ascii="Arial" w:hAnsi="Arial" w:cs="Arial"/>
          <w:b/>
          <w:sz w:val="20"/>
        </w:rPr>
        <w:lastRenderedPageBreak/>
        <w:t>Supplementary Table 2</w:t>
      </w:r>
      <w:r w:rsidR="00B4734E" w:rsidRPr="00CD48AD">
        <w:rPr>
          <w:rFonts w:ascii="Arial" w:hAnsi="Arial" w:cs="Arial"/>
          <w:b/>
          <w:sz w:val="20"/>
        </w:rPr>
        <w:t>.</w:t>
      </w:r>
      <w:r w:rsidR="00B4734E" w:rsidRPr="00FB3374">
        <w:rPr>
          <w:rFonts w:ascii="Arial" w:hAnsi="Arial" w:cs="Arial"/>
          <w:sz w:val="20"/>
        </w:rPr>
        <w:t xml:space="preserve"> </w:t>
      </w:r>
      <w:r w:rsidR="00B4734E" w:rsidRPr="00CD48AD">
        <w:rPr>
          <w:rFonts w:ascii="Arial" w:hAnsi="Arial" w:cs="Arial"/>
          <w:sz w:val="20"/>
        </w:rPr>
        <w:t>Comparison between modeled and field-measured variables</w:t>
      </w:r>
    </w:p>
    <w:p w14:paraId="4ED8B2A7" w14:textId="77777777" w:rsidR="00B4734E" w:rsidRPr="00B4734E" w:rsidRDefault="00B4734E" w:rsidP="00B4734E">
      <w:pPr>
        <w:contextualSpacing/>
        <w:rPr>
          <w:rFonts w:ascii="Arial" w:hAnsi="Arial" w:cs="Arial"/>
          <w:b/>
          <w:sz w:val="20"/>
        </w:rPr>
      </w:pPr>
    </w:p>
    <w:tbl>
      <w:tblPr>
        <w:tblStyle w:val="TableGrid"/>
        <w:tblW w:w="11472" w:type="dxa"/>
        <w:tblInd w:w="-130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
        <w:gridCol w:w="1530"/>
        <w:gridCol w:w="1392"/>
        <w:gridCol w:w="1218"/>
        <w:gridCol w:w="540"/>
        <w:gridCol w:w="360"/>
        <w:gridCol w:w="1752"/>
        <w:gridCol w:w="1080"/>
        <w:gridCol w:w="318"/>
        <w:gridCol w:w="1482"/>
        <w:gridCol w:w="1080"/>
      </w:tblGrid>
      <w:tr w:rsidR="00B4734E" w:rsidRPr="00EA2C5D" w14:paraId="3CCDE88F" w14:textId="77777777" w:rsidTr="008D4038">
        <w:tc>
          <w:tcPr>
            <w:tcW w:w="720" w:type="dxa"/>
            <w:tcBorders>
              <w:top w:val="single" w:sz="4" w:space="0" w:color="auto"/>
              <w:bottom w:val="single" w:sz="4" w:space="0" w:color="auto"/>
            </w:tcBorders>
            <w:vAlign w:val="center"/>
          </w:tcPr>
          <w:p w14:paraId="11830E63"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Burn year</w:t>
            </w:r>
          </w:p>
        </w:tc>
        <w:tc>
          <w:tcPr>
            <w:tcW w:w="1530" w:type="dxa"/>
            <w:tcBorders>
              <w:top w:val="single" w:sz="4" w:space="0" w:color="auto"/>
              <w:bottom w:val="single" w:sz="4" w:space="0" w:color="auto"/>
            </w:tcBorders>
            <w:vAlign w:val="center"/>
          </w:tcPr>
          <w:p w14:paraId="6BCBAA7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Soil organic layer thickness (cm)</w:t>
            </w:r>
          </w:p>
        </w:tc>
        <w:tc>
          <w:tcPr>
            <w:tcW w:w="1392" w:type="dxa"/>
            <w:tcBorders>
              <w:top w:val="single" w:sz="4" w:space="0" w:color="auto"/>
              <w:bottom w:val="single" w:sz="4" w:space="0" w:color="auto"/>
            </w:tcBorders>
            <w:vAlign w:val="center"/>
          </w:tcPr>
          <w:p w14:paraId="7F5710B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Estimated soil combustion (%)</w:t>
            </w:r>
          </w:p>
        </w:tc>
        <w:tc>
          <w:tcPr>
            <w:tcW w:w="1218" w:type="dxa"/>
            <w:tcBorders>
              <w:top w:val="single" w:sz="4" w:space="0" w:color="auto"/>
              <w:bottom w:val="single" w:sz="4" w:space="0" w:color="auto"/>
            </w:tcBorders>
            <w:vAlign w:val="center"/>
          </w:tcPr>
          <w:p w14:paraId="4A28F799" w14:textId="77777777" w:rsidR="00B4734E" w:rsidRPr="00EA2C5D" w:rsidRDefault="00B4734E" w:rsidP="00B4734E">
            <w:pPr>
              <w:contextualSpacing/>
              <w:rPr>
                <w:rFonts w:ascii="Arial" w:eastAsia="Times New Roman" w:hAnsi="Arial" w:cs="Arial"/>
                <w:color w:val="000000"/>
                <w:sz w:val="20"/>
                <w:szCs w:val="20"/>
              </w:rPr>
            </w:pPr>
            <w:proofErr w:type="spellStart"/>
            <w:r w:rsidRPr="00EA2C5D">
              <w:rPr>
                <w:rFonts w:ascii="Arial" w:eastAsia="Times New Roman" w:hAnsi="Arial" w:cs="Arial"/>
                <w:color w:val="000000"/>
                <w:sz w:val="20"/>
                <w:szCs w:val="20"/>
              </w:rPr>
              <w:t>dNBR</w:t>
            </w:r>
            <w:proofErr w:type="spellEnd"/>
          </w:p>
        </w:tc>
        <w:tc>
          <w:tcPr>
            <w:tcW w:w="900" w:type="dxa"/>
            <w:gridSpan w:val="2"/>
            <w:tcBorders>
              <w:top w:val="single" w:sz="4" w:space="0" w:color="auto"/>
              <w:bottom w:val="single" w:sz="4" w:space="0" w:color="auto"/>
            </w:tcBorders>
            <w:vAlign w:val="center"/>
          </w:tcPr>
          <w:p w14:paraId="20AF8E90" w14:textId="77777777" w:rsidR="00B4734E" w:rsidRPr="00EA2C5D" w:rsidRDefault="00B4734E" w:rsidP="00B4734E">
            <w:pPr>
              <w:contextualSpacing/>
              <w:rPr>
                <w:rFonts w:ascii="Arial" w:eastAsia="Times New Roman" w:hAnsi="Arial" w:cs="Arial"/>
                <w:color w:val="000000"/>
                <w:sz w:val="20"/>
                <w:szCs w:val="20"/>
              </w:rPr>
            </w:pPr>
          </w:p>
        </w:tc>
        <w:tc>
          <w:tcPr>
            <w:tcW w:w="2832" w:type="dxa"/>
            <w:gridSpan w:val="2"/>
            <w:tcBorders>
              <w:top w:val="single" w:sz="4" w:space="0" w:color="auto"/>
              <w:bottom w:val="single" w:sz="4" w:space="0" w:color="auto"/>
            </w:tcBorders>
            <w:vAlign w:val="center"/>
          </w:tcPr>
          <w:p w14:paraId="09FCE5F6" w14:textId="18C408EA" w:rsidR="00B4734E" w:rsidRPr="00EA2C5D" w:rsidRDefault="003712EB" w:rsidP="00B4734E">
            <w:pPr>
              <w:contextualSpacing/>
              <w:rPr>
                <w:rFonts w:ascii="Arial" w:hAnsi="Arial" w:cs="Arial"/>
                <w:sz w:val="20"/>
                <w:szCs w:val="20"/>
              </w:rPr>
            </w:pPr>
            <w:r w:rsidRPr="00EA2C5D">
              <w:rPr>
                <w:rFonts w:ascii="Arial" w:eastAsia="Times New Roman" w:hAnsi="Arial" w:cs="Arial"/>
                <w:color w:val="000000"/>
                <w:sz w:val="20"/>
                <w:szCs w:val="20"/>
              </w:rPr>
              <w:t xml:space="preserve">Vegetation C (g C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c>
          <w:tcPr>
            <w:tcW w:w="2880" w:type="dxa"/>
            <w:gridSpan w:val="3"/>
            <w:tcBorders>
              <w:top w:val="single" w:sz="4" w:space="0" w:color="auto"/>
              <w:bottom w:val="single" w:sz="4" w:space="0" w:color="auto"/>
            </w:tcBorders>
            <w:vAlign w:val="center"/>
          </w:tcPr>
          <w:p w14:paraId="460EB1F5" w14:textId="79E5EE62" w:rsidR="00B4734E" w:rsidRPr="00EA2C5D" w:rsidRDefault="003712EB" w:rsidP="00B4734E">
            <w:pPr>
              <w:contextualSpacing/>
              <w:rPr>
                <w:rFonts w:ascii="Arial" w:hAnsi="Arial" w:cs="Arial"/>
                <w:sz w:val="20"/>
                <w:szCs w:val="20"/>
              </w:rPr>
            </w:pPr>
            <w:r w:rsidRPr="00EA2C5D">
              <w:rPr>
                <w:rFonts w:ascii="Arial" w:eastAsia="Times New Roman" w:hAnsi="Arial" w:cs="Arial"/>
                <w:color w:val="000000"/>
                <w:sz w:val="20"/>
                <w:szCs w:val="20"/>
              </w:rPr>
              <w:t xml:space="preserve">Soil organic C (g C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r>
      <w:tr w:rsidR="00B4734E" w:rsidRPr="00EA2C5D" w14:paraId="4008809B" w14:textId="77777777" w:rsidTr="008D4038">
        <w:tc>
          <w:tcPr>
            <w:tcW w:w="720" w:type="dxa"/>
            <w:tcBorders>
              <w:top w:val="single" w:sz="4" w:space="0" w:color="auto"/>
            </w:tcBorders>
          </w:tcPr>
          <w:p w14:paraId="425F86A6" w14:textId="77777777" w:rsidR="00B4734E" w:rsidRPr="00EA2C5D" w:rsidRDefault="00B4734E" w:rsidP="00B4734E">
            <w:pPr>
              <w:contextualSpacing/>
              <w:rPr>
                <w:rFonts w:ascii="Arial" w:hAnsi="Arial" w:cs="Arial"/>
                <w:sz w:val="20"/>
                <w:szCs w:val="20"/>
              </w:rPr>
            </w:pPr>
          </w:p>
        </w:tc>
        <w:tc>
          <w:tcPr>
            <w:tcW w:w="1530" w:type="dxa"/>
            <w:tcBorders>
              <w:top w:val="single" w:sz="4" w:space="0" w:color="auto"/>
            </w:tcBorders>
          </w:tcPr>
          <w:p w14:paraId="65BD59D5" w14:textId="77777777" w:rsidR="00B4734E" w:rsidRPr="00EA2C5D" w:rsidRDefault="00B4734E" w:rsidP="00B4734E">
            <w:pPr>
              <w:contextualSpacing/>
              <w:rPr>
                <w:rFonts w:ascii="Arial" w:hAnsi="Arial" w:cs="Arial"/>
                <w:sz w:val="20"/>
                <w:szCs w:val="20"/>
              </w:rPr>
            </w:pPr>
          </w:p>
        </w:tc>
        <w:tc>
          <w:tcPr>
            <w:tcW w:w="1392" w:type="dxa"/>
            <w:tcBorders>
              <w:top w:val="single" w:sz="4" w:space="0" w:color="auto"/>
            </w:tcBorders>
          </w:tcPr>
          <w:p w14:paraId="2C2C1DD1" w14:textId="77777777" w:rsidR="00B4734E" w:rsidRPr="00EA2C5D" w:rsidRDefault="00B4734E" w:rsidP="00B4734E">
            <w:pPr>
              <w:contextualSpacing/>
              <w:rPr>
                <w:rFonts w:ascii="Arial" w:hAnsi="Arial" w:cs="Arial"/>
                <w:sz w:val="20"/>
                <w:szCs w:val="20"/>
              </w:rPr>
            </w:pPr>
          </w:p>
        </w:tc>
        <w:tc>
          <w:tcPr>
            <w:tcW w:w="1218" w:type="dxa"/>
            <w:tcBorders>
              <w:top w:val="single" w:sz="4" w:space="0" w:color="auto"/>
            </w:tcBorders>
            <w:vAlign w:val="center"/>
          </w:tcPr>
          <w:p w14:paraId="3380A1CF"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estimated</w:t>
            </w:r>
          </w:p>
        </w:tc>
        <w:tc>
          <w:tcPr>
            <w:tcW w:w="900" w:type="dxa"/>
            <w:gridSpan w:val="2"/>
            <w:tcBorders>
              <w:top w:val="single" w:sz="4" w:space="0" w:color="auto"/>
            </w:tcBorders>
            <w:vAlign w:val="center"/>
          </w:tcPr>
          <w:p w14:paraId="68CC5598" w14:textId="77777777" w:rsidR="00B4734E" w:rsidRPr="00EA2C5D" w:rsidRDefault="00B4734E" w:rsidP="00B4734E">
            <w:pPr>
              <w:contextualSpacing/>
              <w:rPr>
                <w:rFonts w:ascii="Arial" w:eastAsia="Times New Roman" w:hAnsi="Arial" w:cs="Arial"/>
                <w:sz w:val="20"/>
                <w:szCs w:val="20"/>
              </w:rPr>
            </w:pPr>
            <w:r w:rsidRPr="00EA2C5D">
              <w:rPr>
                <w:rFonts w:ascii="Arial" w:eastAsia="Times New Roman" w:hAnsi="Arial" w:cs="Arial"/>
                <w:sz w:val="20"/>
                <w:szCs w:val="20"/>
              </w:rPr>
              <w:t>actual</w:t>
            </w:r>
          </w:p>
        </w:tc>
        <w:tc>
          <w:tcPr>
            <w:tcW w:w="1752" w:type="dxa"/>
            <w:tcBorders>
              <w:top w:val="single" w:sz="4" w:space="0" w:color="auto"/>
            </w:tcBorders>
            <w:vAlign w:val="center"/>
          </w:tcPr>
          <w:p w14:paraId="01FC886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080" w:type="dxa"/>
            <w:tcBorders>
              <w:top w:val="single" w:sz="4" w:space="0" w:color="auto"/>
            </w:tcBorders>
            <w:vAlign w:val="center"/>
          </w:tcPr>
          <w:p w14:paraId="500AA02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800" w:type="dxa"/>
            <w:gridSpan w:val="2"/>
            <w:tcBorders>
              <w:top w:val="single" w:sz="4" w:space="0" w:color="auto"/>
            </w:tcBorders>
            <w:vAlign w:val="center"/>
          </w:tcPr>
          <w:p w14:paraId="42ADE65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080" w:type="dxa"/>
            <w:tcBorders>
              <w:top w:val="single" w:sz="4" w:space="0" w:color="auto"/>
            </w:tcBorders>
            <w:vAlign w:val="center"/>
          </w:tcPr>
          <w:p w14:paraId="246B362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r>
      <w:tr w:rsidR="00B4734E" w:rsidRPr="00EA2C5D" w14:paraId="0B64A0A9" w14:textId="77777777" w:rsidTr="008D4038">
        <w:tc>
          <w:tcPr>
            <w:tcW w:w="720" w:type="dxa"/>
            <w:vAlign w:val="center"/>
          </w:tcPr>
          <w:p w14:paraId="213A9460"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1969</w:t>
            </w:r>
          </w:p>
        </w:tc>
        <w:tc>
          <w:tcPr>
            <w:tcW w:w="1530" w:type="dxa"/>
            <w:vAlign w:val="center"/>
          </w:tcPr>
          <w:p w14:paraId="5F5AE716"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14.1</w:t>
            </w:r>
          </w:p>
        </w:tc>
        <w:tc>
          <w:tcPr>
            <w:tcW w:w="1392" w:type="dxa"/>
            <w:vAlign w:val="center"/>
          </w:tcPr>
          <w:p w14:paraId="3D602A6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25.0%</w:t>
            </w:r>
          </w:p>
        </w:tc>
        <w:tc>
          <w:tcPr>
            <w:tcW w:w="1218" w:type="dxa"/>
            <w:vAlign w:val="center"/>
          </w:tcPr>
          <w:p w14:paraId="2D46C0F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506.5</w:t>
            </w:r>
          </w:p>
        </w:tc>
        <w:tc>
          <w:tcPr>
            <w:tcW w:w="900" w:type="dxa"/>
            <w:gridSpan w:val="2"/>
            <w:vAlign w:val="center"/>
          </w:tcPr>
          <w:p w14:paraId="0E6511D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w:t>
            </w:r>
          </w:p>
        </w:tc>
        <w:tc>
          <w:tcPr>
            <w:tcW w:w="1752" w:type="dxa"/>
            <w:vAlign w:val="center"/>
          </w:tcPr>
          <w:p w14:paraId="5669CCE7"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2148.7 ± 581.4</w:t>
            </w:r>
          </w:p>
        </w:tc>
        <w:tc>
          <w:tcPr>
            <w:tcW w:w="1080" w:type="dxa"/>
            <w:vAlign w:val="center"/>
          </w:tcPr>
          <w:p w14:paraId="33E6A06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1718.7</w:t>
            </w:r>
          </w:p>
        </w:tc>
        <w:tc>
          <w:tcPr>
            <w:tcW w:w="1800" w:type="dxa"/>
            <w:gridSpan w:val="2"/>
            <w:vAlign w:val="center"/>
          </w:tcPr>
          <w:p w14:paraId="31A5154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5556.0 ± 3245.6</w:t>
            </w:r>
          </w:p>
        </w:tc>
        <w:tc>
          <w:tcPr>
            <w:tcW w:w="1080" w:type="dxa"/>
            <w:vAlign w:val="center"/>
          </w:tcPr>
          <w:p w14:paraId="252EB1B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5674.9</w:t>
            </w:r>
          </w:p>
        </w:tc>
      </w:tr>
      <w:tr w:rsidR="00B4734E" w:rsidRPr="00EA2C5D" w14:paraId="35AB4458" w14:textId="77777777" w:rsidTr="008D4038">
        <w:tc>
          <w:tcPr>
            <w:tcW w:w="720" w:type="dxa"/>
            <w:vAlign w:val="center"/>
          </w:tcPr>
          <w:p w14:paraId="2E742B7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1990</w:t>
            </w:r>
          </w:p>
        </w:tc>
        <w:tc>
          <w:tcPr>
            <w:tcW w:w="1530" w:type="dxa"/>
            <w:vAlign w:val="center"/>
          </w:tcPr>
          <w:p w14:paraId="39B362C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10.2</w:t>
            </w:r>
          </w:p>
        </w:tc>
        <w:tc>
          <w:tcPr>
            <w:tcW w:w="1392" w:type="dxa"/>
            <w:vAlign w:val="center"/>
          </w:tcPr>
          <w:p w14:paraId="31E1F04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40.0%</w:t>
            </w:r>
          </w:p>
        </w:tc>
        <w:tc>
          <w:tcPr>
            <w:tcW w:w="1218" w:type="dxa"/>
            <w:vAlign w:val="center"/>
          </w:tcPr>
          <w:p w14:paraId="43CC525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633.3</w:t>
            </w:r>
          </w:p>
        </w:tc>
        <w:tc>
          <w:tcPr>
            <w:tcW w:w="900" w:type="dxa"/>
            <w:gridSpan w:val="2"/>
            <w:vAlign w:val="center"/>
          </w:tcPr>
          <w:p w14:paraId="107F154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686.7</w:t>
            </w:r>
          </w:p>
        </w:tc>
        <w:tc>
          <w:tcPr>
            <w:tcW w:w="1752" w:type="dxa"/>
            <w:vAlign w:val="center"/>
          </w:tcPr>
          <w:p w14:paraId="765FA6B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698.9 ± 178.2</w:t>
            </w:r>
          </w:p>
        </w:tc>
        <w:tc>
          <w:tcPr>
            <w:tcW w:w="1080" w:type="dxa"/>
            <w:vAlign w:val="center"/>
          </w:tcPr>
          <w:p w14:paraId="4E8CCD7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889.3</w:t>
            </w:r>
          </w:p>
        </w:tc>
        <w:tc>
          <w:tcPr>
            <w:tcW w:w="1800" w:type="dxa"/>
            <w:gridSpan w:val="2"/>
            <w:vAlign w:val="center"/>
          </w:tcPr>
          <w:p w14:paraId="0AB2632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7460.9 ± 8298.7</w:t>
            </w:r>
          </w:p>
        </w:tc>
        <w:tc>
          <w:tcPr>
            <w:tcW w:w="1080" w:type="dxa"/>
            <w:vAlign w:val="center"/>
          </w:tcPr>
          <w:p w14:paraId="7892E01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5043.7</w:t>
            </w:r>
          </w:p>
        </w:tc>
      </w:tr>
      <w:tr w:rsidR="00B4734E" w:rsidRPr="00EA2C5D" w14:paraId="3EB0028C" w14:textId="77777777" w:rsidTr="008D4038">
        <w:tc>
          <w:tcPr>
            <w:tcW w:w="720" w:type="dxa"/>
            <w:vAlign w:val="center"/>
          </w:tcPr>
          <w:p w14:paraId="0669BF2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2012</w:t>
            </w:r>
          </w:p>
        </w:tc>
        <w:tc>
          <w:tcPr>
            <w:tcW w:w="1530" w:type="dxa"/>
            <w:vAlign w:val="center"/>
          </w:tcPr>
          <w:p w14:paraId="21D73D8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5.0</w:t>
            </w:r>
          </w:p>
        </w:tc>
        <w:tc>
          <w:tcPr>
            <w:tcW w:w="1392" w:type="dxa"/>
            <w:vAlign w:val="center"/>
          </w:tcPr>
          <w:p w14:paraId="5960D96F"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65.0%</w:t>
            </w:r>
          </w:p>
        </w:tc>
        <w:tc>
          <w:tcPr>
            <w:tcW w:w="1218" w:type="dxa"/>
            <w:vAlign w:val="center"/>
          </w:tcPr>
          <w:p w14:paraId="73824C4A"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844.7</w:t>
            </w:r>
          </w:p>
        </w:tc>
        <w:tc>
          <w:tcPr>
            <w:tcW w:w="900" w:type="dxa"/>
            <w:gridSpan w:val="2"/>
            <w:vAlign w:val="center"/>
          </w:tcPr>
          <w:p w14:paraId="68B5B25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811.5</w:t>
            </w:r>
          </w:p>
        </w:tc>
        <w:tc>
          <w:tcPr>
            <w:tcW w:w="1752" w:type="dxa"/>
            <w:vAlign w:val="center"/>
          </w:tcPr>
          <w:p w14:paraId="1D87660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220.4 ± 88.4</w:t>
            </w:r>
          </w:p>
        </w:tc>
        <w:tc>
          <w:tcPr>
            <w:tcW w:w="1080" w:type="dxa"/>
            <w:vAlign w:val="center"/>
          </w:tcPr>
          <w:p w14:paraId="6E62241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186.7</w:t>
            </w:r>
          </w:p>
        </w:tc>
        <w:tc>
          <w:tcPr>
            <w:tcW w:w="1800" w:type="dxa"/>
            <w:gridSpan w:val="2"/>
            <w:vAlign w:val="center"/>
          </w:tcPr>
          <w:p w14:paraId="461032E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2612.3 ± 1422.2</w:t>
            </w:r>
          </w:p>
        </w:tc>
        <w:tc>
          <w:tcPr>
            <w:tcW w:w="1080" w:type="dxa"/>
            <w:vAlign w:val="center"/>
          </w:tcPr>
          <w:p w14:paraId="767D443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3596.3</w:t>
            </w:r>
          </w:p>
        </w:tc>
      </w:tr>
      <w:tr w:rsidR="00B4734E" w:rsidRPr="00EA2C5D" w14:paraId="190A0DDA" w14:textId="77777777" w:rsidTr="008D4038">
        <w:tc>
          <w:tcPr>
            <w:tcW w:w="720" w:type="dxa"/>
          </w:tcPr>
          <w:p w14:paraId="015E90CD" w14:textId="77777777" w:rsidR="00B4734E" w:rsidRPr="00EA2C5D" w:rsidRDefault="00B4734E" w:rsidP="00B4734E">
            <w:pPr>
              <w:contextualSpacing/>
              <w:rPr>
                <w:rFonts w:ascii="Arial" w:hAnsi="Arial" w:cs="Arial"/>
                <w:sz w:val="20"/>
                <w:szCs w:val="20"/>
              </w:rPr>
            </w:pPr>
          </w:p>
        </w:tc>
        <w:tc>
          <w:tcPr>
            <w:tcW w:w="1530" w:type="dxa"/>
          </w:tcPr>
          <w:p w14:paraId="23E5B715" w14:textId="77777777" w:rsidR="00B4734E" w:rsidRPr="00EA2C5D" w:rsidRDefault="00B4734E" w:rsidP="00B4734E">
            <w:pPr>
              <w:contextualSpacing/>
              <w:rPr>
                <w:rFonts w:ascii="Arial" w:hAnsi="Arial" w:cs="Arial"/>
                <w:sz w:val="20"/>
                <w:szCs w:val="20"/>
              </w:rPr>
            </w:pPr>
          </w:p>
        </w:tc>
        <w:tc>
          <w:tcPr>
            <w:tcW w:w="1392" w:type="dxa"/>
          </w:tcPr>
          <w:p w14:paraId="3EAD535B" w14:textId="77777777" w:rsidR="00B4734E" w:rsidRPr="00EA2C5D" w:rsidRDefault="00B4734E" w:rsidP="00B4734E">
            <w:pPr>
              <w:contextualSpacing/>
              <w:rPr>
                <w:rFonts w:ascii="Arial" w:hAnsi="Arial" w:cs="Arial"/>
                <w:sz w:val="20"/>
                <w:szCs w:val="20"/>
              </w:rPr>
            </w:pPr>
          </w:p>
        </w:tc>
        <w:tc>
          <w:tcPr>
            <w:tcW w:w="1218" w:type="dxa"/>
          </w:tcPr>
          <w:p w14:paraId="1A63AE47" w14:textId="77777777" w:rsidR="00B4734E" w:rsidRPr="00EA2C5D" w:rsidRDefault="00B4734E" w:rsidP="00B4734E">
            <w:pPr>
              <w:contextualSpacing/>
              <w:rPr>
                <w:rFonts w:ascii="Arial" w:hAnsi="Arial" w:cs="Arial"/>
                <w:sz w:val="20"/>
                <w:szCs w:val="20"/>
              </w:rPr>
            </w:pPr>
          </w:p>
        </w:tc>
        <w:tc>
          <w:tcPr>
            <w:tcW w:w="900" w:type="dxa"/>
            <w:gridSpan w:val="2"/>
          </w:tcPr>
          <w:p w14:paraId="7D219E46" w14:textId="77777777" w:rsidR="00B4734E" w:rsidRPr="00EA2C5D" w:rsidRDefault="00B4734E" w:rsidP="00B4734E">
            <w:pPr>
              <w:contextualSpacing/>
              <w:rPr>
                <w:rFonts w:ascii="Arial" w:hAnsi="Arial" w:cs="Arial"/>
                <w:sz w:val="20"/>
                <w:szCs w:val="20"/>
              </w:rPr>
            </w:pPr>
          </w:p>
        </w:tc>
        <w:tc>
          <w:tcPr>
            <w:tcW w:w="1752" w:type="dxa"/>
          </w:tcPr>
          <w:p w14:paraId="0DC1E462" w14:textId="77777777" w:rsidR="00B4734E" w:rsidRPr="00EA2C5D" w:rsidRDefault="00B4734E" w:rsidP="00B4734E">
            <w:pPr>
              <w:contextualSpacing/>
              <w:rPr>
                <w:rFonts w:ascii="Arial" w:hAnsi="Arial" w:cs="Arial"/>
                <w:sz w:val="20"/>
                <w:szCs w:val="20"/>
              </w:rPr>
            </w:pPr>
          </w:p>
        </w:tc>
        <w:tc>
          <w:tcPr>
            <w:tcW w:w="1080" w:type="dxa"/>
          </w:tcPr>
          <w:p w14:paraId="62634E4E" w14:textId="77777777" w:rsidR="00B4734E" w:rsidRPr="00EA2C5D" w:rsidRDefault="00B4734E" w:rsidP="00B4734E">
            <w:pPr>
              <w:contextualSpacing/>
              <w:rPr>
                <w:rFonts w:ascii="Arial" w:hAnsi="Arial" w:cs="Arial"/>
                <w:sz w:val="20"/>
                <w:szCs w:val="20"/>
              </w:rPr>
            </w:pPr>
          </w:p>
        </w:tc>
        <w:tc>
          <w:tcPr>
            <w:tcW w:w="1800" w:type="dxa"/>
            <w:gridSpan w:val="2"/>
          </w:tcPr>
          <w:p w14:paraId="16BFE3D9" w14:textId="77777777" w:rsidR="00B4734E" w:rsidRPr="00EA2C5D" w:rsidRDefault="00B4734E" w:rsidP="00B4734E">
            <w:pPr>
              <w:contextualSpacing/>
              <w:rPr>
                <w:rFonts w:ascii="Arial" w:hAnsi="Arial" w:cs="Arial"/>
                <w:sz w:val="20"/>
                <w:szCs w:val="20"/>
              </w:rPr>
            </w:pPr>
          </w:p>
        </w:tc>
        <w:tc>
          <w:tcPr>
            <w:tcW w:w="1080" w:type="dxa"/>
          </w:tcPr>
          <w:p w14:paraId="5A94C9AE" w14:textId="77777777" w:rsidR="00B4734E" w:rsidRPr="00EA2C5D" w:rsidRDefault="00B4734E" w:rsidP="00B4734E">
            <w:pPr>
              <w:contextualSpacing/>
              <w:rPr>
                <w:rFonts w:ascii="Arial" w:hAnsi="Arial" w:cs="Arial"/>
                <w:sz w:val="20"/>
                <w:szCs w:val="20"/>
              </w:rPr>
            </w:pPr>
          </w:p>
        </w:tc>
      </w:tr>
      <w:tr w:rsidR="00B4734E" w:rsidRPr="00EA2C5D" w14:paraId="175E6D47" w14:textId="77777777" w:rsidTr="008D4038">
        <w:tc>
          <w:tcPr>
            <w:tcW w:w="720" w:type="dxa"/>
          </w:tcPr>
          <w:p w14:paraId="31C21E6A" w14:textId="77777777" w:rsidR="00B4734E" w:rsidRPr="00EA2C5D" w:rsidRDefault="00B4734E" w:rsidP="00B4734E">
            <w:pPr>
              <w:contextualSpacing/>
              <w:rPr>
                <w:rFonts w:ascii="Arial" w:hAnsi="Arial" w:cs="Arial"/>
                <w:sz w:val="20"/>
                <w:szCs w:val="20"/>
              </w:rPr>
            </w:pPr>
          </w:p>
        </w:tc>
        <w:tc>
          <w:tcPr>
            <w:tcW w:w="2922" w:type="dxa"/>
            <w:gridSpan w:val="2"/>
            <w:vAlign w:val="center"/>
          </w:tcPr>
          <w:p w14:paraId="7F15A783" w14:textId="306462A2" w:rsidR="00B4734E" w:rsidRPr="00EA2C5D" w:rsidRDefault="003712EB"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 xml:space="preserve">Soil organic N (g N </w:t>
            </w:r>
            <w:r w:rsidR="00B4734E" w:rsidRPr="00EA2C5D">
              <w:rPr>
                <w:rFonts w:ascii="Arial" w:eastAsia="Times New Roman" w:hAnsi="Arial" w:cs="Arial"/>
                <w:color w:val="000000"/>
                <w:sz w:val="20"/>
                <w:szCs w:val="20"/>
              </w:rPr>
              <w:t>m</w:t>
            </w:r>
            <w:r w:rsidRPr="00EA2C5D">
              <w:rPr>
                <w:rFonts w:ascii="Arial" w:eastAsia="Times New Roman" w:hAnsi="Arial" w:cs="Arial"/>
                <w:color w:val="000000"/>
                <w:sz w:val="20"/>
                <w:szCs w:val="20"/>
                <w:vertAlign w:val="superscript"/>
              </w:rPr>
              <w:t>-2</w:t>
            </w:r>
            <w:r w:rsidR="00B4734E" w:rsidRPr="00EA2C5D">
              <w:rPr>
                <w:rFonts w:ascii="Arial" w:eastAsia="Times New Roman" w:hAnsi="Arial" w:cs="Arial"/>
                <w:color w:val="000000"/>
                <w:sz w:val="20"/>
                <w:szCs w:val="20"/>
              </w:rPr>
              <w:t>)</w:t>
            </w:r>
          </w:p>
        </w:tc>
        <w:tc>
          <w:tcPr>
            <w:tcW w:w="3870" w:type="dxa"/>
            <w:gridSpan w:val="4"/>
            <w:vAlign w:val="center"/>
          </w:tcPr>
          <w:p w14:paraId="7CC85914" w14:textId="77777777" w:rsidR="00B4734E" w:rsidRPr="00EA2C5D" w:rsidRDefault="00B4734E" w:rsidP="00B4734E">
            <w:pPr>
              <w:contextualSpacing/>
              <w:rPr>
                <w:rFonts w:ascii="Arial" w:hAnsi="Arial" w:cs="Arial"/>
                <w:sz w:val="20"/>
                <w:szCs w:val="20"/>
              </w:rPr>
            </w:pPr>
            <w:r w:rsidRPr="00EA2C5D">
              <w:rPr>
                <w:rFonts w:ascii="Arial" w:eastAsia="Times New Roman" w:hAnsi="Arial" w:cs="Arial"/>
                <w:color w:val="000000"/>
                <w:sz w:val="20"/>
                <w:szCs w:val="20"/>
              </w:rPr>
              <w:t>5cm soil temperature (°C)</w:t>
            </w:r>
          </w:p>
        </w:tc>
        <w:tc>
          <w:tcPr>
            <w:tcW w:w="3960" w:type="dxa"/>
            <w:gridSpan w:val="4"/>
          </w:tcPr>
          <w:p w14:paraId="2D0E4449" w14:textId="77777777" w:rsidR="00B4734E" w:rsidRPr="00EA2C5D" w:rsidRDefault="00B4734E" w:rsidP="00B4734E">
            <w:pPr>
              <w:contextualSpacing/>
              <w:rPr>
                <w:rFonts w:ascii="Arial" w:hAnsi="Arial" w:cs="Arial"/>
                <w:sz w:val="20"/>
                <w:szCs w:val="20"/>
              </w:rPr>
            </w:pPr>
            <w:r w:rsidRPr="00EA2C5D">
              <w:rPr>
                <w:rFonts w:ascii="Arial" w:eastAsia="Times New Roman" w:hAnsi="Arial" w:cs="Arial"/>
                <w:color w:val="000000"/>
                <w:sz w:val="20"/>
                <w:szCs w:val="20"/>
              </w:rPr>
              <w:t>10cm soil temperature (°C)</w:t>
            </w:r>
          </w:p>
        </w:tc>
      </w:tr>
      <w:tr w:rsidR="00B4734E" w:rsidRPr="00EA2C5D" w14:paraId="16E2062A" w14:textId="77777777" w:rsidTr="008D4038">
        <w:tc>
          <w:tcPr>
            <w:tcW w:w="720" w:type="dxa"/>
          </w:tcPr>
          <w:p w14:paraId="1C92FE95" w14:textId="77777777" w:rsidR="00B4734E" w:rsidRPr="00EA2C5D" w:rsidRDefault="00B4734E" w:rsidP="00B4734E">
            <w:pPr>
              <w:contextualSpacing/>
              <w:rPr>
                <w:rFonts w:ascii="Arial" w:hAnsi="Arial" w:cs="Arial"/>
                <w:sz w:val="20"/>
                <w:szCs w:val="20"/>
              </w:rPr>
            </w:pPr>
          </w:p>
        </w:tc>
        <w:tc>
          <w:tcPr>
            <w:tcW w:w="1530" w:type="dxa"/>
            <w:vAlign w:val="center"/>
          </w:tcPr>
          <w:p w14:paraId="4E3D600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1392" w:type="dxa"/>
            <w:vAlign w:val="center"/>
          </w:tcPr>
          <w:p w14:paraId="239A252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758" w:type="dxa"/>
            <w:gridSpan w:val="2"/>
            <w:vAlign w:val="center"/>
          </w:tcPr>
          <w:p w14:paraId="6B90ABAD"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2112" w:type="dxa"/>
            <w:gridSpan w:val="2"/>
            <w:vAlign w:val="center"/>
          </w:tcPr>
          <w:p w14:paraId="2816E98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c>
          <w:tcPr>
            <w:tcW w:w="1398" w:type="dxa"/>
            <w:gridSpan w:val="2"/>
            <w:vAlign w:val="center"/>
          </w:tcPr>
          <w:p w14:paraId="1208FC2B"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measured</w:t>
            </w:r>
          </w:p>
        </w:tc>
        <w:tc>
          <w:tcPr>
            <w:tcW w:w="2562" w:type="dxa"/>
            <w:gridSpan w:val="2"/>
            <w:vAlign w:val="center"/>
          </w:tcPr>
          <w:p w14:paraId="7DBEAC39"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modeled</w:t>
            </w:r>
          </w:p>
        </w:tc>
      </w:tr>
      <w:tr w:rsidR="00B4734E" w:rsidRPr="00EA2C5D" w14:paraId="7D7567E7" w14:textId="77777777" w:rsidTr="008D4038">
        <w:tc>
          <w:tcPr>
            <w:tcW w:w="720" w:type="dxa"/>
            <w:vAlign w:val="center"/>
          </w:tcPr>
          <w:p w14:paraId="78132BA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1969</w:t>
            </w:r>
          </w:p>
        </w:tc>
        <w:tc>
          <w:tcPr>
            <w:tcW w:w="1530" w:type="dxa"/>
            <w:vAlign w:val="center"/>
          </w:tcPr>
          <w:p w14:paraId="127FBBC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197.0 ± 4.1</w:t>
            </w:r>
          </w:p>
        </w:tc>
        <w:tc>
          <w:tcPr>
            <w:tcW w:w="1392" w:type="dxa"/>
            <w:vAlign w:val="center"/>
          </w:tcPr>
          <w:p w14:paraId="4953AE0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258.3</w:t>
            </w:r>
          </w:p>
        </w:tc>
        <w:tc>
          <w:tcPr>
            <w:tcW w:w="1758" w:type="dxa"/>
            <w:gridSpan w:val="2"/>
            <w:vAlign w:val="center"/>
          </w:tcPr>
          <w:p w14:paraId="2A47986F"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7.6 ± 2.0</w:t>
            </w:r>
          </w:p>
        </w:tc>
        <w:tc>
          <w:tcPr>
            <w:tcW w:w="2112" w:type="dxa"/>
            <w:gridSpan w:val="2"/>
            <w:vAlign w:val="center"/>
          </w:tcPr>
          <w:p w14:paraId="17AFB10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9.2</w:t>
            </w:r>
          </w:p>
        </w:tc>
        <w:tc>
          <w:tcPr>
            <w:tcW w:w="1398" w:type="dxa"/>
            <w:gridSpan w:val="2"/>
            <w:vAlign w:val="center"/>
          </w:tcPr>
          <w:p w14:paraId="4A26C65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5.3 ± 1.1</w:t>
            </w:r>
          </w:p>
        </w:tc>
        <w:tc>
          <w:tcPr>
            <w:tcW w:w="2562" w:type="dxa"/>
            <w:gridSpan w:val="2"/>
            <w:vAlign w:val="center"/>
          </w:tcPr>
          <w:p w14:paraId="4C94A47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7.5</w:t>
            </w:r>
          </w:p>
        </w:tc>
      </w:tr>
      <w:tr w:rsidR="00B4734E" w:rsidRPr="00EA2C5D" w14:paraId="1778182F" w14:textId="77777777" w:rsidTr="008D4038">
        <w:trPr>
          <w:trHeight w:val="70"/>
        </w:trPr>
        <w:tc>
          <w:tcPr>
            <w:tcW w:w="720" w:type="dxa"/>
            <w:vAlign w:val="center"/>
          </w:tcPr>
          <w:p w14:paraId="1C1FF57E"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1990</w:t>
            </w:r>
          </w:p>
        </w:tc>
        <w:tc>
          <w:tcPr>
            <w:tcW w:w="1530" w:type="dxa"/>
            <w:vAlign w:val="center"/>
          </w:tcPr>
          <w:p w14:paraId="11199DE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264.6 ± 10.4</w:t>
            </w:r>
          </w:p>
        </w:tc>
        <w:tc>
          <w:tcPr>
            <w:tcW w:w="1392" w:type="dxa"/>
            <w:vAlign w:val="center"/>
          </w:tcPr>
          <w:p w14:paraId="1ECB19B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209.9</w:t>
            </w:r>
          </w:p>
        </w:tc>
        <w:tc>
          <w:tcPr>
            <w:tcW w:w="1758" w:type="dxa"/>
            <w:gridSpan w:val="2"/>
            <w:vAlign w:val="center"/>
          </w:tcPr>
          <w:p w14:paraId="70A6F5F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9.8 ± 0.5</w:t>
            </w:r>
          </w:p>
        </w:tc>
        <w:tc>
          <w:tcPr>
            <w:tcW w:w="2112" w:type="dxa"/>
            <w:gridSpan w:val="2"/>
            <w:vAlign w:val="center"/>
          </w:tcPr>
          <w:p w14:paraId="50371F88"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8</w:t>
            </w:r>
            <w:r w:rsidRPr="00EA2C5D">
              <w:rPr>
                <w:rFonts w:ascii="Arial" w:hAnsi="Arial" w:cs="Arial"/>
                <w:color w:val="000000"/>
                <w:sz w:val="20"/>
                <w:szCs w:val="20"/>
              </w:rPr>
              <w:t>.0</w:t>
            </w:r>
          </w:p>
        </w:tc>
        <w:tc>
          <w:tcPr>
            <w:tcW w:w="1398" w:type="dxa"/>
            <w:gridSpan w:val="2"/>
            <w:vAlign w:val="center"/>
          </w:tcPr>
          <w:p w14:paraId="6DC188BC"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7.7 ± 0.9</w:t>
            </w:r>
          </w:p>
        </w:tc>
        <w:tc>
          <w:tcPr>
            <w:tcW w:w="2562" w:type="dxa"/>
            <w:gridSpan w:val="2"/>
            <w:vAlign w:val="center"/>
          </w:tcPr>
          <w:p w14:paraId="34A77674"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6.9</w:t>
            </w:r>
          </w:p>
        </w:tc>
      </w:tr>
      <w:tr w:rsidR="00B4734E" w:rsidRPr="00EA2C5D" w14:paraId="73729B09" w14:textId="77777777" w:rsidTr="008D4038">
        <w:tc>
          <w:tcPr>
            <w:tcW w:w="720" w:type="dxa"/>
            <w:vAlign w:val="center"/>
          </w:tcPr>
          <w:p w14:paraId="754486F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2012</w:t>
            </w:r>
          </w:p>
        </w:tc>
        <w:tc>
          <w:tcPr>
            <w:tcW w:w="1530" w:type="dxa"/>
            <w:vAlign w:val="center"/>
          </w:tcPr>
          <w:p w14:paraId="60FA549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108.1 ± 2.4</w:t>
            </w:r>
          </w:p>
        </w:tc>
        <w:tc>
          <w:tcPr>
            <w:tcW w:w="1392" w:type="dxa"/>
            <w:vAlign w:val="center"/>
          </w:tcPr>
          <w:p w14:paraId="7E8B50B5"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124.4</w:t>
            </w:r>
          </w:p>
        </w:tc>
        <w:tc>
          <w:tcPr>
            <w:tcW w:w="1758" w:type="dxa"/>
            <w:gridSpan w:val="2"/>
            <w:vAlign w:val="center"/>
          </w:tcPr>
          <w:p w14:paraId="41A430A1"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9.6 ± 2.8</w:t>
            </w:r>
          </w:p>
        </w:tc>
        <w:tc>
          <w:tcPr>
            <w:tcW w:w="2112" w:type="dxa"/>
            <w:gridSpan w:val="2"/>
            <w:vAlign w:val="center"/>
          </w:tcPr>
          <w:p w14:paraId="52EA7A83"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7.8</w:t>
            </w:r>
          </w:p>
        </w:tc>
        <w:tc>
          <w:tcPr>
            <w:tcW w:w="1398" w:type="dxa"/>
            <w:gridSpan w:val="2"/>
            <w:vAlign w:val="center"/>
          </w:tcPr>
          <w:p w14:paraId="086ACE42"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6.8 ± 2.1</w:t>
            </w:r>
          </w:p>
        </w:tc>
        <w:tc>
          <w:tcPr>
            <w:tcW w:w="2562" w:type="dxa"/>
            <w:gridSpan w:val="2"/>
            <w:vAlign w:val="center"/>
          </w:tcPr>
          <w:p w14:paraId="04776537" w14:textId="77777777" w:rsidR="00B4734E" w:rsidRPr="00EA2C5D" w:rsidRDefault="00B4734E" w:rsidP="00B4734E">
            <w:pPr>
              <w:contextualSpacing/>
              <w:rPr>
                <w:rFonts w:ascii="Arial" w:eastAsia="Times New Roman" w:hAnsi="Arial" w:cs="Arial"/>
                <w:color w:val="000000"/>
                <w:sz w:val="20"/>
                <w:szCs w:val="20"/>
              </w:rPr>
            </w:pPr>
            <w:r w:rsidRPr="00EA2C5D">
              <w:rPr>
                <w:rFonts w:ascii="Arial" w:eastAsia="Times New Roman" w:hAnsi="Arial" w:cs="Arial"/>
                <w:color w:val="000000"/>
                <w:sz w:val="20"/>
                <w:szCs w:val="20"/>
              </w:rPr>
              <w:t>7.6</w:t>
            </w:r>
          </w:p>
        </w:tc>
      </w:tr>
    </w:tbl>
    <w:p w14:paraId="783797A3" w14:textId="77777777" w:rsidR="00B4734E" w:rsidRDefault="00B4734E">
      <w:pPr>
        <w:rPr>
          <w:rFonts w:ascii="Arial" w:hAnsi="Arial" w:cs="Arial"/>
          <w:bCs/>
          <w:kern w:val="32"/>
          <w:sz w:val="20"/>
        </w:rPr>
      </w:pPr>
      <w:r>
        <w:rPr>
          <w:rFonts w:ascii="Arial" w:hAnsi="Arial" w:cs="Arial"/>
          <w:b/>
          <w:sz w:val="20"/>
        </w:rPr>
        <w:br w:type="page"/>
      </w:r>
    </w:p>
    <w:p w14:paraId="6C96BED5" w14:textId="5F8EFE61" w:rsidR="00820484" w:rsidRDefault="00F514EC" w:rsidP="00477182">
      <w:pPr>
        <w:pStyle w:val="SMcaption"/>
        <w:rPr>
          <w:rFonts w:ascii="Arial" w:hAnsi="Arial" w:cs="Arial"/>
          <w:b/>
          <w:sz w:val="20"/>
        </w:rPr>
      </w:pPr>
      <w:r>
        <w:rPr>
          <w:rFonts w:ascii="Arial" w:hAnsi="Arial" w:cs="Arial"/>
          <w:b/>
          <w:sz w:val="20"/>
        </w:rPr>
        <w:lastRenderedPageBreak/>
        <w:t xml:space="preserve">SI </w:t>
      </w:r>
      <w:r w:rsidR="00820484" w:rsidRPr="00840BB2">
        <w:rPr>
          <w:rFonts w:ascii="Arial" w:hAnsi="Arial" w:cs="Arial"/>
          <w:b/>
          <w:sz w:val="20"/>
        </w:rPr>
        <w:t>References</w:t>
      </w:r>
    </w:p>
    <w:p w14:paraId="1444A193" w14:textId="77777777" w:rsidR="004959D3" w:rsidRPr="00BD0D69" w:rsidRDefault="004959D3" w:rsidP="0088501A">
      <w:pPr>
        <w:pStyle w:val="NormalWeb"/>
        <w:shd w:val="clear" w:color="auto" w:fill="FFFFFF"/>
        <w:textAlignment w:val="baseline"/>
        <w:rPr>
          <w:rFonts w:ascii="Arial" w:hAnsi="Arial" w:cs="Arial"/>
          <w:color w:val="333333"/>
          <w:sz w:val="20"/>
          <w:szCs w:val="20"/>
        </w:rPr>
      </w:pPr>
    </w:p>
    <w:p w14:paraId="6F69D134" w14:textId="77777777" w:rsidR="005D7701" w:rsidRPr="005D7701" w:rsidRDefault="004959D3" w:rsidP="005D7701">
      <w:pPr>
        <w:pStyle w:val="EndNoteBibliography"/>
        <w:ind w:left="720" w:hanging="720"/>
      </w:pPr>
      <w:r w:rsidRPr="00BD0D69">
        <w:rPr>
          <w:rFonts w:ascii="Arial" w:hAnsi="Arial" w:cs="Arial"/>
          <w:color w:val="333333"/>
          <w:sz w:val="20"/>
        </w:rPr>
        <w:fldChar w:fldCharType="begin"/>
      </w:r>
      <w:r w:rsidRPr="00BD0D69">
        <w:rPr>
          <w:rFonts w:ascii="Arial" w:hAnsi="Arial" w:cs="Arial"/>
          <w:color w:val="333333"/>
          <w:sz w:val="20"/>
        </w:rPr>
        <w:instrText xml:space="preserve"> ADDIN EN.REFLIST </w:instrText>
      </w:r>
      <w:r w:rsidRPr="00BD0D69">
        <w:rPr>
          <w:rFonts w:ascii="Arial" w:hAnsi="Arial" w:cs="Arial"/>
          <w:color w:val="333333"/>
          <w:sz w:val="20"/>
        </w:rPr>
        <w:fldChar w:fldCharType="separate"/>
      </w:r>
      <w:r w:rsidR="005D7701" w:rsidRPr="005D7701">
        <w:t>1</w:t>
      </w:r>
      <w:r w:rsidR="005D7701" w:rsidRPr="005D7701">
        <w:tab/>
        <w:t xml:space="preserve">Veraverbeke, S., Rogers, B. M. &amp; Randerson, J. T. Daily burned area and carbon emissions from boreal fires in Alaska. </w:t>
      </w:r>
      <w:r w:rsidR="005D7701" w:rsidRPr="005D7701">
        <w:rPr>
          <w:i/>
        </w:rPr>
        <w:t>Biogeosciences</w:t>
      </w:r>
      <w:r w:rsidR="005D7701" w:rsidRPr="005D7701">
        <w:t xml:space="preserve"> </w:t>
      </w:r>
      <w:r w:rsidR="005D7701" w:rsidRPr="005D7701">
        <w:rPr>
          <w:b/>
        </w:rPr>
        <w:t>12</w:t>
      </w:r>
      <w:r w:rsidR="005D7701" w:rsidRPr="005D7701">
        <w:t>, 3579-3601, doi:10.5194/bg-12-3579-2015 (2015).</w:t>
      </w:r>
    </w:p>
    <w:p w14:paraId="140A44A3" w14:textId="77777777" w:rsidR="005D7701" w:rsidRPr="005D7701" w:rsidRDefault="005D7701" w:rsidP="005D7701">
      <w:pPr>
        <w:pStyle w:val="EndNoteBibliography"/>
        <w:ind w:left="720" w:hanging="720"/>
      </w:pPr>
      <w:r w:rsidRPr="005D7701">
        <w:t>2</w:t>
      </w:r>
      <w:r w:rsidRPr="005D7701">
        <w:tab/>
        <w:t>Rogers, B. M.</w:t>
      </w:r>
      <w:r w:rsidRPr="005D7701">
        <w:rPr>
          <w:i/>
        </w:rPr>
        <w:t xml:space="preserve"> et al.</w:t>
      </w:r>
      <w:r w:rsidRPr="005D7701">
        <w:t xml:space="preserve"> Quantifying fire-wide carbon emissions in interior Alaska using field measurements and Landsat imagery. </w:t>
      </w:r>
      <w:r w:rsidRPr="005D7701">
        <w:rPr>
          <w:i/>
        </w:rPr>
        <w:t>Journal of Geophysical Research: Biogeosciences</w:t>
      </w:r>
      <w:r w:rsidRPr="005D7701">
        <w:t xml:space="preserve"> </w:t>
      </w:r>
      <w:r w:rsidRPr="005D7701">
        <w:rPr>
          <w:b/>
        </w:rPr>
        <w:t>119</w:t>
      </w:r>
      <w:r w:rsidRPr="005D7701">
        <w:t>, 1608-1629, doi:10.1002/2014jg002657 (2014).</w:t>
      </w:r>
    </w:p>
    <w:p w14:paraId="49442D23" w14:textId="77777777" w:rsidR="005D7701" w:rsidRPr="005D7701" w:rsidRDefault="005D7701" w:rsidP="005D7701">
      <w:pPr>
        <w:pStyle w:val="EndNoteBibliography"/>
        <w:ind w:left="720" w:hanging="720"/>
      </w:pPr>
      <w:r w:rsidRPr="005D7701">
        <w:t>3</w:t>
      </w:r>
      <w:r w:rsidRPr="005D7701">
        <w:tab/>
        <w:t xml:space="preserve">Boby, L. A., Schuur, E. A. G., Mack, M. C., Verbyla, D. &amp; Johnstone, J. F. Quantifying fire severity, carbon, and nitrogen emissions in Alaska's boreal forest. </w:t>
      </w:r>
      <w:r w:rsidRPr="005D7701">
        <w:rPr>
          <w:i/>
        </w:rPr>
        <w:t>Ecological Applications</w:t>
      </w:r>
      <w:r w:rsidRPr="005D7701">
        <w:t xml:space="preserve"> </w:t>
      </w:r>
      <w:r w:rsidRPr="005D7701">
        <w:rPr>
          <w:b/>
        </w:rPr>
        <w:t>20</w:t>
      </w:r>
      <w:r w:rsidRPr="005D7701">
        <w:t>, 1633-1647, doi:10.1890/08-2295.1 (2010).</w:t>
      </w:r>
    </w:p>
    <w:p w14:paraId="1023A3BD" w14:textId="77777777" w:rsidR="005D7701" w:rsidRPr="005D7701" w:rsidRDefault="005D7701" w:rsidP="005D7701">
      <w:pPr>
        <w:pStyle w:val="EndNoteBibliography"/>
        <w:ind w:left="720" w:hanging="720"/>
      </w:pPr>
      <w:r w:rsidRPr="005D7701">
        <w:t>4</w:t>
      </w:r>
      <w:r w:rsidRPr="005D7701">
        <w:tab/>
        <w:t>Randerson, J. T.</w:t>
      </w:r>
      <w:r w:rsidRPr="005D7701">
        <w:rPr>
          <w:i/>
        </w:rPr>
        <w:t xml:space="preserve"> et al.</w:t>
      </w:r>
      <w:r w:rsidRPr="005D7701">
        <w:t xml:space="preserve"> The Impact of Boreal Forest Fire on Climate Warming. </w:t>
      </w:r>
      <w:r w:rsidRPr="005D7701">
        <w:rPr>
          <w:i/>
        </w:rPr>
        <w:t>Science</w:t>
      </w:r>
      <w:r w:rsidRPr="005D7701">
        <w:t xml:space="preserve"> </w:t>
      </w:r>
      <w:r w:rsidRPr="005D7701">
        <w:rPr>
          <w:b/>
        </w:rPr>
        <w:t>314</w:t>
      </w:r>
      <w:r w:rsidRPr="005D7701">
        <w:t>, 1130, doi:10.1126/science.1132075 (2006).</w:t>
      </w:r>
    </w:p>
    <w:p w14:paraId="2A2922A1" w14:textId="77777777" w:rsidR="005D7701" w:rsidRPr="005D7701" w:rsidRDefault="005D7701" w:rsidP="005D7701">
      <w:pPr>
        <w:pStyle w:val="EndNoteBibliography"/>
        <w:ind w:left="720" w:hanging="720"/>
      </w:pPr>
      <w:r w:rsidRPr="005D7701">
        <w:t>5</w:t>
      </w:r>
      <w:r w:rsidRPr="005D7701">
        <w:tab/>
        <w:t xml:space="preserve">Kasischke, E. S. &amp; Hoy, E. E. Controls on carbon consumption during Alaskan wildland fires. </w:t>
      </w:r>
      <w:r w:rsidRPr="005D7701">
        <w:rPr>
          <w:i/>
        </w:rPr>
        <w:t>Global Change Biology</w:t>
      </w:r>
      <w:r w:rsidRPr="005D7701">
        <w:t xml:space="preserve"> </w:t>
      </w:r>
      <w:r w:rsidRPr="005D7701">
        <w:rPr>
          <w:b/>
        </w:rPr>
        <w:t>18</w:t>
      </w:r>
      <w:r w:rsidRPr="005D7701">
        <w:t>, 685-699, doi:10.1111/j.1365-2486.2011.02573.x (2012).</w:t>
      </w:r>
    </w:p>
    <w:p w14:paraId="61705E37" w14:textId="77777777" w:rsidR="005D7701" w:rsidRPr="005D7701" w:rsidRDefault="005D7701" w:rsidP="005D7701">
      <w:pPr>
        <w:pStyle w:val="EndNoteBibliography"/>
        <w:ind w:left="720" w:hanging="720"/>
      </w:pPr>
      <w:r w:rsidRPr="005D7701">
        <w:t>6</w:t>
      </w:r>
      <w:r w:rsidRPr="005D7701">
        <w:tab/>
        <w:t xml:space="preserve">Tan, Z., Tieszen, L. L., Zhu, Z., Liu, S. &amp; Howard, S. M. An estimate of carbon emissions from 2004 wildfires across Alaskan Yukon River Basin. </w:t>
      </w:r>
      <w:r w:rsidRPr="005D7701">
        <w:rPr>
          <w:i/>
        </w:rPr>
        <w:t>Carbon Balance and Management</w:t>
      </w:r>
      <w:r w:rsidRPr="005D7701">
        <w:t xml:space="preserve"> </w:t>
      </w:r>
      <w:r w:rsidRPr="005D7701">
        <w:rPr>
          <w:b/>
        </w:rPr>
        <w:t>2</w:t>
      </w:r>
      <w:r w:rsidRPr="005D7701">
        <w:t>, 12, doi:10.1186/1750-0680-2-12 (2007).</w:t>
      </w:r>
    </w:p>
    <w:p w14:paraId="676AE0BE" w14:textId="77777777" w:rsidR="005D7701" w:rsidRPr="005D7701" w:rsidRDefault="005D7701" w:rsidP="005D7701">
      <w:pPr>
        <w:pStyle w:val="EndNoteBibliography"/>
        <w:ind w:left="720" w:hanging="720"/>
      </w:pPr>
      <w:r w:rsidRPr="005D7701">
        <w:t>7</w:t>
      </w:r>
      <w:r w:rsidRPr="005D7701">
        <w:tab/>
        <w:t>Turetsky, M. R.</w:t>
      </w:r>
      <w:r w:rsidRPr="005D7701">
        <w:rPr>
          <w:i/>
        </w:rPr>
        <w:t xml:space="preserve"> et al.</w:t>
      </w:r>
      <w:r w:rsidRPr="005D7701">
        <w:t xml:space="preserve"> Recent acceleration of biomass burning and carbon losses in Alaskan forests and peatlands. </w:t>
      </w:r>
      <w:r w:rsidRPr="005D7701">
        <w:rPr>
          <w:i/>
        </w:rPr>
        <w:t>Nature Geoscience</w:t>
      </w:r>
      <w:r w:rsidRPr="005D7701">
        <w:t xml:space="preserve"> </w:t>
      </w:r>
      <w:r w:rsidRPr="005D7701">
        <w:rPr>
          <w:b/>
        </w:rPr>
        <w:t>4</w:t>
      </w:r>
      <w:r w:rsidRPr="005D7701">
        <w:t>, 27-31, doi:10.1038/ngeo1027 (2011).</w:t>
      </w:r>
    </w:p>
    <w:p w14:paraId="246EC846" w14:textId="77777777" w:rsidR="005D7701" w:rsidRPr="005D7701" w:rsidRDefault="005D7701" w:rsidP="005D7701">
      <w:pPr>
        <w:pStyle w:val="EndNoteBibliography"/>
        <w:ind w:left="720" w:hanging="720"/>
      </w:pPr>
      <w:r w:rsidRPr="005D7701">
        <w:t>8</w:t>
      </w:r>
      <w:r w:rsidRPr="005D7701">
        <w:tab/>
        <w:t>Turquety, S.</w:t>
      </w:r>
      <w:r w:rsidRPr="005D7701">
        <w:rPr>
          <w:i/>
        </w:rPr>
        <w:t xml:space="preserve"> et al.</w:t>
      </w:r>
      <w:r w:rsidRPr="005D7701">
        <w:t xml:space="preserve"> Inventory of boreal fire emissions for North America in 2004: Importance of peat burning and pyroconvective injection. </w:t>
      </w:r>
      <w:r w:rsidRPr="005D7701">
        <w:rPr>
          <w:i/>
        </w:rPr>
        <w:t>Journal of Geophysical Research: Atmospheres</w:t>
      </w:r>
      <w:r w:rsidRPr="005D7701">
        <w:t xml:space="preserve"> </w:t>
      </w:r>
      <w:r w:rsidRPr="005D7701">
        <w:rPr>
          <w:b/>
        </w:rPr>
        <w:t>112</w:t>
      </w:r>
      <w:r w:rsidRPr="005D7701">
        <w:t>, doi:10.1029/2006JD007281 (2007).</w:t>
      </w:r>
    </w:p>
    <w:p w14:paraId="055E3468" w14:textId="77777777" w:rsidR="005D7701" w:rsidRPr="005D7701" w:rsidRDefault="005D7701" w:rsidP="005D7701">
      <w:pPr>
        <w:pStyle w:val="EndNoteBibliography"/>
        <w:ind w:left="720" w:hanging="720"/>
      </w:pPr>
      <w:r w:rsidRPr="005D7701">
        <w:t>9</w:t>
      </w:r>
      <w:r w:rsidRPr="005D7701">
        <w:tab/>
        <w:t xml:space="preserve">French, N., Kasischke, E. &amp; Williams, D. Variability in the emission of carbon-based trace gases from wildfire in the Alaskan boreal forest. </w:t>
      </w:r>
      <w:r w:rsidRPr="005D7701">
        <w:rPr>
          <w:i/>
        </w:rPr>
        <w:t>J. Geophys. Res</w:t>
      </w:r>
      <w:r w:rsidRPr="005D7701">
        <w:t xml:space="preserve"> </w:t>
      </w:r>
      <w:r w:rsidRPr="005D7701">
        <w:rPr>
          <w:b/>
        </w:rPr>
        <w:t>107</w:t>
      </w:r>
      <w:r w:rsidRPr="005D7701">
        <w:t>, doi:10.1029/2001JD000480 (2002).</w:t>
      </w:r>
    </w:p>
    <w:p w14:paraId="6EF61B4E" w14:textId="77777777" w:rsidR="005D7701" w:rsidRPr="005D7701" w:rsidRDefault="005D7701" w:rsidP="005D7701">
      <w:pPr>
        <w:pStyle w:val="EndNoteBibliography"/>
        <w:ind w:left="720" w:hanging="720"/>
      </w:pPr>
      <w:r w:rsidRPr="005D7701">
        <w:t>10</w:t>
      </w:r>
      <w:r w:rsidRPr="005D7701">
        <w:tab/>
        <w:t>Amiro, B. D.</w:t>
      </w:r>
      <w:r w:rsidRPr="005D7701">
        <w:rPr>
          <w:i/>
        </w:rPr>
        <w:t xml:space="preserve"> et al.</w:t>
      </w:r>
      <w:r w:rsidRPr="005D7701">
        <w:t xml:space="preserve"> Direct carbon emissions from Canadian forest fires, 1959-1999. </w:t>
      </w:r>
      <w:r w:rsidRPr="005D7701">
        <w:rPr>
          <w:i/>
        </w:rPr>
        <w:t>Canadian Journal of Forest Research</w:t>
      </w:r>
      <w:r w:rsidRPr="005D7701">
        <w:t xml:space="preserve"> </w:t>
      </w:r>
      <w:r w:rsidRPr="005D7701">
        <w:rPr>
          <w:b/>
        </w:rPr>
        <w:t>31</w:t>
      </w:r>
      <w:r w:rsidRPr="005D7701">
        <w:t>, 512-525, doi:10.1139/x00-197 (2001).</w:t>
      </w:r>
    </w:p>
    <w:p w14:paraId="3B9D072A" w14:textId="77777777" w:rsidR="005D7701" w:rsidRPr="005D7701" w:rsidRDefault="005D7701" w:rsidP="005D7701">
      <w:pPr>
        <w:pStyle w:val="EndNoteBibliography"/>
        <w:ind w:left="720" w:hanging="720"/>
      </w:pPr>
      <w:r w:rsidRPr="005D7701">
        <w:t>11</w:t>
      </w:r>
      <w:r w:rsidRPr="005D7701">
        <w:tab/>
        <w:t>de Groot, W.</w:t>
      </w:r>
      <w:r w:rsidRPr="005D7701">
        <w:rPr>
          <w:i/>
        </w:rPr>
        <w:t xml:space="preserve"> et al.</w:t>
      </w:r>
      <w:r w:rsidRPr="005D7701">
        <w:t xml:space="preserve"> Estimating direct carbon emissions from Canadian wildland fires. </w:t>
      </w:r>
      <w:r w:rsidRPr="005D7701">
        <w:rPr>
          <w:i/>
        </w:rPr>
        <w:t>International Journal of Wildland Fire</w:t>
      </w:r>
      <w:r w:rsidRPr="005D7701">
        <w:t xml:space="preserve"> </w:t>
      </w:r>
      <w:r w:rsidRPr="005D7701">
        <w:rPr>
          <w:b/>
        </w:rPr>
        <w:t>16</w:t>
      </w:r>
      <w:r w:rsidRPr="005D7701">
        <w:t>, doi:10.1071/WF06150 (2007).</w:t>
      </w:r>
    </w:p>
    <w:p w14:paraId="3D60279C" w14:textId="77777777" w:rsidR="005D7701" w:rsidRPr="005D7701" w:rsidRDefault="005D7701" w:rsidP="005D7701">
      <w:pPr>
        <w:pStyle w:val="EndNoteBibliography"/>
        <w:ind w:left="720" w:hanging="720"/>
      </w:pPr>
      <w:r w:rsidRPr="005D7701">
        <w:t>12</w:t>
      </w:r>
      <w:r w:rsidRPr="005D7701">
        <w:tab/>
        <w:t>Walker, X. J.</w:t>
      </w:r>
      <w:r w:rsidRPr="005D7701">
        <w:rPr>
          <w:i/>
        </w:rPr>
        <w:t xml:space="preserve"> et al.</w:t>
      </w:r>
      <w:r w:rsidRPr="005D7701">
        <w:t xml:space="preserve"> Cross-scale controls on carbon emissions from boreal forest megafires. </w:t>
      </w:r>
      <w:r w:rsidRPr="005D7701">
        <w:rPr>
          <w:i/>
        </w:rPr>
        <w:t>Global Change Biology</w:t>
      </w:r>
      <w:r w:rsidRPr="005D7701">
        <w:t xml:space="preserve"> </w:t>
      </w:r>
      <w:r w:rsidRPr="005D7701">
        <w:rPr>
          <w:b/>
        </w:rPr>
        <w:t>24</w:t>
      </w:r>
      <w:r w:rsidRPr="005D7701">
        <w:t>, 4251-4265, doi:10.1111/gcb.14287 (2018).</w:t>
      </w:r>
    </w:p>
    <w:p w14:paraId="5AB98B8D" w14:textId="77777777" w:rsidR="005D7701" w:rsidRPr="005D7701" w:rsidRDefault="005D7701" w:rsidP="005D7701">
      <w:pPr>
        <w:pStyle w:val="EndNoteBibliography"/>
        <w:ind w:left="720" w:hanging="720"/>
      </w:pPr>
      <w:r w:rsidRPr="005D7701">
        <w:t>13</w:t>
      </w:r>
      <w:r w:rsidRPr="005D7701">
        <w:tab/>
        <w:t>Dieleman, C. M.</w:t>
      </w:r>
      <w:r w:rsidRPr="005D7701">
        <w:rPr>
          <w:i/>
        </w:rPr>
        <w:t xml:space="preserve"> et al.</w:t>
      </w:r>
      <w:r w:rsidRPr="005D7701">
        <w:t xml:space="preserve"> Wildfire combustion and carbon stocks in the southern Canadian boreal forest: Implications for a warming world. </w:t>
      </w:r>
      <w:r w:rsidRPr="005D7701">
        <w:rPr>
          <w:i/>
        </w:rPr>
        <w:t>Global Change Biology</w:t>
      </w:r>
      <w:r w:rsidRPr="005D7701">
        <w:t xml:space="preserve"> </w:t>
      </w:r>
      <w:r w:rsidRPr="005D7701">
        <w:rPr>
          <w:b/>
        </w:rPr>
        <w:t>26</w:t>
      </w:r>
      <w:r w:rsidRPr="005D7701">
        <w:t>, 6062-6079, doi:10.1111/gcb.15158 (2020).</w:t>
      </w:r>
    </w:p>
    <w:p w14:paraId="68DF8988" w14:textId="77777777" w:rsidR="005D7701" w:rsidRPr="005D7701" w:rsidRDefault="005D7701" w:rsidP="005D7701">
      <w:pPr>
        <w:pStyle w:val="EndNoteBibliography"/>
        <w:ind w:left="720" w:hanging="720"/>
      </w:pPr>
      <w:r w:rsidRPr="005D7701">
        <w:t>14</w:t>
      </w:r>
      <w:r w:rsidRPr="005D7701">
        <w:tab/>
        <w:t>Stocks, B.</w:t>
      </w:r>
      <w:r w:rsidRPr="005D7701">
        <w:rPr>
          <w:i/>
        </w:rPr>
        <w:t xml:space="preserve"> et al.</w:t>
      </w:r>
      <w:r w:rsidRPr="005D7701">
        <w:t xml:space="preserve"> Crown fire behaviour in a northern jack pine - Black spruce forest. </w:t>
      </w:r>
      <w:r w:rsidRPr="005D7701">
        <w:rPr>
          <w:i/>
        </w:rPr>
        <w:t>Canadian Journal of Forest Research-revue Canadienne De Recherche Forestiere - CAN J FOREST RES</w:t>
      </w:r>
      <w:r w:rsidRPr="005D7701">
        <w:t xml:space="preserve"> </w:t>
      </w:r>
      <w:r w:rsidRPr="005D7701">
        <w:rPr>
          <w:b/>
        </w:rPr>
        <w:t>36</w:t>
      </w:r>
      <w:r w:rsidRPr="005D7701">
        <w:t>, doi:10.1139/X06-185 (2004).</w:t>
      </w:r>
    </w:p>
    <w:p w14:paraId="2CF83CA8" w14:textId="77777777" w:rsidR="005D7701" w:rsidRPr="005D7701" w:rsidRDefault="005D7701" w:rsidP="005D7701">
      <w:pPr>
        <w:pStyle w:val="EndNoteBibliography"/>
        <w:ind w:left="720" w:hanging="720"/>
      </w:pPr>
      <w:r w:rsidRPr="005D7701">
        <w:t>15</w:t>
      </w:r>
      <w:r w:rsidRPr="005D7701">
        <w:tab/>
        <w:t>van der Werf, G. R.</w:t>
      </w:r>
      <w:r w:rsidRPr="005D7701">
        <w:rPr>
          <w:i/>
        </w:rPr>
        <w:t xml:space="preserve"> et al.</w:t>
      </w:r>
      <w:r w:rsidRPr="005D7701">
        <w:t xml:space="preserve"> Global fire emissions and the contribution of deforestation, savanna, forest, agricultural, and peat fires (1997–2009). </w:t>
      </w:r>
      <w:r w:rsidRPr="005D7701">
        <w:rPr>
          <w:i/>
        </w:rPr>
        <w:t>Atmos. Chem. Phys.</w:t>
      </w:r>
      <w:r w:rsidRPr="005D7701">
        <w:t xml:space="preserve"> </w:t>
      </w:r>
      <w:r w:rsidRPr="005D7701">
        <w:rPr>
          <w:b/>
        </w:rPr>
        <w:t>10</w:t>
      </w:r>
      <w:r w:rsidRPr="005D7701">
        <w:t>, 11707-11735, doi:10.5194/acp-10-11707-2010 (2010).</w:t>
      </w:r>
    </w:p>
    <w:p w14:paraId="6D352E5D" w14:textId="77777777" w:rsidR="005D7701" w:rsidRPr="005D7701" w:rsidRDefault="005D7701" w:rsidP="005D7701">
      <w:pPr>
        <w:pStyle w:val="EndNoteBibliography"/>
        <w:ind w:left="720" w:hanging="720"/>
      </w:pPr>
      <w:r w:rsidRPr="005D7701">
        <w:t>16</w:t>
      </w:r>
      <w:r w:rsidRPr="005D7701">
        <w:tab/>
        <w:t xml:space="preserve">Kasischke, E. S., Christensen, N. L. &amp; Stocks, B. J. Fire, Global Warming, and the Carbon Balance of Boreal Forests. </w:t>
      </w:r>
      <w:r w:rsidRPr="005D7701">
        <w:rPr>
          <w:i/>
        </w:rPr>
        <w:t>Ecological Applications</w:t>
      </w:r>
      <w:r w:rsidRPr="005D7701">
        <w:t xml:space="preserve"> </w:t>
      </w:r>
      <w:r w:rsidRPr="005D7701">
        <w:rPr>
          <w:b/>
        </w:rPr>
        <w:t>5</w:t>
      </w:r>
      <w:r w:rsidRPr="005D7701">
        <w:t>, 437-451, doi:10.2307/1942034 (1995).</w:t>
      </w:r>
    </w:p>
    <w:p w14:paraId="465DB5F8" w14:textId="77777777" w:rsidR="005D7701" w:rsidRPr="005D7701" w:rsidRDefault="005D7701" w:rsidP="005D7701">
      <w:pPr>
        <w:pStyle w:val="EndNoteBibliography"/>
        <w:ind w:left="720" w:hanging="720"/>
      </w:pPr>
      <w:r w:rsidRPr="005D7701">
        <w:lastRenderedPageBreak/>
        <w:t>17</w:t>
      </w:r>
      <w:r w:rsidRPr="005D7701">
        <w:tab/>
        <w:t>Kasischke, E. S.</w:t>
      </w:r>
      <w:r w:rsidRPr="005D7701">
        <w:rPr>
          <w:i/>
        </w:rPr>
        <w:t xml:space="preserve"> et al.</w:t>
      </w:r>
      <w:r w:rsidRPr="005D7701">
        <w:t xml:space="preserve"> Influences of boreal fire emissions on Northern Hemisphere atmospheric carbon and carbon monoxide. </w:t>
      </w:r>
      <w:r w:rsidRPr="005D7701">
        <w:rPr>
          <w:i/>
        </w:rPr>
        <w:t>Global Biogeochemical Cycles</w:t>
      </w:r>
      <w:r w:rsidRPr="005D7701">
        <w:t xml:space="preserve"> </w:t>
      </w:r>
      <w:r w:rsidRPr="005D7701">
        <w:rPr>
          <w:b/>
        </w:rPr>
        <w:t>19</w:t>
      </w:r>
      <w:r w:rsidRPr="005D7701">
        <w:t>, doi:10.1029/2004GB002300 (2005).</w:t>
      </w:r>
    </w:p>
    <w:p w14:paraId="2450442D" w14:textId="2C40A098" w:rsidR="00CF16C9" w:rsidRPr="00797F24" w:rsidRDefault="004959D3" w:rsidP="00DF694E">
      <w:pPr>
        <w:pStyle w:val="NormalWeb"/>
        <w:rPr>
          <w:rFonts w:ascii="Arial" w:hAnsi="Arial" w:cs="Arial"/>
          <w:color w:val="333333"/>
          <w:sz w:val="20"/>
          <w:szCs w:val="20"/>
        </w:rPr>
      </w:pPr>
      <w:r w:rsidRPr="00BD0D69">
        <w:rPr>
          <w:rFonts w:ascii="Arial" w:hAnsi="Arial" w:cs="Arial"/>
          <w:color w:val="333333"/>
          <w:sz w:val="20"/>
          <w:szCs w:val="20"/>
        </w:rPr>
        <w:fldChar w:fldCharType="end"/>
      </w:r>
    </w:p>
    <w:sectPr w:rsidR="00CF16C9" w:rsidRPr="00797F24" w:rsidSect="00F125EE">
      <w:headerReference w:type="default" r:id="rId12"/>
      <w:footerReference w:type="default" r:id="rId1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E4578" w14:textId="77777777" w:rsidR="00001882" w:rsidRDefault="00001882">
      <w:r>
        <w:separator/>
      </w:r>
    </w:p>
  </w:endnote>
  <w:endnote w:type="continuationSeparator" w:id="0">
    <w:p w14:paraId="2E53D863" w14:textId="77777777" w:rsidR="00001882" w:rsidRDefault="00001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3BE3BD29" w:rsidR="00E611A2" w:rsidRDefault="00E611A2">
    <w:pPr>
      <w:pStyle w:val="Footer"/>
      <w:jc w:val="right"/>
    </w:pPr>
    <w:r>
      <w:fldChar w:fldCharType="begin"/>
    </w:r>
    <w:r>
      <w:instrText xml:space="preserve"> PAGE   \* MERGEFORMAT </w:instrText>
    </w:r>
    <w:r>
      <w:fldChar w:fldCharType="separate"/>
    </w:r>
    <w:r w:rsidR="00C22B7D">
      <w:rPr>
        <w:noProof/>
      </w:rPr>
      <w:t>8</w:t>
    </w:r>
    <w:r>
      <w:fldChar w:fldCharType="end"/>
    </w:r>
  </w:p>
  <w:p w14:paraId="180EEFF6" w14:textId="77777777" w:rsidR="00E611A2" w:rsidRDefault="00E6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6EF9D" w14:textId="77777777" w:rsidR="00001882" w:rsidRDefault="00001882">
      <w:r>
        <w:separator/>
      </w:r>
    </w:p>
  </w:footnote>
  <w:footnote w:type="continuationSeparator" w:id="0">
    <w:p w14:paraId="2525E5E9" w14:textId="77777777" w:rsidR="00001882" w:rsidRDefault="00001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E611A2" w:rsidRPr="005001AC" w:rsidRDefault="00E611A2" w:rsidP="005001AC">
    <w:pPr>
      <w:jc w:val="right"/>
      <w:rPr>
        <w:sz w:val="20"/>
      </w:rPr>
    </w:pPr>
  </w:p>
  <w:p w14:paraId="0091C365" w14:textId="77777777" w:rsidR="00E611A2" w:rsidRDefault="00E611A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41F43"/>
    <w:multiLevelType w:val="hybridMultilevel"/>
    <w:tmpl w:val="9E98C40E"/>
    <w:lvl w:ilvl="0" w:tplc="EB4435BA">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188"/>
    <w:multiLevelType w:val="hybridMultilevel"/>
    <w:tmpl w:val="6218D2BE"/>
    <w:lvl w:ilvl="0" w:tplc="1E32B83C">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635D1F"/>
    <w:multiLevelType w:val="hybridMultilevel"/>
    <w:tmpl w:val="B6124672"/>
    <w:lvl w:ilvl="0" w:tplc="4E7C678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1"/>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wf2as9uepxr8epfdsvva5qt5rxtree9edp&quot;&gt;fire&lt;record-ids&gt;&lt;item&gt;23&lt;/item&gt;&lt;item&gt;30&lt;/item&gt;&lt;item&gt;38&lt;/item&gt;&lt;item&gt;42&lt;/item&gt;&lt;item&gt;58&lt;/item&gt;&lt;item&gt;65&lt;/item&gt;&lt;item&gt;66&lt;/item&gt;&lt;item&gt;68&lt;/item&gt;&lt;item&gt;81&lt;/item&gt;&lt;item&gt;86&lt;/item&gt;&lt;item&gt;88&lt;/item&gt;&lt;item&gt;89&lt;/item&gt;&lt;item&gt;113&lt;/item&gt;&lt;item&gt;114&lt;/item&gt;&lt;item&gt;123&lt;/item&gt;&lt;item&gt;126&lt;/item&gt;&lt;item&gt;127&lt;/item&gt;&lt;/record-ids&gt;&lt;/item&gt;&lt;/Libraries&gt;"/>
  </w:docVars>
  <w:rsids>
    <w:rsidRoot w:val="002C030F"/>
    <w:rsid w:val="00000312"/>
    <w:rsid w:val="000004B2"/>
    <w:rsid w:val="00001882"/>
    <w:rsid w:val="00015F74"/>
    <w:rsid w:val="00017C53"/>
    <w:rsid w:val="00030840"/>
    <w:rsid w:val="00065EBD"/>
    <w:rsid w:val="000671C4"/>
    <w:rsid w:val="00083B44"/>
    <w:rsid w:val="000850DC"/>
    <w:rsid w:val="000C2771"/>
    <w:rsid w:val="000E0417"/>
    <w:rsid w:val="000F0DCE"/>
    <w:rsid w:val="00112C5B"/>
    <w:rsid w:val="00114193"/>
    <w:rsid w:val="00115A38"/>
    <w:rsid w:val="0011687B"/>
    <w:rsid w:val="00124F82"/>
    <w:rsid w:val="00137FBD"/>
    <w:rsid w:val="0016337A"/>
    <w:rsid w:val="00164269"/>
    <w:rsid w:val="001A10B1"/>
    <w:rsid w:val="001A1BDE"/>
    <w:rsid w:val="001C0520"/>
    <w:rsid w:val="001C0975"/>
    <w:rsid w:val="001E6B1D"/>
    <w:rsid w:val="001F0876"/>
    <w:rsid w:val="001F167C"/>
    <w:rsid w:val="001F5E91"/>
    <w:rsid w:val="002077B9"/>
    <w:rsid w:val="00262D72"/>
    <w:rsid w:val="00294FBB"/>
    <w:rsid w:val="002C030F"/>
    <w:rsid w:val="002C667A"/>
    <w:rsid w:val="002D44BF"/>
    <w:rsid w:val="002E6309"/>
    <w:rsid w:val="002F7AF6"/>
    <w:rsid w:val="00315228"/>
    <w:rsid w:val="00324F21"/>
    <w:rsid w:val="00325D90"/>
    <w:rsid w:val="00331D75"/>
    <w:rsid w:val="00355362"/>
    <w:rsid w:val="00360F2E"/>
    <w:rsid w:val="00363E44"/>
    <w:rsid w:val="003712EB"/>
    <w:rsid w:val="00387114"/>
    <w:rsid w:val="00395E86"/>
    <w:rsid w:val="00397983"/>
    <w:rsid w:val="003A2FD8"/>
    <w:rsid w:val="003B40E6"/>
    <w:rsid w:val="003C4E25"/>
    <w:rsid w:val="003F05BF"/>
    <w:rsid w:val="003F6E14"/>
    <w:rsid w:val="00405336"/>
    <w:rsid w:val="00441820"/>
    <w:rsid w:val="004571D5"/>
    <w:rsid w:val="00461425"/>
    <w:rsid w:val="00461D81"/>
    <w:rsid w:val="0046356B"/>
    <w:rsid w:val="00477182"/>
    <w:rsid w:val="004779CB"/>
    <w:rsid w:val="0048034E"/>
    <w:rsid w:val="004959D3"/>
    <w:rsid w:val="00496B01"/>
    <w:rsid w:val="004A159F"/>
    <w:rsid w:val="004B2F21"/>
    <w:rsid w:val="004B47E3"/>
    <w:rsid w:val="004C2D8F"/>
    <w:rsid w:val="004D51DE"/>
    <w:rsid w:val="004E42D8"/>
    <w:rsid w:val="004E7BA2"/>
    <w:rsid w:val="004F7EDF"/>
    <w:rsid w:val="005001AC"/>
    <w:rsid w:val="00527D71"/>
    <w:rsid w:val="005607DD"/>
    <w:rsid w:val="00586790"/>
    <w:rsid w:val="005873AB"/>
    <w:rsid w:val="005A558C"/>
    <w:rsid w:val="005D088E"/>
    <w:rsid w:val="005D7701"/>
    <w:rsid w:val="005E28F8"/>
    <w:rsid w:val="005E6513"/>
    <w:rsid w:val="005F4E11"/>
    <w:rsid w:val="006069C6"/>
    <w:rsid w:val="00611A19"/>
    <w:rsid w:val="006140DF"/>
    <w:rsid w:val="00641AB4"/>
    <w:rsid w:val="00651114"/>
    <w:rsid w:val="0065772A"/>
    <w:rsid w:val="00670299"/>
    <w:rsid w:val="00690A01"/>
    <w:rsid w:val="00691985"/>
    <w:rsid w:val="006A1B64"/>
    <w:rsid w:val="006A6719"/>
    <w:rsid w:val="006D169A"/>
    <w:rsid w:val="006E3E68"/>
    <w:rsid w:val="006E6725"/>
    <w:rsid w:val="00701991"/>
    <w:rsid w:val="007108F5"/>
    <w:rsid w:val="00713E5B"/>
    <w:rsid w:val="00725F33"/>
    <w:rsid w:val="007402FC"/>
    <w:rsid w:val="007411A1"/>
    <w:rsid w:val="007431B8"/>
    <w:rsid w:val="00746F5F"/>
    <w:rsid w:val="007743AE"/>
    <w:rsid w:val="00774DF5"/>
    <w:rsid w:val="00797F24"/>
    <w:rsid w:val="007B5946"/>
    <w:rsid w:val="007D19A2"/>
    <w:rsid w:val="007F5297"/>
    <w:rsid w:val="00807D35"/>
    <w:rsid w:val="00811EA2"/>
    <w:rsid w:val="00820484"/>
    <w:rsid w:val="00824DF3"/>
    <w:rsid w:val="00840BB2"/>
    <w:rsid w:val="0088501A"/>
    <w:rsid w:val="00885C9B"/>
    <w:rsid w:val="008A7D7D"/>
    <w:rsid w:val="008D334B"/>
    <w:rsid w:val="008D4038"/>
    <w:rsid w:val="008D5D2A"/>
    <w:rsid w:val="00914B63"/>
    <w:rsid w:val="00915671"/>
    <w:rsid w:val="009258B8"/>
    <w:rsid w:val="009354F3"/>
    <w:rsid w:val="00943C3C"/>
    <w:rsid w:val="009447DC"/>
    <w:rsid w:val="00961867"/>
    <w:rsid w:val="00961BA5"/>
    <w:rsid w:val="00973AA9"/>
    <w:rsid w:val="009743A9"/>
    <w:rsid w:val="00986779"/>
    <w:rsid w:val="009A4CB2"/>
    <w:rsid w:val="009A5287"/>
    <w:rsid w:val="009A670E"/>
    <w:rsid w:val="009B2AC5"/>
    <w:rsid w:val="009B7984"/>
    <w:rsid w:val="009D0224"/>
    <w:rsid w:val="009D1C70"/>
    <w:rsid w:val="009F4BED"/>
    <w:rsid w:val="009F7C26"/>
    <w:rsid w:val="009F7D93"/>
    <w:rsid w:val="00A23AF2"/>
    <w:rsid w:val="00A3403B"/>
    <w:rsid w:val="00A4038F"/>
    <w:rsid w:val="00A51A12"/>
    <w:rsid w:val="00A627D4"/>
    <w:rsid w:val="00A67B80"/>
    <w:rsid w:val="00A72B81"/>
    <w:rsid w:val="00A74DA2"/>
    <w:rsid w:val="00A90882"/>
    <w:rsid w:val="00AC1366"/>
    <w:rsid w:val="00AC15B4"/>
    <w:rsid w:val="00AD499C"/>
    <w:rsid w:val="00AE2D27"/>
    <w:rsid w:val="00B15008"/>
    <w:rsid w:val="00B31551"/>
    <w:rsid w:val="00B36869"/>
    <w:rsid w:val="00B42F9C"/>
    <w:rsid w:val="00B43B31"/>
    <w:rsid w:val="00B462EA"/>
    <w:rsid w:val="00B4734E"/>
    <w:rsid w:val="00B47821"/>
    <w:rsid w:val="00B47CFA"/>
    <w:rsid w:val="00B55051"/>
    <w:rsid w:val="00B57F00"/>
    <w:rsid w:val="00B77717"/>
    <w:rsid w:val="00B77B2A"/>
    <w:rsid w:val="00B82C22"/>
    <w:rsid w:val="00B8723B"/>
    <w:rsid w:val="00B93DBA"/>
    <w:rsid w:val="00B9440A"/>
    <w:rsid w:val="00BB2D2A"/>
    <w:rsid w:val="00BD0D69"/>
    <w:rsid w:val="00BD58CF"/>
    <w:rsid w:val="00BD5A45"/>
    <w:rsid w:val="00C046DC"/>
    <w:rsid w:val="00C04CC1"/>
    <w:rsid w:val="00C13809"/>
    <w:rsid w:val="00C22B7D"/>
    <w:rsid w:val="00C50C6D"/>
    <w:rsid w:val="00C600D9"/>
    <w:rsid w:val="00CC1384"/>
    <w:rsid w:val="00CD3720"/>
    <w:rsid w:val="00CD3AD6"/>
    <w:rsid w:val="00CD48AD"/>
    <w:rsid w:val="00CF0687"/>
    <w:rsid w:val="00CF16C9"/>
    <w:rsid w:val="00CF1848"/>
    <w:rsid w:val="00CF5C2F"/>
    <w:rsid w:val="00D04BCF"/>
    <w:rsid w:val="00D143D9"/>
    <w:rsid w:val="00D269AB"/>
    <w:rsid w:val="00D346C2"/>
    <w:rsid w:val="00D41761"/>
    <w:rsid w:val="00D77ED8"/>
    <w:rsid w:val="00D95BB8"/>
    <w:rsid w:val="00DA59EA"/>
    <w:rsid w:val="00DD421A"/>
    <w:rsid w:val="00DF694E"/>
    <w:rsid w:val="00E12EB0"/>
    <w:rsid w:val="00E257C8"/>
    <w:rsid w:val="00E37047"/>
    <w:rsid w:val="00E60D0F"/>
    <w:rsid w:val="00E611A2"/>
    <w:rsid w:val="00E730EA"/>
    <w:rsid w:val="00E9773B"/>
    <w:rsid w:val="00EA2C5D"/>
    <w:rsid w:val="00EA596B"/>
    <w:rsid w:val="00EB1368"/>
    <w:rsid w:val="00EC13A3"/>
    <w:rsid w:val="00EC7C85"/>
    <w:rsid w:val="00EE4EDC"/>
    <w:rsid w:val="00F125EE"/>
    <w:rsid w:val="00F12E98"/>
    <w:rsid w:val="00F22029"/>
    <w:rsid w:val="00F514EC"/>
    <w:rsid w:val="00F630EA"/>
    <w:rsid w:val="00F7007E"/>
    <w:rsid w:val="00F70200"/>
    <w:rsid w:val="00F73193"/>
    <w:rsid w:val="00F74F95"/>
    <w:rsid w:val="00F80705"/>
    <w:rsid w:val="00F97DEC"/>
    <w:rsid w:val="00FA1481"/>
    <w:rsid w:val="00FA645B"/>
    <w:rsid w:val="00FB3374"/>
    <w:rsid w:val="00FC1BEF"/>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B4734E"/>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959D3"/>
    <w:pPr>
      <w:jc w:val="center"/>
    </w:pPr>
    <w:rPr>
      <w:noProof/>
    </w:rPr>
  </w:style>
  <w:style w:type="character" w:customStyle="1" w:styleId="EndNoteBibliographyTitleChar">
    <w:name w:val="EndNote Bibliography Title Char"/>
    <w:basedOn w:val="DefaultParagraphFont"/>
    <w:link w:val="EndNoteBibliographyTitle"/>
    <w:rsid w:val="004959D3"/>
    <w:rPr>
      <w:noProof/>
      <w:sz w:val="24"/>
    </w:rPr>
  </w:style>
  <w:style w:type="paragraph" w:customStyle="1" w:styleId="EndNoteBibliography">
    <w:name w:val="EndNote Bibliography"/>
    <w:basedOn w:val="Normal"/>
    <w:link w:val="EndNoteBibliographyChar"/>
    <w:rsid w:val="004959D3"/>
    <w:rPr>
      <w:noProof/>
    </w:rPr>
  </w:style>
  <w:style w:type="character" w:customStyle="1" w:styleId="EndNoteBibliographyChar">
    <w:name w:val="EndNote Bibliography Char"/>
    <w:basedOn w:val="DefaultParagraphFont"/>
    <w:link w:val="EndNoteBibliography"/>
    <w:rsid w:val="004959D3"/>
    <w:rPr>
      <w:noProof/>
      <w:sz w:val="24"/>
    </w:rPr>
  </w:style>
  <w:style w:type="character" w:styleId="PlaceholderText">
    <w:name w:val="Placeholder Text"/>
    <w:basedOn w:val="DefaultParagraphFont"/>
    <w:uiPriority w:val="99"/>
    <w:semiHidden/>
    <w:rsid w:val="00496B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543442013">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208838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zhuang@purdu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A3FE2-3028-4AE5-AAAD-FA362A28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8</Pages>
  <Words>5881</Words>
  <Characters>33522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39325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Zhao, Bailu</cp:lastModifiedBy>
  <cp:revision>53</cp:revision>
  <cp:lastPrinted>2018-02-26T17:19:00Z</cp:lastPrinted>
  <dcterms:created xsi:type="dcterms:W3CDTF">2019-09-25T00:44:00Z</dcterms:created>
  <dcterms:modified xsi:type="dcterms:W3CDTF">2020-11-09T15:55:00Z</dcterms:modified>
</cp:coreProperties>
</file>