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A5F96">
      <w:pPr>
        <w:pBdr>
          <w:bottom w:val="single" w:color="4F81BD" w:sz="8" w:space="4"/>
        </w:pBdr>
        <w:spacing w:after="300" w:line="240" w:lineRule="auto"/>
        <w:contextualSpacing/>
        <w:jc w:val="center"/>
        <w:rPr>
          <w:rFonts w:ascii="Calibri" w:hAnsi="Calibri" w:eastAsia="宋体" w:cs="Times New Roman"/>
          <w:color w:val="17365D"/>
          <w:spacing w:val="5"/>
          <w:kern w:val="28"/>
          <w:sz w:val="44"/>
          <w:szCs w:val="44"/>
          <w:lang w:val="en-US" w:eastAsia="en-US" w:bidi="ar-SA"/>
        </w:rPr>
      </w:pPr>
      <w:r>
        <w:rPr>
          <w:rFonts w:ascii="Times New Roman" w:hAnsi="Times New Roman" w:eastAsia="Times New Roman" w:cs="Times New Roman"/>
          <w:color w:val="000000"/>
          <w:spacing w:val="5"/>
          <w:kern w:val="28"/>
          <w:sz w:val="44"/>
          <w:szCs w:val="44"/>
          <w:lang w:val="en-US" w:eastAsia="en-US" w:bidi="ar-SA"/>
        </w:rPr>
        <w:t>Supplementary Materials</w:t>
      </w:r>
    </w:p>
    <w:p w14:paraId="385BE5B4">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b/>
          <w:i w:val="0"/>
          <w:kern w:val="0"/>
          <w:sz w:val="24"/>
          <w:szCs w:val="22"/>
          <w:lang w:eastAsia="en-US"/>
          <w14:ligatures w14:val="none"/>
        </w:rPr>
      </w:pPr>
    </w:p>
    <w:p w14:paraId="5F9BC051">
      <w:pPr>
        <w:keepNext/>
        <w:keepLines/>
        <w:pageBreakBefore w:val="0"/>
        <w:widowControl/>
        <w:kinsoku/>
        <w:wordWrap/>
        <w:overflowPunct/>
        <w:topLinePunct w:val="0"/>
        <w:autoSpaceDE/>
        <w:autoSpaceDN/>
        <w:bidi w:val="0"/>
        <w:adjustRightInd/>
        <w:snapToGrid/>
        <w:spacing w:before="480" w:after="0" w:line="480" w:lineRule="auto"/>
        <w:textAlignment w:val="auto"/>
        <w:outlineLvl w:val="0"/>
        <w:rPr>
          <w:rFonts w:ascii="Times New Roman" w:hAnsi="Times New Roman" w:eastAsia="Times New Roman" w:cs="Times New Roman"/>
          <w:b/>
          <w:i w:val="0"/>
          <w:kern w:val="0"/>
          <w:sz w:val="24"/>
          <w:szCs w:val="22"/>
          <w:lang w:eastAsia="en-US"/>
          <w14:ligatures w14:val="none"/>
        </w:rPr>
      </w:pPr>
      <w:r>
        <w:rPr>
          <w:rFonts w:ascii="Times New Roman" w:hAnsi="Times New Roman" w:eastAsia="Times New Roman" w:cs="Times New Roman"/>
          <w:b/>
          <w:bCs/>
          <w:color w:val="000000"/>
          <w:sz w:val="28"/>
          <w:szCs w:val="28"/>
          <w:lang w:val="en-US" w:eastAsia="en-US" w:bidi="ar-SA"/>
        </w:rPr>
        <w:t>Unified Quality Control Specifications for the Entire RCT</w:t>
      </w:r>
      <w:bookmarkStart w:id="0" w:name="_GoBack"/>
      <w:bookmarkEnd w:id="0"/>
    </w:p>
    <w:p w14:paraId="71DB96B3">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i w:val="0"/>
          <w:kern w:val="0"/>
          <w:sz w:val="24"/>
          <w:szCs w:val="22"/>
          <w:lang w:eastAsia="en-US"/>
          <w14:ligatures w14:val="none"/>
        </w:rPr>
        <w:t>Supplementary Table 1  Complete items and scoring criteria of the self-developed "Questionnaire on Sources of Self-Efficacy in Managing High-Risk Endocrine Cases"</w:t>
      </w:r>
    </w:p>
    <w:p w14:paraId="6D31E435">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i w:val="0"/>
          <w:kern w:val="0"/>
          <w:sz w:val="24"/>
          <w:szCs w:val="22"/>
          <w:lang w:eastAsia="en-US"/>
          <w14:ligatures w14:val="none"/>
        </w:rPr>
        <w:t>Supplementary Table 2  Complete semi-structured interview guide for focus groups</w:t>
      </w:r>
    </w:p>
    <w:p w14:paraId="1F79E5F3">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i w:val="0"/>
          <w:kern w:val="0"/>
          <w:sz w:val="24"/>
          <w:szCs w:val="22"/>
          <w:lang w:eastAsia="en-US"/>
          <w14:ligatures w14:val="none"/>
        </w:rPr>
        <w:t>Supplementary Table 3  Multicollinearity test results for quantitative indicators</w:t>
      </w:r>
    </w:p>
    <w:p w14:paraId="40B7ADF8">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i w:val="0"/>
          <w:kern w:val="0"/>
          <w:sz w:val="24"/>
          <w:szCs w:val="22"/>
          <w:lang w:eastAsia="en-US"/>
          <w14:ligatures w14:val="none"/>
        </w:rPr>
        <w:t>Supplementary Table 4  Sensitivity analysis results after excluding participants with extremely low baseline self-efficacy</w:t>
      </w:r>
    </w:p>
    <w:p w14:paraId="15231DB6">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b/>
          <w:i w:val="0"/>
          <w:kern w:val="0"/>
          <w:sz w:val="24"/>
          <w:szCs w:val="22"/>
          <w:lang w:eastAsia="en-US"/>
          <w14:ligatures w14:val="none"/>
        </w:rPr>
      </w:pPr>
      <w:r>
        <w:rPr>
          <w:rFonts w:ascii="Times New Roman" w:hAnsi="Times New Roman" w:eastAsia="Times New Roman" w:cs="Times New Roman"/>
          <w:b/>
          <w:i w:val="0"/>
          <w:kern w:val="0"/>
          <w:sz w:val="24"/>
          <w:szCs w:val="22"/>
          <w:lang w:eastAsia="en-US"/>
          <w14:ligatures w14:val="none"/>
        </w:rPr>
        <w:t>Supplementary Table 5  Complete sub-dimensional scores of the four domains of self-efficacy across three groups</w:t>
      </w:r>
    </w:p>
    <w:p w14:paraId="4F43E3E6">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b/>
          <w:i w:val="0"/>
          <w:kern w:val="0"/>
          <w:sz w:val="24"/>
          <w:szCs w:val="22"/>
          <w:lang w:eastAsia="en-US"/>
          <w14:ligatures w14:val="none"/>
        </w:rPr>
      </w:pPr>
    </w:p>
    <w:p w14:paraId="1265386C">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b/>
          <w:i w:val="0"/>
          <w:kern w:val="0"/>
          <w:sz w:val="24"/>
          <w:szCs w:val="22"/>
          <w:lang w:eastAsia="en-US"/>
          <w14:ligatures w14:val="none"/>
        </w:rPr>
      </w:pPr>
    </w:p>
    <w:p w14:paraId="618E9B37">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b/>
          <w:i w:val="0"/>
          <w:kern w:val="0"/>
          <w:sz w:val="24"/>
          <w:szCs w:val="22"/>
          <w:lang w:eastAsia="en-US"/>
          <w14:ligatures w14:val="none"/>
        </w:rPr>
      </w:pPr>
    </w:p>
    <w:p w14:paraId="634BBA54">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b/>
          <w:i w:val="0"/>
          <w:kern w:val="0"/>
          <w:sz w:val="24"/>
          <w:szCs w:val="22"/>
          <w:lang w:eastAsia="en-US"/>
          <w14:ligatures w14:val="none"/>
        </w:rPr>
      </w:pPr>
    </w:p>
    <w:p w14:paraId="11C698E0">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b/>
          <w:i w:val="0"/>
          <w:kern w:val="0"/>
          <w:sz w:val="24"/>
          <w:szCs w:val="22"/>
          <w:lang w:eastAsia="en-US"/>
          <w14:ligatures w14:val="none"/>
        </w:rPr>
      </w:pPr>
    </w:p>
    <w:p w14:paraId="51A3B1A7">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b/>
          <w:i w:val="0"/>
          <w:kern w:val="0"/>
          <w:sz w:val="24"/>
          <w:szCs w:val="22"/>
          <w:lang w:eastAsia="en-US"/>
          <w14:ligatures w14:val="none"/>
        </w:rPr>
      </w:pPr>
    </w:p>
    <w:p w14:paraId="113505AC">
      <w:pPr>
        <w:keepNext/>
        <w:keepLines/>
        <w:pageBreakBefore w:val="0"/>
        <w:widowControl/>
        <w:kinsoku/>
        <w:wordWrap/>
        <w:overflowPunct/>
        <w:topLinePunct w:val="0"/>
        <w:autoSpaceDE/>
        <w:autoSpaceDN/>
        <w:bidi w:val="0"/>
        <w:adjustRightInd/>
        <w:snapToGrid/>
        <w:spacing w:before="480" w:after="0" w:line="480" w:lineRule="auto"/>
        <w:textAlignment w:val="auto"/>
        <w:outlineLvl w:val="0"/>
        <w:rPr>
          <w:rFonts w:ascii="Calibri" w:hAnsi="Calibri" w:eastAsia="宋体" w:cs="Times New Roman"/>
          <w:b/>
          <w:bCs/>
          <w:color w:val="366091"/>
          <w:sz w:val="28"/>
          <w:szCs w:val="28"/>
          <w:lang w:val="en-US" w:eastAsia="en-US" w:bidi="ar-SA"/>
        </w:rPr>
      </w:pPr>
      <w:r>
        <w:rPr>
          <w:rFonts w:ascii="Times New Roman" w:hAnsi="Times New Roman" w:eastAsia="Times New Roman" w:cs="Times New Roman"/>
          <w:b/>
          <w:bCs/>
          <w:color w:val="000000"/>
          <w:sz w:val="28"/>
          <w:szCs w:val="28"/>
          <w:lang w:val="en-US" w:eastAsia="en-US" w:bidi="ar-SA"/>
        </w:rPr>
        <w:t>Unified Quality Control Specifications for the Entire RCT</w:t>
      </w:r>
    </w:p>
    <w:p w14:paraId="586670C1">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1. </w:t>
      </w:r>
      <w:r>
        <w:rPr>
          <w:rFonts w:ascii="Times New Roman" w:hAnsi="Times New Roman" w:eastAsia="Times New Roman" w:cs="Times New Roman"/>
          <w:kern w:val="0"/>
          <w:sz w:val="24"/>
          <w:szCs w:val="22"/>
          <w:lang w:eastAsia="en-US"/>
          <w14:ligatures w14:val="none"/>
        </w:rPr>
        <w:t>The study was conducted from September 2025 to August 2026 at the Department of Endocrinology and Metabolism, the Fourth Affiliated Hospital of Anhui Medical University. Ethics approval number: KY2024096. All study procedures strictly followed the Declaration of Helsinki, and all participants provided written informed consent before enrollment.</w:t>
      </w:r>
    </w:p>
    <w:p w14:paraId="67112825">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2. </w:t>
      </w:r>
      <w:r>
        <w:rPr>
          <w:rFonts w:ascii="Times New Roman" w:hAnsi="Times New Roman" w:eastAsia="Times New Roman" w:cs="Times New Roman"/>
          <w:kern w:val="0"/>
          <w:sz w:val="24"/>
          <w:szCs w:val="22"/>
          <w:lang w:eastAsia="en-US"/>
          <w14:ligatures w14:val="none"/>
        </w:rPr>
        <w:t>Random allocation procedure: An independent teaching administrator generated a random number sequence using SPSS 26.0. Allocation concealment was achieved using sealed, opaque envelopes, which were stored in a locked cabinet in the archives room.</w:t>
      </w:r>
    </w:p>
    <w:p w14:paraId="628973FB">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3. </w:t>
      </w:r>
      <w:r>
        <w:rPr>
          <w:rFonts w:ascii="Times New Roman" w:hAnsi="Times New Roman" w:eastAsia="Times New Roman" w:cs="Times New Roman"/>
          <w:kern w:val="0"/>
          <w:sz w:val="24"/>
          <w:szCs w:val="22"/>
          <w:lang w:eastAsia="en-US"/>
          <w14:ligatures w14:val="none"/>
        </w:rPr>
        <w:t>Blinding control: Theoretical examination graders and clinical skills assessors were single-blinded; statistical analysts remained blinded to group assignment throughout. Prespecified unblinding scenario: single-blinding could be broken if a participant developed persistent severe clinical anxiety or was unable to complete practical training exercises.</w:t>
      </w:r>
    </w:p>
    <w:p w14:paraId="10D09171">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4. </w:t>
      </w:r>
      <w:r>
        <w:rPr>
          <w:rFonts w:ascii="Times New Roman" w:hAnsi="Times New Roman" w:eastAsia="Times New Roman" w:cs="Times New Roman"/>
          <w:kern w:val="0"/>
          <w:sz w:val="24"/>
          <w:szCs w:val="22"/>
          <w:lang w:eastAsia="en-US"/>
          <w14:ligatures w14:val="none"/>
        </w:rPr>
        <w:t>Teaching standardization quality control: All three groups were taught by the same senior attending physician with 8 years of endocrine clinical teaching experience, using unified lesson plans, a standardized critical case question bank, and identical teaching PPTs. Online learning duration and check-in records were exported from the DingTalk backend; practical participation was documented by designated ward staff. Participants who accumulated more than 2 class hours of absence were excluded per the exclusion criteria. All three groups received a unified total of 12 class hours of instruction.</w:t>
      </w:r>
    </w:p>
    <w:p w14:paraId="4ABDD3EC">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p>
    <w:p w14:paraId="775EE3A3">
      <w:pPr>
        <w:keepNext w:val="0"/>
        <w:keepLines w:val="0"/>
        <w:pageBreakBefore w:val="0"/>
        <w:widowControl/>
        <w:numPr>
          <w:ilvl w:val="0"/>
          <w:numId w:val="1"/>
        </w:numPr>
        <w:kinsoku/>
        <w:wordWrap/>
        <w:overflowPunct/>
        <w:topLinePunct w:val="0"/>
        <w:autoSpaceDE/>
        <w:autoSpaceDN/>
        <w:bidi w:val="0"/>
        <w:adjustRightInd/>
        <w:snapToGrid/>
        <w:spacing w:line="480" w:lineRule="auto"/>
        <w:textAlignment w:val="auto"/>
        <w:rPr>
          <w:rFonts w:hint="default" w:ascii="Times New Roman" w:hAnsi="Times New Roman" w:cs="Times New Roman"/>
          <w:sz w:val="24"/>
          <w:szCs w:val="24"/>
        </w:rPr>
      </w:pPr>
      <w:r>
        <w:rPr>
          <w:rFonts w:hint="default" w:ascii="Times New Roman" w:hAnsi="Times New Roman" w:cs="Times New Roman"/>
          <w:sz w:val="24"/>
          <w:szCs w:val="24"/>
        </w:rPr>
        <w:t>Treatment fidelity: All teaching faculty completed a standardized 4-hour training session on the three teaching protocols before study initiation, including role-play demonstrations and checklist-based calibration. A structured 15-item fidelity checklist covering core teaching components (PBL discussion quality, CBL bedside supervision, CTTM resource utilization, lecture standardization, and debriefing completeness) was used by two senior educators to independently review 20% of randomly selected audio-recorded teaching sessions. Inter-rater agreement was 92.3%, and overall fidelity adherence exceeded 90% across all three groups, confirming consistent intervention delivery.</w:t>
      </w:r>
    </w:p>
    <w:p w14:paraId="5667F3B1">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4"/>
          <w:szCs w:val="22"/>
          <w:lang w:eastAsia="en-US"/>
          <w14:ligatures w14:val="none"/>
        </w:rPr>
        <w:br w:type="page"/>
      </w:r>
    </w:p>
    <w:p w14:paraId="08FE0E39">
      <w:pPr>
        <w:keepNext/>
        <w:keepLines/>
        <w:pageBreakBefore w:val="0"/>
        <w:widowControl/>
        <w:kinsoku/>
        <w:wordWrap/>
        <w:overflowPunct/>
        <w:topLinePunct w:val="0"/>
        <w:autoSpaceDE/>
        <w:autoSpaceDN/>
        <w:bidi w:val="0"/>
        <w:adjustRightInd/>
        <w:snapToGrid/>
        <w:spacing w:before="480" w:after="0" w:line="480" w:lineRule="auto"/>
        <w:textAlignment w:val="auto"/>
        <w:outlineLvl w:val="0"/>
        <w:rPr>
          <w:rFonts w:ascii="Calibri" w:hAnsi="Calibri" w:eastAsia="宋体" w:cs="Times New Roman"/>
          <w:b/>
          <w:bCs/>
          <w:color w:val="366091"/>
          <w:sz w:val="28"/>
          <w:szCs w:val="28"/>
          <w:lang w:val="en-US" w:eastAsia="en-US" w:bidi="ar-SA"/>
        </w:rPr>
      </w:pPr>
      <w:r>
        <w:rPr>
          <w:rFonts w:ascii="Times New Roman" w:hAnsi="Times New Roman" w:eastAsia="Times New Roman" w:cs="Times New Roman"/>
          <w:b/>
          <w:bCs/>
          <w:color w:val="000000"/>
          <w:sz w:val="28"/>
          <w:szCs w:val="28"/>
          <w:lang w:val="en-US" w:eastAsia="en-US" w:bidi="ar-SA"/>
        </w:rPr>
        <w:t>Supplementary Table 1  Items, Scoring Criteria, and Reliability/Validity Summary of the Self-Developed "Questionnaire on Sources of Self-Efficacy in Managing High-Risk Endocrine Cases"</w:t>
      </w:r>
    </w:p>
    <w:p w14:paraId="79A3E556">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1. Target Population</w:t>
      </w:r>
    </w:p>
    <w:p w14:paraId="27173BA4">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val="0"/>
          <w:kern w:val="0"/>
          <w:sz w:val="24"/>
          <w:szCs w:val="22"/>
          <w:lang w:eastAsia="en-US"/>
          <w14:ligatures w14:val="none"/>
        </w:rPr>
        <w:t>Internal medicine residents undergoing standardized residency training. The questionnaire assesses four domains of self-efficacy in managing high-risk critical endocrine and metabolic disorders, including diabetic ketoacidosis (DKA), thyroid storm, and refractory hypoglycemia.</w:t>
      </w:r>
    </w:p>
    <w:p w14:paraId="2F5E0483">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2. Scoring Rules</w:t>
      </w:r>
    </w:p>
    <w:p w14:paraId="651A2904">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val="0"/>
          <w:kern w:val="0"/>
          <w:sz w:val="24"/>
          <w:szCs w:val="22"/>
          <w:lang w:eastAsia="en-US"/>
          <w14:ligatures w14:val="none"/>
        </w:rPr>
        <w:t>A 4-point Likert scale is used: 1 = not confident at all; 2 = slightly confident; 3 = moderately confident; 4 = completely confident. The total score ranges from 6 to 24, with higher scores indicating stronger clinical self-efficacy.</w:t>
      </w:r>
    </w:p>
    <w:p w14:paraId="2D226AFD">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3. Six Formal Items (Corresponding to the Four Self-Efficacy Domains)</w:t>
      </w:r>
    </w:p>
    <w:p w14:paraId="3BD4F200">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Item 1. </w:t>
      </w:r>
      <w:r>
        <w:rPr>
          <w:rFonts w:ascii="Times New Roman" w:hAnsi="Times New Roman" w:eastAsia="Times New Roman" w:cs="Times New Roman"/>
          <w:kern w:val="0"/>
          <w:sz w:val="24"/>
          <w:szCs w:val="22"/>
          <w:lang w:eastAsia="en-US"/>
          <w14:ligatures w14:val="none"/>
        </w:rPr>
        <w:t>When facing a patient with diabetic ketoacidosis, I can independently complete the full diagnostic and treatment workflow under attending supervision (Mastery Experience domain).</w:t>
      </w:r>
    </w:p>
    <w:p w14:paraId="3E8EFF44">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Item 2. </w:t>
      </w:r>
      <w:r>
        <w:rPr>
          <w:rFonts w:ascii="Times New Roman" w:hAnsi="Times New Roman" w:eastAsia="Times New Roman" w:cs="Times New Roman"/>
          <w:kern w:val="0"/>
          <w:sz w:val="24"/>
          <w:szCs w:val="22"/>
          <w:lang w:eastAsia="en-US"/>
          <w14:ligatures w14:val="none"/>
        </w:rPr>
        <w:t>After observing senior physicians manage thyroid storm, I can independently replicate the complete diagnostic and treatment reasoning (Vicarious Learning domain).</w:t>
      </w:r>
    </w:p>
    <w:p w14:paraId="2A66B9C7">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Item 3. </w:t>
      </w:r>
      <w:r>
        <w:rPr>
          <w:rFonts w:ascii="Times New Roman" w:hAnsi="Times New Roman" w:eastAsia="Times New Roman" w:cs="Times New Roman"/>
          <w:kern w:val="0"/>
          <w:sz w:val="24"/>
          <w:szCs w:val="22"/>
          <w:lang w:eastAsia="en-US"/>
          <w14:ligatures w14:val="none"/>
        </w:rPr>
        <w:t>Guidance and feedback on my treatment plans from attending physicians and specialist nurses help me correct erroneous reasoning (Verbal Persuasion domain).</w:t>
      </w:r>
    </w:p>
    <w:p w14:paraId="0DCBA0CE">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Item 4. </w:t>
      </w:r>
      <w:r>
        <w:rPr>
          <w:rFonts w:ascii="Times New Roman" w:hAnsi="Times New Roman" w:eastAsia="Times New Roman" w:cs="Times New Roman"/>
          <w:kern w:val="0"/>
          <w:sz w:val="24"/>
          <w:szCs w:val="22"/>
          <w:lang w:eastAsia="en-US"/>
          <w14:ligatures w14:val="none"/>
        </w:rPr>
        <w:t>When encountering sudden refractory hypoglycemic coma, I do not become excessively nervous or mentally disorganized (Positive Emotional State domain).</w:t>
      </w:r>
    </w:p>
    <w:p w14:paraId="601A6796">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Item 5. </w:t>
      </w:r>
      <w:r>
        <w:rPr>
          <w:rFonts w:ascii="Times New Roman" w:hAnsi="Times New Roman" w:eastAsia="Times New Roman" w:cs="Times New Roman"/>
          <w:kern w:val="0"/>
          <w:sz w:val="24"/>
          <w:szCs w:val="22"/>
          <w:lang w:eastAsia="en-US"/>
          <w14:ligatures w14:val="none"/>
        </w:rPr>
        <w:t>After independently managing critical metabolic cases on multiple occasions, I am confident in developing individualized hypoglycemic / antithyroid drug regimens (Mastery Experience domain).</w:t>
      </w:r>
    </w:p>
    <w:p w14:paraId="6D420A11">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Item 6. </w:t>
      </w:r>
      <w:r>
        <w:rPr>
          <w:rFonts w:ascii="Times New Roman" w:hAnsi="Times New Roman" w:eastAsia="Times New Roman" w:cs="Times New Roman"/>
          <w:kern w:val="0"/>
          <w:sz w:val="24"/>
          <w:szCs w:val="22"/>
          <w:lang w:eastAsia="en-US"/>
          <w14:ligatures w14:val="none"/>
        </w:rPr>
        <w:t>After repeatedly watching standardized teaching videos of critical cases, I can calmly respond to new-onset critical endocrine emergencies (combined Vicarious Learning + Positive Emotional State item).</w:t>
      </w:r>
    </w:p>
    <w:p w14:paraId="0E43FB40">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4. Scale Development and Reliability/Validity Summary</w:t>
      </w:r>
    </w:p>
    <w:p w14:paraId="471399DF">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val="0"/>
          <w:kern w:val="0"/>
          <w:sz w:val="24"/>
          <w:szCs w:val="22"/>
          <w:lang w:eastAsia="en-US"/>
          <w14:ligatures w14:val="none"/>
        </w:rPr>
        <w:t>The initial item pool contained 22 items. Five endocrine teaching experts conducted two rounds of Delphi screening (expert authority coefficient Cr = 0.88; items with coefficient of variation &gt; 0.25 or mean importance score &lt; 3.5 were removed). After a pilot study with 30 residents, 6 items were retained. The overall Cronbach’s α = 0.81; the content validity index (CVI) = 0.92. Exploratory factor analysis (EFA) extracted 4 common factors with a cumulative variance explained of 78.6%. Confirmatory factor analysis (CFA) fit indices: χ²/df = 1.73, RMSEA = 0.046, CFI = 0.952, TLI = 0.947.</w:t>
      </w:r>
    </w:p>
    <w:p w14:paraId="4D2FAC0F">
      <w:pPr>
        <w:keepNext/>
        <w:keepLines/>
        <w:pageBreakBefore w:val="0"/>
        <w:widowControl/>
        <w:kinsoku/>
        <w:wordWrap/>
        <w:overflowPunct/>
        <w:topLinePunct w:val="0"/>
        <w:autoSpaceDE/>
        <w:autoSpaceDN/>
        <w:bidi w:val="0"/>
        <w:adjustRightInd/>
        <w:snapToGrid/>
        <w:spacing w:before="480" w:after="0" w:line="480" w:lineRule="auto"/>
        <w:textAlignment w:val="auto"/>
        <w:outlineLvl w:val="0"/>
        <w:rPr>
          <w:rFonts w:ascii="Calibri" w:hAnsi="Calibri" w:eastAsia="宋体" w:cs="Times New Roman"/>
          <w:b/>
          <w:bCs/>
          <w:color w:val="366091"/>
          <w:sz w:val="28"/>
          <w:szCs w:val="28"/>
          <w:lang w:val="en-US" w:eastAsia="en-US" w:bidi="ar-SA"/>
        </w:rPr>
      </w:pPr>
      <w:r>
        <w:rPr>
          <w:rFonts w:ascii="Times New Roman" w:hAnsi="Times New Roman" w:eastAsia="Times New Roman" w:cs="Times New Roman"/>
          <w:b/>
          <w:bCs/>
          <w:color w:val="000000"/>
          <w:sz w:val="28"/>
          <w:szCs w:val="28"/>
          <w:lang w:val="en-US" w:eastAsia="en-US" w:bidi="ar-SA"/>
        </w:rPr>
        <w:t>Supplementary Table 2  Complete Semi-Structured Interview Guide for Focus Groups</w:t>
      </w:r>
    </w:p>
    <w:p w14:paraId="332620D3">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Pre-Interview Instructions</w:t>
      </w:r>
    </w:p>
    <w:p w14:paraId="0513DBA9">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val="0"/>
          <w:kern w:val="0"/>
          <w:sz w:val="24"/>
          <w:szCs w:val="22"/>
          <w:lang w:eastAsia="en-US"/>
          <w14:ligatures w14:val="none"/>
        </w:rPr>
        <w:t>This interview focuses on multimodal teaching (PBL, CBL, CTTM) and clinical self-efficacy in critical endocrine diseases. The entire session is audio-recorded and anonymized for transcription. All content is used solely for research analysis and is not included in individual teaching performance evaluations. Please express your views objectively and truthfully. The interview lasts approximately 30–40 minutes.</w:t>
      </w:r>
    </w:p>
    <w:p w14:paraId="6FF4287B">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Core Interview Questions (Organized by the Four Self-Efficacy Domains)</w:t>
      </w:r>
    </w:p>
    <w:p w14:paraId="69830AC5">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[Mastery Experience] </w:t>
      </w:r>
      <w:r>
        <w:rPr>
          <w:rFonts w:ascii="Times New Roman" w:hAnsi="Times New Roman" w:eastAsia="Times New Roman" w:cs="Times New Roman"/>
          <w:kern w:val="0"/>
          <w:sz w:val="24"/>
          <w:szCs w:val="22"/>
          <w:lang w:eastAsia="en-US"/>
          <w14:ligatures w14:val="none"/>
        </w:rPr>
        <w:t>Under the current teaching model, what hands-on opportunities do you have to independently manage critical metabolic cases such as DKA, thyroid storm, and hypoglycemic coma under attending supervision? What is the approximate frequency of hands-on practice? Has your confidence changed after independent practice?</w:t>
      </w:r>
    </w:p>
    <w:p w14:paraId="5AF4A6A0">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[Vicarious Learning] </w:t>
      </w:r>
      <w:r>
        <w:rPr>
          <w:rFonts w:ascii="Times New Roman" w:hAnsi="Times New Roman" w:eastAsia="Times New Roman" w:cs="Times New Roman"/>
          <w:kern w:val="0"/>
          <w:sz w:val="24"/>
          <w:szCs w:val="22"/>
          <w:lang w:eastAsia="en-US"/>
          <w14:ligatures w14:val="none"/>
        </w:rPr>
        <w:t>Through which channels do you observe senior physicians perform standardized diagnosis and treatment of complete critical endocrine cases? Among online videos, bedside demonstrations, and case discussions, which observation format is most helpful to you?</w:t>
      </w:r>
    </w:p>
    <w:p w14:paraId="7E1C3729">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[Verbal Persuasion] </w:t>
      </w:r>
      <w:r>
        <w:rPr>
          <w:rFonts w:ascii="Times New Roman" w:hAnsi="Times New Roman" w:eastAsia="Times New Roman" w:cs="Times New Roman"/>
          <w:kern w:val="0"/>
          <w:sz w:val="24"/>
          <w:szCs w:val="22"/>
          <w:lang w:eastAsia="en-US"/>
          <w14:ligatures w14:val="none"/>
        </w:rPr>
        <w:t>Among the four stages—pre-class online Q&amp;A, in-class feedback, bedside teaching, and post-class case review—which type of feedback most effectively corrects your diagnostic reasoning? Is current bedside real-time guidance sufficient? What suggestions do you have for improvement?</w:t>
      </w:r>
    </w:p>
    <w:p w14:paraId="58E560F0">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[Positive Emotional State] </w:t>
      </w:r>
      <w:r>
        <w:rPr>
          <w:rFonts w:ascii="Times New Roman" w:hAnsi="Times New Roman" w:eastAsia="Times New Roman" w:cs="Times New Roman"/>
          <w:kern w:val="0"/>
          <w:sz w:val="24"/>
          <w:szCs w:val="22"/>
          <w:lang w:eastAsia="en-US"/>
          <w14:ligatures w14:val="none"/>
        </w:rPr>
        <w:t>Before and after participating in this standardized curriculum, have your feelings of nervousness, fear, or decision hesitation when facing sudden critical endocrine emergencies changed? Do CTTM 3D animations and simulated cases alleviate your clinical anxiety?</w:t>
      </w:r>
    </w:p>
    <w:p w14:paraId="734804D7">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[Overall Comparison] </w:t>
      </w:r>
      <w:r>
        <w:rPr>
          <w:rFonts w:ascii="Times New Roman" w:hAnsi="Times New Roman" w:eastAsia="Times New Roman" w:cs="Times New Roman"/>
          <w:kern w:val="0"/>
          <w:sz w:val="24"/>
          <w:szCs w:val="22"/>
          <w:lang w:eastAsia="en-US"/>
          <w14:ligatures w14:val="none"/>
        </w:rPr>
        <w:t>Comparing three formats—traditional lecture-only teaching, PBL online learning alone, and the full three-mode integrated teaching—which one better helps you overcome fear of managing critical cases, and why?</w:t>
      </w:r>
    </w:p>
    <w:p w14:paraId="01F9451E">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4"/>
          <w:szCs w:val="22"/>
          <w:lang w:eastAsia="en-US"/>
          <w14:ligatures w14:val="none"/>
        </w:rPr>
        <w:t xml:space="preserve">[Suggestions for Optimization] </w:t>
      </w:r>
      <w:r>
        <w:rPr>
          <w:rFonts w:ascii="Times New Roman" w:hAnsi="Times New Roman" w:eastAsia="Times New Roman" w:cs="Times New Roman"/>
          <w:kern w:val="0"/>
          <w:sz w:val="24"/>
          <w:szCs w:val="22"/>
          <w:lang w:eastAsia="en-US"/>
          <w14:ligatures w14:val="none"/>
        </w:rPr>
        <w:t>If you were to optimize this endocrine residency teaching program, which teaching components would you add or remove?</w:t>
      </w:r>
    </w:p>
    <w:p w14:paraId="1A783C84">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Closing Questions</w:t>
      </w:r>
    </w:p>
    <w:p w14:paraId="4463D945">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val="0"/>
          <w:kern w:val="0"/>
          <w:sz w:val="24"/>
          <w:szCs w:val="22"/>
          <w:lang w:eastAsia="en-US"/>
          <w14:ligatures w14:val="none"/>
        </w:rPr>
        <w:t>Is there any additional content related to critical metabolic case teaching or clinical confidence that you would like to share?</w:t>
      </w:r>
    </w:p>
    <w:p w14:paraId="0C062B9E">
      <w:pPr>
        <w:keepNext/>
        <w:keepLines/>
        <w:pageBreakBefore w:val="0"/>
        <w:widowControl/>
        <w:kinsoku/>
        <w:wordWrap/>
        <w:overflowPunct/>
        <w:topLinePunct w:val="0"/>
        <w:autoSpaceDE/>
        <w:autoSpaceDN/>
        <w:bidi w:val="0"/>
        <w:adjustRightInd/>
        <w:snapToGrid/>
        <w:spacing w:before="480" w:after="0" w:line="480" w:lineRule="auto"/>
        <w:textAlignment w:val="auto"/>
        <w:outlineLvl w:val="0"/>
        <w:rPr>
          <w:rFonts w:ascii="Calibri" w:hAnsi="Calibri" w:eastAsia="宋体" w:cs="Times New Roman"/>
          <w:b/>
          <w:bCs/>
          <w:color w:val="366091"/>
          <w:sz w:val="28"/>
          <w:szCs w:val="28"/>
          <w:lang w:val="en-US" w:eastAsia="en-US" w:bidi="ar-SA"/>
        </w:rPr>
      </w:pPr>
      <w:r>
        <w:rPr>
          <w:rFonts w:ascii="Times New Roman" w:hAnsi="Times New Roman" w:eastAsia="Times New Roman" w:cs="Times New Roman"/>
          <w:b/>
          <w:bCs/>
          <w:color w:val="000000"/>
          <w:sz w:val="28"/>
          <w:szCs w:val="28"/>
          <w:lang w:val="en-US" w:eastAsia="en-US" w:bidi="ar-SA"/>
        </w:rPr>
        <w:t>Supplementary Table 3  Multicollinearity Test Results for Quantitative Indicators</w:t>
      </w:r>
    </w:p>
    <w:p w14:paraId="4399B7D6">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Test Method</w:t>
      </w:r>
    </w:p>
    <w:p w14:paraId="19D19630">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val="0"/>
          <w:kern w:val="0"/>
          <w:sz w:val="24"/>
          <w:szCs w:val="22"/>
          <w:lang w:eastAsia="en-US"/>
          <w14:ligatures w14:val="none"/>
        </w:rPr>
        <w:t>Indicators included: theoretical examination score, clinical skills total score, GSES total score, self-developed self-efficacy questionnaire total score, and satisfaction mean score. Multicollinearity was assessed using linear regression tolerance and variance inflation factor (VIF). The criterion: VIF &lt; 5 indicates no significant multicollinearity.</w:t>
      </w:r>
    </w:p>
    <w:p w14:paraId="75B071DF">
      <w:pPr>
        <w:widowControl/>
        <w:spacing w:after="200" w:line="276" w:lineRule="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i w:val="0"/>
          <w:kern w:val="0"/>
          <w:sz w:val="24"/>
          <w:szCs w:val="22"/>
          <w:lang w:eastAsia="en-US"/>
          <w14:ligatures w14:val="none"/>
        </w:rPr>
        <w:t>Table</w:t>
      </w:r>
    </w:p>
    <w:tbl>
      <w:tblPr>
        <w:tblStyle w:val="17"/>
        <w:tblW w:w="0" w:type="auto"/>
        <w:jc w:val="cente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ayout w:type="autofit"/>
        <w:tblCellMar>
          <w:top w:w="0" w:type="dxa"/>
          <w:left w:w="108" w:type="dxa"/>
          <w:bottom w:w="0" w:type="dxa"/>
          <w:right w:w="108" w:type="dxa"/>
        </w:tblCellMar>
      </w:tblPr>
      <w:tblGrid>
        <w:gridCol w:w="2156"/>
        <w:gridCol w:w="2154"/>
        <w:gridCol w:w="2152"/>
        <w:gridCol w:w="2158"/>
      </w:tblGrid>
      <w:tr w14:paraId="456EC18D">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2160" w:type="dxa"/>
          </w:tcPr>
          <w:p w14:paraId="7E2161C8">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Indicator</w:t>
            </w:r>
          </w:p>
        </w:tc>
        <w:tc>
          <w:tcPr>
            <w:tcW w:w="2160" w:type="dxa"/>
          </w:tcPr>
          <w:p w14:paraId="58AAC134">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Tolerance</w:t>
            </w:r>
          </w:p>
        </w:tc>
        <w:tc>
          <w:tcPr>
            <w:tcW w:w="2160" w:type="dxa"/>
          </w:tcPr>
          <w:p w14:paraId="0F68B021">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VIF</w:t>
            </w:r>
          </w:p>
        </w:tc>
        <w:tc>
          <w:tcPr>
            <w:tcW w:w="2160" w:type="dxa"/>
          </w:tcPr>
          <w:p w14:paraId="22DFB12F">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Multicollinearity Judgment</w:t>
            </w:r>
          </w:p>
        </w:tc>
      </w:tr>
      <w:tr w14:paraId="20AB14E2">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2160" w:type="dxa"/>
          </w:tcPr>
          <w:p w14:paraId="10F9F10F">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Theoretical examination score</w:t>
            </w:r>
          </w:p>
        </w:tc>
        <w:tc>
          <w:tcPr>
            <w:tcW w:w="2160" w:type="dxa"/>
          </w:tcPr>
          <w:p w14:paraId="1261E0D4">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0.872</w:t>
            </w:r>
          </w:p>
        </w:tc>
        <w:tc>
          <w:tcPr>
            <w:tcW w:w="2160" w:type="dxa"/>
          </w:tcPr>
          <w:p w14:paraId="52B15A7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1.147</w:t>
            </w:r>
          </w:p>
        </w:tc>
        <w:tc>
          <w:tcPr>
            <w:tcW w:w="2160" w:type="dxa"/>
          </w:tcPr>
          <w:p w14:paraId="34F4AD0D">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No multicollinearity</w:t>
            </w:r>
          </w:p>
        </w:tc>
      </w:tr>
      <w:tr w14:paraId="3C1EB5D8">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2160" w:type="dxa"/>
          </w:tcPr>
          <w:p w14:paraId="22606CD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Clinical skills score</w:t>
            </w:r>
          </w:p>
        </w:tc>
        <w:tc>
          <w:tcPr>
            <w:tcW w:w="2160" w:type="dxa"/>
          </w:tcPr>
          <w:p w14:paraId="4125491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0.846</w:t>
            </w:r>
          </w:p>
        </w:tc>
        <w:tc>
          <w:tcPr>
            <w:tcW w:w="2160" w:type="dxa"/>
          </w:tcPr>
          <w:p w14:paraId="1008311B">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1.182</w:t>
            </w:r>
          </w:p>
        </w:tc>
        <w:tc>
          <w:tcPr>
            <w:tcW w:w="2160" w:type="dxa"/>
          </w:tcPr>
          <w:p w14:paraId="68DA0EEE">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No multicollinearity</w:t>
            </w:r>
          </w:p>
        </w:tc>
      </w:tr>
      <w:tr w14:paraId="023A1122">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2160" w:type="dxa"/>
          </w:tcPr>
          <w:p w14:paraId="457BF6F5">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GSES total score</w:t>
            </w:r>
          </w:p>
        </w:tc>
        <w:tc>
          <w:tcPr>
            <w:tcW w:w="2160" w:type="dxa"/>
          </w:tcPr>
          <w:p w14:paraId="53D708B3">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0.901</w:t>
            </w:r>
          </w:p>
        </w:tc>
        <w:tc>
          <w:tcPr>
            <w:tcW w:w="2160" w:type="dxa"/>
          </w:tcPr>
          <w:p w14:paraId="2C5255C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1.109</w:t>
            </w:r>
          </w:p>
        </w:tc>
        <w:tc>
          <w:tcPr>
            <w:tcW w:w="2160" w:type="dxa"/>
          </w:tcPr>
          <w:p w14:paraId="5C3B79A8">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No multicollinearity</w:t>
            </w:r>
          </w:p>
        </w:tc>
      </w:tr>
      <w:tr w14:paraId="5865F845">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2160" w:type="dxa"/>
          </w:tcPr>
          <w:p w14:paraId="6EBCD3E8">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Self-developed efficacy questionnaire total score</w:t>
            </w:r>
          </w:p>
        </w:tc>
        <w:tc>
          <w:tcPr>
            <w:tcW w:w="2160" w:type="dxa"/>
          </w:tcPr>
          <w:p w14:paraId="20D1A9C2">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0.885</w:t>
            </w:r>
          </w:p>
        </w:tc>
        <w:tc>
          <w:tcPr>
            <w:tcW w:w="2160" w:type="dxa"/>
          </w:tcPr>
          <w:p w14:paraId="72232FB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1.130</w:t>
            </w:r>
          </w:p>
        </w:tc>
        <w:tc>
          <w:tcPr>
            <w:tcW w:w="2160" w:type="dxa"/>
          </w:tcPr>
          <w:p w14:paraId="724A48FA">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No multicollinearity</w:t>
            </w:r>
          </w:p>
        </w:tc>
      </w:tr>
      <w:tr w14:paraId="14DA42A7">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2160" w:type="dxa"/>
          </w:tcPr>
          <w:p w14:paraId="45B908D5">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Satisfaction mean score</w:t>
            </w:r>
          </w:p>
        </w:tc>
        <w:tc>
          <w:tcPr>
            <w:tcW w:w="2160" w:type="dxa"/>
          </w:tcPr>
          <w:p w14:paraId="7C91ECE6">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0.914</w:t>
            </w:r>
          </w:p>
        </w:tc>
        <w:tc>
          <w:tcPr>
            <w:tcW w:w="2160" w:type="dxa"/>
          </w:tcPr>
          <w:p w14:paraId="428C5911">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1.094</w:t>
            </w:r>
          </w:p>
        </w:tc>
        <w:tc>
          <w:tcPr>
            <w:tcW w:w="2160" w:type="dxa"/>
          </w:tcPr>
          <w:p w14:paraId="20234EAA">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No multicollinearity</w:t>
            </w:r>
          </w:p>
        </w:tc>
      </w:tr>
    </w:tbl>
    <w:p w14:paraId="0E5CA0DC">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Conclusion</w:t>
      </w:r>
    </w:p>
    <w:p w14:paraId="2E308399">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val="0"/>
          <w:kern w:val="0"/>
          <w:sz w:val="24"/>
          <w:szCs w:val="22"/>
          <w:lang w:eastAsia="en-US"/>
          <w14:ligatures w14:val="none"/>
        </w:rPr>
        <w:t>The VIF values of all indicators are well below 5, indicating no significant multicollinearity among the quantitative assessment and scale indicators in this study. Analysis of variance and correlation analysis can be performed directly.</w:t>
      </w:r>
    </w:p>
    <w:p w14:paraId="2EB68153">
      <w:pPr>
        <w:keepNext/>
        <w:keepLines/>
        <w:pageBreakBefore w:val="0"/>
        <w:widowControl/>
        <w:kinsoku/>
        <w:wordWrap/>
        <w:overflowPunct/>
        <w:topLinePunct w:val="0"/>
        <w:autoSpaceDE/>
        <w:autoSpaceDN/>
        <w:bidi w:val="0"/>
        <w:adjustRightInd/>
        <w:snapToGrid/>
        <w:spacing w:before="480" w:after="0" w:line="480" w:lineRule="auto"/>
        <w:textAlignment w:val="auto"/>
        <w:outlineLvl w:val="0"/>
        <w:rPr>
          <w:rFonts w:ascii="Calibri" w:hAnsi="Calibri" w:eastAsia="宋体" w:cs="Times New Roman"/>
          <w:b/>
          <w:bCs/>
          <w:color w:val="366091"/>
          <w:sz w:val="28"/>
          <w:szCs w:val="28"/>
          <w:lang w:val="en-US" w:eastAsia="en-US" w:bidi="ar-SA"/>
        </w:rPr>
      </w:pPr>
      <w:r>
        <w:rPr>
          <w:rFonts w:ascii="Times New Roman" w:hAnsi="Times New Roman" w:eastAsia="Times New Roman" w:cs="Times New Roman"/>
          <w:b/>
          <w:bCs/>
          <w:color w:val="000000"/>
          <w:sz w:val="28"/>
          <w:szCs w:val="28"/>
          <w:lang w:val="en-US" w:eastAsia="en-US" w:bidi="ar-SA"/>
        </w:rPr>
        <w:t>Supplementary Table 4  Sensitivity Analysis Results After Excluding Participants with Extremely Low Baseline Self-Efficacy</w:t>
      </w:r>
    </w:p>
    <w:p w14:paraId="48A87BD4">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Inclusion/Exclusion Criteria</w:t>
      </w:r>
    </w:p>
    <w:p w14:paraId="479767D7">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val="0"/>
          <w:kern w:val="0"/>
          <w:sz w:val="24"/>
          <w:szCs w:val="22"/>
          <w:lang w:eastAsia="en-US"/>
          <w14:ligatures w14:val="none"/>
        </w:rPr>
        <w:t>Participants with a baseline self-developed efficacy questionnaire score ≤ 8 were defined as the extremely low self-efficacy group. A total of 11 participants were identified and excluded, after which three-group analysis of variance was repeated to verify the stability of the study conclusions.</w:t>
      </w:r>
    </w:p>
    <w:p w14:paraId="6BDE2547">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Sample Size After Exclusion</w:t>
      </w:r>
    </w:p>
    <w:p w14:paraId="007CDE1C">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val="0"/>
          <w:kern w:val="0"/>
          <w:sz w:val="24"/>
          <w:szCs w:val="22"/>
          <w:lang w:eastAsia="en-US"/>
          <w14:ligatures w14:val="none"/>
        </w:rPr>
        <w:t>Control group n = 27; Experimental Group 1 n = 26; Experimental Group 2 n = 26.</w:t>
      </w:r>
    </w:p>
    <w:p w14:paraId="02BAECA3">
      <w:pPr>
        <w:keepNext/>
        <w:keepLines/>
        <w:spacing w:before="200" w:after="0" w:line="276" w:lineRule="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Comparison of Core Indicators in Sensitivity Analysis (mean ± SD)</w:t>
      </w:r>
    </w:p>
    <w:tbl>
      <w:tblPr>
        <w:tblStyle w:val="17"/>
        <w:tblW w:w="0" w:type="auto"/>
        <w:jc w:val="cente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ayout w:type="autofit"/>
        <w:tblCellMar>
          <w:top w:w="0" w:type="dxa"/>
          <w:left w:w="108" w:type="dxa"/>
          <w:bottom w:w="0" w:type="dxa"/>
          <w:right w:w="108" w:type="dxa"/>
        </w:tblCellMar>
      </w:tblPr>
      <w:tblGrid>
        <w:gridCol w:w="1548"/>
        <w:gridCol w:w="1381"/>
        <w:gridCol w:w="1381"/>
        <w:gridCol w:w="1381"/>
        <w:gridCol w:w="1095"/>
        <w:gridCol w:w="1834"/>
      </w:tblGrid>
      <w:tr w14:paraId="2F4F2654">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1548" w:type="dxa"/>
          </w:tcPr>
          <w:p w14:paraId="6CC43BA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Indicator</w:t>
            </w:r>
          </w:p>
        </w:tc>
        <w:tc>
          <w:tcPr>
            <w:tcW w:w="1381" w:type="dxa"/>
          </w:tcPr>
          <w:p w14:paraId="1FF4211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Control Group</w:t>
            </w:r>
          </w:p>
        </w:tc>
        <w:tc>
          <w:tcPr>
            <w:tcW w:w="1381" w:type="dxa"/>
          </w:tcPr>
          <w:p w14:paraId="54B450C8">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Exp. Group 1</w:t>
            </w:r>
          </w:p>
        </w:tc>
        <w:tc>
          <w:tcPr>
            <w:tcW w:w="1381" w:type="dxa"/>
          </w:tcPr>
          <w:p w14:paraId="2FFF371E">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Exp. Group 2</w:t>
            </w:r>
          </w:p>
        </w:tc>
        <w:tc>
          <w:tcPr>
            <w:tcW w:w="1095" w:type="dxa"/>
          </w:tcPr>
          <w:p w14:paraId="12CCC342">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Overall P</w:t>
            </w:r>
          </w:p>
        </w:tc>
        <w:tc>
          <w:tcPr>
            <w:tcW w:w="1834" w:type="dxa"/>
          </w:tcPr>
          <w:p w14:paraId="46A9D95B">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Between-Group Trend</w:t>
            </w:r>
          </w:p>
        </w:tc>
      </w:tr>
      <w:tr w14:paraId="39C5406C">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1548" w:type="dxa"/>
          </w:tcPr>
          <w:p w14:paraId="0DAD8A94">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Theoretical score</w:t>
            </w:r>
          </w:p>
        </w:tc>
        <w:tc>
          <w:tcPr>
            <w:tcW w:w="1381" w:type="dxa"/>
          </w:tcPr>
          <w:p w14:paraId="1E402B93">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39.52±2.48</w:t>
            </w:r>
          </w:p>
        </w:tc>
        <w:tc>
          <w:tcPr>
            <w:tcW w:w="1381" w:type="dxa"/>
          </w:tcPr>
          <w:p w14:paraId="26FDECAA">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43.47±2.29</w:t>
            </w:r>
          </w:p>
        </w:tc>
        <w:tc>
          <w:tcPr>
            <w:tcW w:w="1381" w:type="dxa"/>
          </w:tcPr>
          <w:p w14:paraId="3C61A4B9">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44.96±3.08</w:t>
            </w:r>
          </w:p>
        </w:tc>
        <w:tc>
          <w:tcPr>
            <w:tcW w:w="1095" w:type="dxa"/>
          </w:tcPr>
          <w:p w14:paraId="12D7210E">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&lt;0.05</w:t>
            </w:r>
          </w:p>
        </w:tc>
        <w:tc>
          <w:tcPr>
            <w:tcW w:w="1834" w:type="dxa"/>
          </w:tcPr>
          <w:p w14:paraId="024E4177">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Exp.2 &gt; Exp.1 &gt; Control; consistent with original conclusion</w:t>
            </w:r>
          </w:p>
        </w:tc>
      </w:tr>
      <w:tr w14:paraId="04CB54D8">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1548" w:type="dxa"/>
          </w:tcPr>
          <w:p w14:paraId="35A19CD4">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Clinical skills</w:t>
            </w:r>
          </w:p>
        </w:tc>
        <w:tc>
          <w:tcPr>
            <w:tcW w:w="1381" w:type="dxa"/>
          </w:tcPr>
          <w:p w14:paraId="154CA2F5">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35.74±3.26</w:t>
            </w:r>
          </w:p>
        </w:tc>
        <w:tc>
          <w:tcPr>
            <w:tcW w:w="1381" w:type="dxa"/>
          </w:tcPr>
          <w:p w14:paraId="4B89891F">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36.81±3.37</w:t>
            </w:r>
          </w:p>
        </w:tc>
        <w:tc>
          <w:tcPr>
            <w:tcW w:w="1381" w:type="dxa"/>
          </w:tcPr>
          <w:p w14:paraId="36500981">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46.05±2.36</w:t>
            </w:r>
          </w:p>
        </w:tc>
        <w:tc>
          <w:tcPr>
            <w:tcW w:w="1095" w:type="dxa"/>
          </w:tcPr>
          <w:p w14:paraId="61323FB4">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&lt;0.05</w:t>
            </w:r>
          </w:p>
        </w:tc>
        <w:tc>
          <w:tcPr>
            <w:tcW w:w="1834" w:type="dxa"/>
          </w:tcPr>
          <w:p w14:paraId="7CCCFB4D">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Only Exp. Group 2 significantly elevated; consistent with original conclusion</w:t>
            </w:r>
          </w:p>
        </w:tc>
      </w:tr>
      <w:tr w14:paraId="69F927F6">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1548" w:type="dxa"/>
          </w:tcPr>
          <w:p w14:paraId="634C8052">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Self-developed efficacy total score</w:t>
            </w:r>
          </w:p>
        </w:tc>
        <w:tc>
          <w:tcPr>
            <w:tcW w:w="1381" w:type="dxa"/>
          </w:tcPr>
          <w:p w14:paraId="68D92C06">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17.21±2.04</w:t>
            </w:r>
          </w:p>
        </w:tc>
        <w:tc>
          <w:tcPr>
            <w:tcW w:w="1381" w:type="dxa"/>
          </w:tcPr>
          <w:p w14:paraId="0E2CF218">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18.33±2.15</w:t>
            </w:r>
          </w:p>
        </w:tc>
        <w:tc>
          <w:tcPr>
            <w:tcW w:w="1381" w:type="dxa"/>
          </w:tcPr>
          <w:p w14:paraId="4D5ADB55">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22.74±1.91</w:t>
            </w:r>
          </w:p>
        </w:tc>
        <w:tc>
          <w:tcPr>
            <w:tcW w:w="1095" w:type="dxa"/>
          </w:tcPr>
          <w:p w14:paraId="6DF9204F">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&lt;0.017</w:t>
            </w:r>
          </w:p>
        </w:tc>
        <w:tc>
          <w:tcPr>
            <w:tcW w:w="1834" w:type="dxa"/>
          </w:tcPr>
          <w:p w14:paraId="5824156A">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Exp. Group 2 consistently best across all four domains; no trend change</w:t>
            </w:r>
          </w:p>
        </w:tc>
      </w:tr>
    </w:tbl>
    <w:p w14:paraId="69196A86">
      <w:pPr>
        <w:keepNext/>
        <w:keepLines/>
        <w:pageBreakBefore w:val="0"/>
        <w:widowControl/>
        <w:kinsoku/>
        <w:wordWrap/>
        <w:overflowPunct/>
        <w:topLinePunct w:val="0"/>
        <w:autoSpaceDE/>
        <w:autoSpaceDN/>
        <w:bidi w:val="0"/>
        <w:adjustRightInd/>
        <w:snapToGrid/>
        <w:spacing w:before="200" w:after="0" w:line="480" w:lineRule="auto"/>
        <w:textAlignment w:val="auto"/>
        <w:outlineLvl w:val="1"/>
        <w:rPr>
          <w:rFonts w:ascii="Calibri" w:hAnsi="Calibri" w:eastAsia="宋体" w:cs="Times New Roman"/>
          <w:b/>
          <w:bCs/>
          <w:color w:val="4F81BD"/>
          <w:sz w:val="26"/>
          <w:szCs w:val="26"/>
          <w:lang w:val="en-US" w:eastAsia="en-US" w:bidi="ar-SA"/>
        </w:rPr>
      </w:pPr>
      <w:r>
        <w:rPr>
          <w:rFonts w:ascii="Times New Roman" w:hAnsi="Times New Roman" w:eastAsia="Times New Roman" w:cs="Times New Roman"/>
          <w:b/>
          <w:bCs/>
          <w:color w:val="000000"/>
          <w:sz w:val="26"/>
          <w:szCs w:val="26"/>
          <w:lang w:val="en-US" w:eastAsia="en-US" w:bidi="ar-SA"/>
        </w:rPr>
        <w:t>Sensitivity Analysis Conclusion</w:t>
      </w:r>
    </w:p>
    <w:p w14:paraId="63C55BEA">
      <w:pPr>
        <w:pageBreakBefore w:val="0"/>
        <w:widowControl/>
        <w:kinsoku/>
        <w:wordWrap/>
        <w:overflowPunct/>
        <w:topLinePunct w:val="0"/>
        <w:autoSpaceDE/>
        <w:autoSpaceDN/>
        <w:bidi w:val="0"/>
        <w:adjustRightInd/>
        <w:snapToGrid/>
        <w:spacing w:after="200" w:line="480" w:lineRule="auto"/>
        <w:textAlignment w:val="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val="0"/>
          <w:kern w:val="0"/>
          <w:sz w:val="24"/>
          <w:szCs w:val="22"/>
          <w:lang w:eastAsia="en-US"/>
          <w14:ligatures w14:val="none"/>
        </w:rPr>
        <w:t>After excluding participants with extremely low baseline self-efficacy, the between-group difference trends and statistical significance for theoretical scores, clinical skills, and self-efficacy scores across the three groups were fully consistent with those of the original complete sample. The main conclusions of this study are stable and not confounded by baseline extreme-low-efficacy samples.</w:t>
      </w:r>
    </w:p>
    <w:p w14:paraId="22F609AC">
      <w:pPr>
        <w:keepNext/>
        <w:keepLines/>
        <w:spacing w:before="480" w:after="0" w:line="276" w:lineRule="auto"/>
        <w:outlineLvl w:val="0"/>
        <w:rPr>
          <w:rFonts w:ascii="Calibri" w:hAnsi="Calibri" w:eastAsia="宋体" w:cs="Times New Roman"/>
          <w:b/>
          <w:bCs/>
          <w:color w:val="366091"/>
          <w:sz w:val="28"/>
          <w:szCs w:val="28"/>
          <w:lang w:val="en-US" w:eastAsia="en-US" w:bidi="ar-SA"/>
        </w:rPr>
      </w:pPr>
      <w:r>
        <w:rPr>
          <w:rFonts w:ascii="Times New Roman" w:hAnsi="Times New Roman" w:eastAsia="Times New Roman" w:cs="Times New Roman"/>
          <w:b/>
          <w:bCs/>
          <w:color w:val="000000"/>
          <w:sz w:val="28"/>
          <w:szCs w:val="28"/>
          <w:lang w:val="en-US" w:eastAsia="en-US" w:bidi="ar-SA"/>
        </w:rPr>
        <w:t>Supplementary Table 5  Complete Sub-Dimensional Raw Scores of the Four Domains of Self-Efficacy Across Three Groups (mean ± SD, n = 30)</w:t>
      </w:r>
    </w:p>
    <w:p w14:paraId="1A43B98F">
      <w:pPr>
        <w:widowControl/>
        <w:spacing w:after="200" w:line="276" w:lineRule="auto"/>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val="0"/>
          <w:i/>
          <w:kern w:val="0"/>
          <w:sz w:val="24"/>
          <w:szCs w:val="22"/>
          <w:lang w:eastAsia="en-US"/>
          <w14:ligatures w14:val="none"/>
        </w:rPr>
        <w:t>Note: Bonferroni-corrected α′ = 0.017; a vs. control group P &lt; 0.017, b vs. Experimental Group 1 P &lt; 0.017.</w:t>
      </w:r>
    </w:p>
    <w:tbl>
      <w:tblPr>
        <w:tblStyle w:val="17"/>
        <w:tblW w:w="0" w:type="auto"/>
        <w:jc w:val="cente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Layout w:type="autofit"/>
        <w:tblCellMar>
          <w:top w:w="0" w:type="dxa"/>
          <w:left w:w="108" w:type="dxa"/>
          <w:bottom w:w="0" w:type="dxa"/>
          <w:right w:w="108" w:type="dxa"/>
        </w:tblCellMar>
      </w:tblPr>
      <w:tblGrid>
        <w:gridCol w:w="1440"/>
        <w:gridCol w:w="1436"/>
        <w:gridCol w:w="1436"/>
        <w:gridCol w:w="1436"/>
        <w:gridCol w:w="1023"/>
        <w:gridCol w:w="1849"/>
      </w:tblGrid>
      <w:tr w14:paraId="3B91FB9C">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1440" w:type="dxa"/>
          </w:tcPr>
          <w:p w14:paraId="3B917033">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Self-Efficacy Domain</w:t>
            </w:r>
          </w:p>
        </w:tc>
        <w:tc>
          <w:tcPr>
            <w:tcW w:w="1436" w:type="dxa"/>
          </w:tcPr>
          <w:p w14:paraId="59E02CA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Control Group</w:t>
            </w:r>
          </w:p>
        </w:tc>
        <w:tc>
          <w:tcPr>
            <w:tcW w:w="1436" w:type="dxa"/>
          </w:tcPr>
          <w:p w14:paraId="3BA220D5">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Exp. Group 1</w:t>
            </w:r>
          </w:p>
        </w:tc>
        <w:tc>
          <w:tcPr>
            <w:tcW w:w="1436" w:type="dxa"/>
          </w:tcPr>
          <w:p w14:paraId="62B1301B">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Exp. Group 2</w:t>
            </w:r>
          </w:p>
        </w:tc>
        <w:tc>
          <w:tcPr>
            <w:tcW w:w="1023" w:type="dxa"/>
          </w:tcPr>
          <w:p w14:paraId="1C8F6F65">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P</w:t>
            </w:r>
          </w:p>
        </w:tc>
        <w:tc>
          <w:tcPr>
            <w:tcW w:w="1849" w:type="dxa"/>
          </w:tcPr>
          <w:p w14:paraId="32C407B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b/>
                <w:kern w:val="0"/>
                <w:sz w:val="22"/>
                <w:szCs w:val="22"/>
                <w:lang w:eastAsia="en-US"/>
                <w14:ligatures w14:val="none"/>
              </w:rPr>
              <w:t>Pairwise Differences</w:t>
            </w:r>
          </w:p>
        </w:tc>
      </w:tr>
      <w:tr w14:paraId="0C24406B">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1440" w:type="dxa"/>
          </w:tcPr>
          <w:p w14:paraId="36A80F6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Mastery Experience</w:t>
            </w:r>
          </w:p>
        </w:tc>
        <w:tc>
          <w:tcPr>
            <w:tcW w:w="1436" w:type="dxa"/>
          </w:tcPr>
          <w:p w14:paraId="6B065D17">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4.12±0.51</w:t>
            </w:r>
          </w:p>
        </w:tc>
        <w:tc>
          <w:tcPr>
            <w:tcW w:w="1436" w:type="dxa"/>
          </w:tcPr>
          <w:p w14:paraId="1AABF1A1">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4.35±0.48</w:t>
            </w:r>
          </w:p>
        </w:tc>
        <w:tc>
          <w:tcPr>
            <w:tcW w:w="1436" w:type="dxa"/>
          </w:tcPr>
          <w:p w14:paraId="1A5C116C">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5.76±0.43</w:t>
            </w:r>
          </w:p>
        </w:tc>
        <w:tc>
          <w:tcPr>
            <w:tcW w:w="1023" w:type="dxa"/>
          </w:tcPr>
          <w:p w14:paraId="03811833">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&lt;0.017</w:t>
            </w:r>
          </w:p>
        </w:tc>
        <w:tc>
          <w:tcPr>
            <w:tcW w:w="1849" w:type="dxa"/>
          </w:tcPr>
          <w:p w14:paraId="1C49AE09">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Exp.2 a, b; Exp.1 vs. control: no difference</w:t>
            </w:r>
          </w:p>
        </w:tc>
      </w:tr>
      <w:tr w14:paraId="1DD1841D">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1440" w:type="dxa"/>
          </w:tcPr>
          <w:p w14:paraId="519CE112">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Vicarious Learning</w:t>
            </w:r>
          </w:p>
        </w:tc>
        <w:tc>
          <w:tcPr>
            <w:tcW w:w="1436" w:type="dxa"/>
          </w:tcPr>
          <w:p w14:paraId="1EF9BE34">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4.08±0.49</w:t>
            </w:r>
          </w:p>
        </w:tc>
        <w:tc>
          <w:tcPr>
            <w:tcW w:w="1436" w:type="dxa"/>
          </w:tcPr>
          <w:p w14:paraId="528EA4E8">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4.41±0.52</w:t>
            </w:r>
          </w:p>
        </w:tc>
        <w:tc>
          <w:tcPr>
            <w:tcW w:w="1436" w:type="dxa"/>
          </w:tcPr>
          <w:p w14:paraId="1109B025">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5.68±0.40</w:t>
            </w:r>
          </w:p>
        </w:tc>
        <w:tc>
          <w:tcPr>
            <w:tcW w:w="1023" w:type="dxa"/>
          </w:tcPr>
          <w:p w14:paraId="21D48261">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&lt;0.017</w:t>
            </w:r>
          </w:p>
        </w:tc>
        <w:tc>
          <w:tcPr>
            <w:tcW w:w="1849" w:type="dxa"/>
          </w:tcPr>
          <w:p w14:paraId="39E4384A">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Exp.2 a, b; Exp.1 vs. control: no difference</w:t>
            </w:r>
          </w:p>
        </w:tc>
      </w:tr>
      <w:tr w14:paraId="18D53B2C">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1440" w:type="dxa"/>
          </w:tcPr>
          <w:p w14:paraId="15AF29A3">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Verbal Persuasion</w:t>
            </w:r>
          </w:p>
        </w:tc>
        <w:tc>
          <w:tcPr>
            <w:tcW w:w="1436" w:type="dxa"/>
          </w:tcPr>
          <w:p w14:paraId="7C3DDC73">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4.20±0.47</w:t>
            </w:r>
          </w:p>
        </w:tc>
        <w:tc>
          <w:tcPr>
            <w:tcW w:w="1436" w:type="dxa"/>
          </w:tcPr>
          <w:p w14:paraId="3CB9385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4.32±0.50</w:t>
            </w:r>
          </w:p>
        </w:tc>
        <w:tc>
          <w:tcPr>
            <w:tcW w:w="1436" w:type="dxa"/>
          </w:tcPr>
          <w:p w14:paraId="3BE861BC">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5.53±0.45</w:t>
            </w:r>
          </w:p>
        </w:tc>
        <w:tc>
          <w:tcPr>
            <w:tcW w:w="1023" w:type="dxa"/>
          </w:tcPr>
          <w:p w14:paraId="28F54052">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&lt;0.017</w:t>
            </w:r>
          </w:p>
        </w:tc>
        <w:tc>
          <w:tcPr>
            <w:tcW w:w="1849" w:type="dxa"/>
          </w:tcPr>
          <w:p w14:paraId="7886C6E3">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Exp.2 a, b; Exp.1 vs. control: no difference</w:t>
            </w:r>
          </w:p>
        </w:tc>
      </w:tr>
      <w:tr w14:paraId="57AE4429">
        <w:tblPrEx>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Ex>
        <w:trPr>
          <w:jc w:val="center"/>
        </w:trPr>
        <w:tc>
          <w:tcPr>
            <w:tcW w:w="1440" w:type="dxa"/>
          </w:tcPr>
          <w:p w14:paraId="177782EF">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Positive Emotional State</w:t>
            </w:r>
          </w:p>
        </w:tc>
        <w:tc>
          <w:tcPr>
            <w:tcW w:w="1436" w:type="dxa"/>
          </w:tcPr>
          <w:p w14:paraId="3D86721C">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4.01±0.53</w:t>
            </w:r>
          </w:p>
        </w:tc>
        <w:tc>
          <w:tcPr>
            <w:tcW w:w="1436" w:type="dxa"/>
          </w:tcPr>
          <w:p w14:paraId="389ECAA0">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4.28±0.46</w:t>
            </w:r>
          </w:p>
        </w:tc>
        <w:tc>
          <w:tcPr>
            <w:tcW w:w="1436" w:type="dxa"/>
          </w:tcPr>
          <w:p w14:paraId="7800F6D8">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5.82±0.39</w:t>
            </w:r>
          </w:p>
        </w:tc>
        <w:tc>
          <w:tcPr>
            <w:tcW w:w="1023" w:type="dxa"/>
          </w:tcPr>
          <w:p w14:paraId="742D3E8E">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&lt;0.017</w:t>
            </w:r>
          </w:p>
        </w:tc>
        <w:tc>
          <w:tcPr>
            <w:tcW w:w="1849" w:type="dxa"/>
          </w:tcPr>
          <w:p w14:paraId="4FE03A9D">
            <w:pPr>
              <w:widowControl/>
              <w:spacing w:after="0" w:line="240" w:lineRule="auto"/>
              <w:jc w:val="center"/>
              <w:rPr>
                <w:rFonts w:ascii="Times New Roman" w:hAnsi="Times New Roman" w:eastAsia="Times New Roman" w:cs="Times New Roman"/>
                <w:kern w:val="0"/>
                <w:sz w:val="24"/>
                <w:szCs w:val="22"/>
                <w:lang w:eastAsia="en-US"/>
                <w14:ligatures w14:val="none"/>
              </w:rPr>
            </w:pPr>
            <w:r>
              <w:rPr>
                <w:rFonts w:ascii="Times New Roman" w:hAnsi="Times New Roman" w:eastAsia="Times New Roman" w:cs="Times New Roman"/>
                <w:kern w:val="0"/>
                <w:sz w:val="22"/>
                <w:szCs w:val="22"/>
                <w:lang w:eastAsia="en-US"/>
                <w14:ligatures w14:val="none"/>
              </w:rPr>
              <w:t>Exp.2 a, b; Exp.1 vs. control: no difference</w:t>
            </w:r>
          </w:p>
        </w:tc>
      </w:tr>
    </w:tbl>
    <w:p w14:paraId="666F09CF">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6D0763"/>
    <w:multiLevelType w:val="singleLevel"/>
    <w:tmpl w:val="406D0763"/>
    <w:lvl w:ilvl="0" w:tentative="0">
      <w:start w:val="5"/>
      <w:numFmt w:val="decimal"/>
      <w:suff w:val="space"/>
      <w:lvlText w:val="%1."/>
      <w:lvlJc w:val="left"/>
      <w:rPr>
        <w:rFonts w:hint="default"/>
        <w:b/>
        <w:bC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8"/>
  <w:bordersDoNotSurroundHeader w:val="1"/>
  <w:bordersDoNotSurroundFooter w:val="1"/>
  <w:documentProtection w:enforcement="0"/>
  <w:defaultTabStop w:val="420"/>
  <w:drawingGridHorizontalSpacing w:val="11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3984"/>
    <w:rsid w:val="00261301"/>
    <w:rsid w:val="00313984"/>
    <w:rsid w:val="00373CBE"/>
    <w:rsid w:val="005B24D3"/>
    <w:rsid w:val="006F0B19"/>
    <w:rsid w:val="00737D11"/>
    <w:rsid w:val="00B24141"/>
    <w:rsid w:val="00D71271"/>
    <w:rsid w:val="2D973A5F"/>
    <w:rsid w:val="451637C8"/>
    <w:rsid w:val="46C202E8"/>
    <w:rsid w:val="56F30FEC"/>
    <w:rsid w:val="75CD7E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qFormat="1"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2F5597"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2F5597"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5">
    <w:name w:val="Normal Table"/>
    <w:semiHidden/>
    <w:unhideWhenUsed/>
    <w:uiPriority w:val="99"/>
    <w:tblPr>
      <w:tblCellMar>
        <w:top w:w="0" w:type="dxa"/>
        <w:left w:w="108" w:type="dxa"/>
        <w:bottom w:w="0" w:type="dxa"/>
        <w:right w:w="108" w:type="dxa"/>
      </w:tblCellMar>
    </w:tblPr>
  </w:style>
  <w:style w:type="paragraph" w:styleId="11">
    <w:name w:val="footer"/>
    <w:basedOn w:val="1"/>
    <w:link w:val="38"/>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7"/>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7">
    <w:name w:val="Light Grid Accent 1"/>
    <w:basedOn w:val="15"/>
    <w:qFormat/>
    <w:uiPriority w:val="62"/>
    <w:pPr>
      <w:spacing w:after="0" w:line="240" w:lineRule="auto"/>
    </w:p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character" w:customStyle="1" w:styleId="19">
    <w:name w:val="标题 1 字符"/>
    <w:basedOn w:val="18"/>
    <w:link w:val="2"/>
    <w:uiPriority w:val="9"/>
    <w:rPr>
      <w:rFonts w:asciiTheme="majorHAnsi" w:hAnsiTheme="majorHAnsi" w:eastAsiaTheme="majorEastAsia" w:cstheme="majorBidi"/>
      <w:color w:val="2F5597"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2">
    <w:name w:val="标题 4 字符"/>
    <w:basedOn w:val="18"/>
    <w:link w:val="5"/>
    <w:semiHidden/>
    <w:qFormat/>
    <w:uiPriority w:val="9"/>
    <w:rPr>
      <w:rFonts w:cstheme="majorBidi"/>
      <w:color w:val="2F5597" w:themeColor="accent1" w:themeShade="BF"/>
      <w:sz w:val="28"/>
      <w:szCs w:val="28"/>
    </w:rPr>
  </w:style>
  <w:style w:type="character" w:customStyle="1" w:styleId="23">
    <w:name w:val="标题 5 字符"/>
    <w:basedOn w:val="18"/>
    <w:link w:val="6"/>
    <w:semiHidden/>
    <w:qFormat/>
    <w:uiPriority w:val="9"/>
    <w:rPr>
      <w:rFonts w:cstheme="majorBidi"/>
      <w:color w:val="2F5597" w:themeColor="accent1" w:themeShade="BF"/>
      <w:sz w:val="24"/>
    </w:rPr>
  </w:style>
  <w:style w:type="character" w:customStyle="1" w:styleId="24">
    <w:name w:val="标题 6 字符"/>
    <w:basedOn w:val="18"/>
    <w:link w:val="7"/>
    <w:semiHidden/>
    <w:qFormat/>
    <w:uiPriority w:val="9"/>
    <w:rPr>
      <w:rFonts w:cstheme="majorBidi"/>
      <w:b/>
      <w:bCs/>
      <w:color w:val="2F5597"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4"/>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2F5597" w:themeColor="accent1" w:themeShade="BF"/>
    </w:rPr>
  </w:style>
  <w:style w:type="paragraph" w:styleId="34">
    <w:name w:val="Intense Quote"/>
    <w:basedOn w:val="1"/>
    <w:next w:val="1"/>
    <w:link w:val="35"/>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5">
    <w:name w:val="明显引用 字符"/>
    <w:basedOn w:val="18"/>
    <w:link w:val="34"/>
    <w:qFormat/>
    <w:uiPriority w:val="30"/>
    <w:rPr>
      <w:i/>
      <w:iCs/>
      <w:color w:val="2F5597" w:themeColor="accent1" w:themeShade="BF"/>
    </w:rPr>
  </w:style>
  <w:style w:type="character" w:customStyle="1" w:styleId="36">
    <w:name w:val="Intense Reference"/>
    <w:basedOn w:val="18"/>
    <w:qFormat/>
    <w:uiPriority w:val="32"/>
    <w:rPr>
      <w:b/>
      <w:bCs/>
      <w:smallCaps/>
      <w:color w:val="2F5597" w:themeColor="accent1" w:themeShade="BF"/>
      <w:spacing w:val="5"/>
    </w:rPr>
  </w:style>
  <w:style w:type="character" w:customStyle="1" w:styleId="37">
    <w:name w:val="页眉 字符"/>
    <w:basedOn w:val="18"/>
    <w:link w:val="12"/>
    <w:qFormat/>
    <w:uiPriority w:val="99"/>
    <w:rPr>
      <w:sz w:val="18"/>
      <w:szCs w:val="18"/>
    </w:rPr>
  </w:style>
  <w:style w:type="character" w:customStyle="1" w:styleId="38">
    <w:name w:val="页脚 字符"/>
    <w:basedOn w:val="18"/>
    <w:link w:val="11"/>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803</Words>
  <Characters>5257</Characters>
  <Lines>29</Lines>
  <Paragraphs>8</Paragraphs>
  <TotalTime>2</TotalTime>
  <ScaleCrop>false</ScaleCrop>
  <LinksUpToDate>false</LinksUpToDate>
  <CharactersWithSpaces>6023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2025-08-10T10:58:00Z</dcterms:created>
  <dc:creator>静 徐</dc:creator>
  <cp:lastModifiedBy>赵剑勇</cp:lastModifiedBy>
  <dcterms:modified xsi:type="dcterms:W3CDTF">2026-08-25T02:43:43Z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eyJoZGlkIjoiMmFjMDRhN2MzNjQ3NjhjMTg3ZjE2NDgxYmRkM2M5NjEiLCJ1c2VySWQiOiI0MjM3NDM3MzIifQ==</vt:lpwstr>
  </property>
  <property fmtid="{D5CDD505-2E9C-101B-9397-08002B2CF9AE}" pid="3" name="KSOProductBuildVer">
    <vt:lpwstr>2052-12.1.0.28043</vt:lpwstr>
  </property>
  <property fmtid="{D5CDD505-2E9C-101B-9397-08002B2CF9AE}" pid="4" name="ICV">
    <vt:lpwstr>292EDAE9E3A042FC95DB671286C81AEF_12</vt:lpwstr>
  </property>
</Properties>
</file>