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B195EB" w14:textId="421C2582" w:rsidR="00105433" w:rsidRPr="00105433" w:rsidRDefault="00105433" w:rsidP="00105433">
      <w:pPr>
        <w:pStyle w:val="NormalWeb"/>
        <w:spacing w:line="360" w:lineRule="auto"/>
        <w:jc w:val="both"/>
        <w:rPr>
          <w:sz w:val="22"/>
          <w:szCs w:val="22"/>
        </w:rPr>
      </w:pPr>
      <w:r w:rsidRPr="00B7610B">
        <w:rPr>
          <w:rFonts w:ascii="TimesNewRomanPS" w:hAnsi="TimesNewRomanPS"/>
          <w:b/>
          <w:bCs/>
          <w:sz w:val="22"/>
          <w:szCs w:val="22"/>
          <w:lang w:val="en-US"/>
        </w:rPr>
        <w:t>Supplementary Data 1</w:t>
      </w:r>
      <w:r w:rsidRPr="00B7610B">
        <w:rPr>
          <w:rFonts w:ascii="TimesNewRomanPSMT" w:hAnsi="TimesNewRomanPSMT"/>
          <w:sz w:val="22"/>
          <w:szCs w:val="22"/>
          <w:lang w:val="en-US"/>
        </w:rPr>
        <w:t xml:space="preserve">. </w:t>
      </w:r>
      <w:r w:rsidRPr="00B7610B">
        <w:rPr>
          <w:rFonts w:ascii="TimesNewRomanPS" w:hAnsi="TimesNewRomanPS"/>
          <w:b/>
          <w:bCs/>
          <w:sz w:val="22"/>
          <w:szCs w:val="22"/>
          <w:lang w:val="en-US"/>
        </w:rPr>
        <w:t xml:space="preserve">Olfactory neuroblast survival after 6-OHDA administration and/or abrogation of newborn cells. </w:t>
      </w:r>
      <w:r w:rsidRPr="00B7610B">
        <w:rPr>
          <w:rFonts w:ascii="TimesNewRomanPSMT" w:hAnsi="TimesNewRomanPSMT"/>
          <w:sz w:val="22"/>
          <w:szCs w:val="22"/>
          <w:lang w:val="en-US"/>
        </w:rPr>
        <w:t xml:space="preserve">The olfactory bulb slices were divided into subregions, </w:t>
      </w:r>
      <w:r w:rsidR="00142CD7">
        <w:rPr>
          <w:rFonts w:ascii="TimesNewRomanPSMT" w:hAnsi="TimesNewRomanPSMT"/>
          <w:sz w:val="22"/>
          <w:szCs w:val="22"/>
          <w:lang w:val="en-US"/>
        </w:rPr>
        <w:t>including</w:t>
      </w:r>
      <w:r w:rsidRPr="00B7610B">
        <w:rPr>
          <w:rFonts w:ascii="TimesNewRomanPSMT" w:hAnsi="TimesNewRomanPSMT"/>
          <w:sz w:val="22"/>
          <w:szCs w:val="22"/>
          <w:lang w:val="en-US"/>
        </w:rPr>
        <w:t xml:space="preserve"> the subependymal zone, the mitral layer, the inner plexiform layer</w:t>
      </w:r>
      <w:r w:rsidR="00142CD7">
        <w:rPr>
          <w:rFonts w:ascii="TimesNewRomanPSMT" w:hAnsi="TimesNewRomanPSMT"/>
          <w:sz w:val="22"/>
          <w:szCs w:val="22"/>
          <w:lang w:val="en-US"/>
        </w:rPr>
        <w:t>,</w:t>
      </w:r>
      <w:r w:rsidRPr="00B7610B">
        <w:rPr>
          <w:rFonts w:ascii="TimesNewRomanPSMT" w:hAnsi="TimesNewRomanPSMT"/>
          <w:sz w:val="22"/>
          <w:szCs w:val="22"/>
          <w:lang w:val="en-US"/>
        </w:rPr>
        <w:t xml:space="preserve"> and the granule layer. A) In the subependymal zone, there were no significant differences between brain hemispheres regarding the neuroblast staining (DCX). B) </w:t>
      </w:r>
      <w:r w:rsidR="00142CD7">
        <w:rPr>
          <w:rFonts w:ascii="TimesNewRomanPSMT" w:hAnsi="TimesNewRomanPSMT"/>
          <w:sz w:val="22"/>
          <w:szCs w:val="22"/>
          <w:lang w:val="en-US"/>
        </w:rPr>
        <w:t>O</w:t>
      </w:r>
      <w:r w:rsidRPr="00B7610B">
        <w:rPr>
          <w:rFonts w:ascii="TimesNewRomanPSMT" w:hAnsi="TimesNewRomanPSMT"/>
          <w:sz w:val="22"/>
          <w:szCs w:val="22"/>
          <w:lang w:val="en-US"/>
        </w:rPr>
        <w:t xml:space="preserve">n the ipsilateral side, there were no differences in either the D) anterior or E) posterior regions. C) Also, in the area occupied by DCX, there were no differences. F, G) In the mitral region, no significant differences were detected either in its F) densities or in the G) area occupied in the region. H, I) Similar results were obtained in the inner plexiform layer, and J, K) in the granule layer. K). </w:t>
      </w:r>
      <w:r w:rsidRPr="00B7610B">
        <w:rPr>
          <w:rFonts w:ascii="ZapfDingbatsITC" w:hAnsi="ZapfDingbatsITC"/>
          <w:color w:val="0F4C51"/>
          <w:sz w:val="22"/>
          <w:szCs w:val="22"/>
          <w:lang w:val="en-US"/>
        </w:rPr>
        <w:t xml:space="preserve"> </w:t>
      </w:r>
      <w:r w:rsidRPr="00B7610B">
        <w:rPr>
          <w:rFonts w:ascii="TimesNewRomanPSMT" w:hAnsi="TimesNewRomanPSMT"/>
          <w:sz w:val="22"/>
          <w:szCs w:val="22"/>
          <w:lang w:val="en-US"/>
        </w:rPr>
        <w:t xml:space="preserve">Representative fluorescent images with tyrosine hydroxylase (TH) and DCX staining in rat olfactory bulb slices. The data </w:t>
      </w:r>
      <w:r w:rsidR="00142CD7">
        <w:rPr>
          <w:rFonts w:ascii="TimesNewRomanPSMT" w:hAnsi="TimesNewRomanPSMT"/>
          <w:sz w:val="22"/>
          <w:szCs w:val="22"/>
          <w:lang w:val="en-US"/>
        </w:rPr>
        <w:t>is presented as mean ± SEM, where statistical differences were considered at p &lt; 0.05</w:t>
      </w:r>
      <w:r w:rsidR="00142CD7">
        <w:rPr>
          <w:rFonts w:ascii="TimesNewRomanPSMT" w:hAnsi="TimesNewRomanPSMT"/>
          <w:sz w:val="22"/>
          <w:szCs w:val="22"/>
        </w:rPr>
        <w:t>.</w:t>
      </w:r>
      <w:r w:rsidRPr="00105433">
        <w:rPr>
          <w:rFonts w:ascii="TimesNewRomanPSMT" w:hAnsi="TimesNewRomanPSMT"/>
          <w:sz w:val="22"/>
          <w:szCs w:val="22"/>
        </w:rPr>
        <w:t xml:space="preserve"> </w:t>
      </w:r>
    </w:p>
    <w:p w14:paraId="293BA25D" w14:textId="75B05594" w:rsidR="00A455EA" w:rsidRPr="00A455EA" w:rsidRDefault="00A455EA" w:rsidP="00105433">
      <w:pPr>
        <w:pStyle w:val="NormalWeb"/>
        <w:rPr>
          <w:rFonts w:ascii="TimesNewRomanPSMT" w:hAnsi="TimesNewRomanPSMT"/>
          <w:sz w:val="20"/>
          <w:szCs w:val="20"/>
        </w:rPr>
      </w:pPr>
    </w:p>
    <w:p w14:paraId="0498F4C3" w14:textId="5D19DBF1" w:rsidR="00105433" w:rsidRPr="00142CD7" w:rsidRDefault="00105433" w:rsidP="00682C19">
      <w:pPr>
        <w:pStyle w:val="NormalWeb"/>
        <w:spacing w:line="360" w:lineRule="auto"/>
        <w:jc w:val="both"/>
        <w:rPr>
          <w:lang w:val="en-US"/>
        </w:rPr>
      </w:pPr>
      <w:r w:rsidRPr="00142CD7">
        <w:rPr>
          <w:b/>
          <w:bCs/>
          <w:sz w:val="22"/>
          <w:szCs w:val="22"/>
          <w:lang w:val="en-US"/>
        </w:rPr>
        <w:t>Supplementary Data 2</w:t>
      </w:r>
      <w:r w:rsidRPr="00142CD7">
        <w:rPr>
          <w:sz w:val="22"/>
          <w:szCs w:val="22"/>
          <w:lang w:val="en-US"/>
        </w:rPr>
        <w:t xml:space="preserve">. </w:t>
      </w:r>
      <w:r w:rsidRPr="00142CD7">
        <w:rPr>
          <w:b/>
          <w:bCs/>
          <w:sz w:val="22"/>
          <w:szCs w:val="22"/>
          <w:lang w:val="en-US"/>
        </w:rPr>
        <w:t xml:space="preserve">Olfactory dopaminergic neurons’ degeneration after 6-OHDA administration and/or abrogation of newborn cells. </w:t>
      </w:r>
      <w:r w:rsidRPr="00142CD7">
        <w:rPr>
          <w:sz w:val="22"/>
          <w:szCs w:val="22"/>
          <w:lang w:val="en-US"/>
        </w:rPr>
        <w:t xml:space="preserve">The olfactory bulb slices were divided into subregions, </w:t>
      </w:r>
      <w:r w:rsidR="00A455EA">
        <w:rPr>
          <w:sz w:val="22"/>
          <w:szCs w:val="22"/>
          <w:lang w:val="en-US"/>
        </w:rPr>
        <w:t>including</w:t>
      </w:r>
      <w:r w:rsidRPr="00142CD7">
        <w:rPr>
          <w:sz w:val="22"/>
          <w:szCs w:val="22"/>
          <w:lang w:val="en-US"/>
        </w:rPr>
        <w:t xml:space="preserve"> the glomerular layer, outer plexiform layer, mitral layer, inner plexiform layer, and granule layer. A) In the glomerular layer, the WT and Tk 6-OHDA revealed differences between the ipsilateral and contralateral sides (STAT). B) </w:t>
      </w:r>
      <w:r w:rsidR="00A455EA">
        <w:rPr>
          <w:sz w:val="22"/>
          <w:szCs w:val="22"/>
          <w:lang w:val="en-US"/>
        </w:rPr>
        <w:t>However</w:t>
      </w:r>
      <w:r w:rsidRPr="00142CD7">
        <w:rPr>
          <w:sz w:val="22"/>
          <w:szCs w:val="22"/>
          <w:lang w:val="en-US"/>
        </w:rPr>
        <w:t>, the tyrosine hydroxylase (TH) density did not differ between groups, even when the C) anterior and D) posterior slices were analy</w:t>
      </w:r>
      <w:r w:rsidR="00A455EA">
        <w:rPr>
          <w:sz w:val="22"/>
          <w:szCs w:val="22"/>
          <w:lang w:val="en-US"/>
        </w:rPr>
        <w:t>z</w:t>
      </w:r>
      <w:r w:rsidRPr="00142CD7">
        <w:rPr>
          <w:sz w:val="22"/>
          <w:szCs w:val="22"/>
          <w:lang w:val="en-US"/>
        </w:rPr>
        <w:t>ed separately. Similarly, on the ipsilateral side, the outer plexiform layer, mitral layer</w:t>
      </w:r>
      <w:r w:rsidR="00A455EA">
        <w:rPr>
          <w:sz w:val="22"/>
          <w:szCs w:val="22"/>
          <w:lang w:val="en-US"/>
        </w:rPr>
        <w:t>,</w:t>
      </w:r>
      <w:r w:rsidRPr="00142CD7">
        <w:rPr>
          <w:sz w:val="22"/>
          <w:szCs w:val="22"/>
          <w:lang w:val="en-US"/>
        </w:rPr>
        <w:t xml:space="preserve"> and inner plexiform layer </w:t>
      </w:r>
      <w:r w:rsidR="00A455EA">
        <w:rPr>
          <w:sz w:val="22"/>
          <w:szCs w:val="22"/>
          <w:lang w:val="en-US"/>
        </w:rPr>
        <w:t>showe</w:t>
      </w:r>
      <w:r w:rsidRPr="00142CD7">
        <w:rPr>
          <w:sz w:val="22"/>
          <w:szCs w:val="22"/>
          <w:lang w:val="en-US"/>
        </w:rPr>
        <w:t xml:space="preserve">d no </w:t>
      </w:r>
      <w:r w:rsidR="00A455EA">
        <w:rPr>
          <w:sz w:val="22"/>
          <w:szCs w:val="22"/>
          <w:lang w:val="en-US"/>
        </w:rPr>
        <w:t>statistically</w:t>
      </w:r>
      <w:r w:rsidRPr="00142CD7">
        <w:rPr>
          <w:sz w:val="22"/>
          <w:szCs w:val="22"/>
          <w:lang w:val="en-US"/>
        </w:rPr>
        <w:t xml:space="preserve"> s</w:t>
      </w:r>
      <w:r w:rsidR="00A455EA">
        <w:rPr>
          <w:sz w:val="22"/>
          <w:szCs w:val="22"/>
          <w:lang w:val="en-US"/>
        </w:rPr>
        <w:t>ignificant</w:t>
      </w:r>
      <w:r w:rsidRPr="00142CD7">
        <w:rPr>
          <w:sz w:val="22"/>
          <w:szCs w:val="22"/>
          <w:lang w:val="en-US"/>
        </w:rPr>
        <w:t xml:space="preserve"> differences. G) The Tk 6- OHDA exhibited higher densities of TH+ cells in the granule layer when compared to Tk and WT 6-OHDA (</w:t>
      </w:r>
      <w:r w:rsidRPr="00142CD7">
        <w:rPr>
          <w:i/>
          <w:iCs/>
          <w:sz w:val="22"/>
          <w:szCs w:val="22"/>
          <w:lang w:val="en-US"/>
        </w:rPr>
        <w:t>p</w:t>
      </w:r>
      <w:r w:rsidRPr="00142CD7">
        <w:rPr>
          <w:sz w:val="22"/>
          <w:szCs w:val="22"/>
          <w:lang w:val="en-US"/>
        </w:rPr>
        <w:t xml:space="preserve">=0.039). The data is presented </w:t>
      </w:r>
      <w:r w:rsidR="00A455EA">
        <w:rPr>
          <w:sz w:val="22"/>
          <w:szCs w:val="22"/>
          <w:lang w:val="en-US"/>
        </w:rPr>
        <w:t>as</w:t>
      </w:r>
      <w:r w:rsidRPr="00142CD7">
        <w:rPr>
          <w:sz w:val="22"/>
          <w:szCs w:val="22"/>
          <w:lang w:val="en-US"/>
        </w:rPr>
        <w:t xml:space="preserve"> mean ± SEM, where statistical differences were considered when </w:t>
      </w:r>
    </w:p>
    <w:p w14:paraId="0562D271" w14:textId="7AF27EC7" w:rsidR="00105433" w:rsidRDefault="00105433"/>
    <w:sectPr w:rsidR="001054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pitch w:val="default"/>
  </w:font>
  <w:font w:name="ZapfDingbatsITC">
    <w:altName w:val="Cambria"/>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433"/>
    <w:rsid w:val="00105433"/>
    <w:rsid w:val="00142CD7"/>
    <w:rsid w:val="004319B7"/>
    <w:rsid w:val="004F1352"/>
    <w:rsid w:val="00516423"/>
    <w:rsid w:val="00682C19"/>
    <w:rsid w:val="006C386A"/>
    <w:rsid w:val="007D11CF"/>
    <w:rsid w:val="00A455EA"/>
    <w:rsid w:val="00AF6578"/>
    <w:rsid w:val="00B7610B"/>
    <w:rsid w:val="00CE59D3"/>
    <w:rsid w:val="00D924B2"/>
    <w:rsid w:val="00E516E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4:docId w14:val="1969B351"/>
  <w15:chartTrackingRefBased/>
  <w15:docId w15:val="{5FE95197-12A0-6F4B-B109-95D7EF41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1054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1054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10543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10543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10543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10543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10543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10543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105433"/>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105433"/>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105433"/>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105433"/>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105433"/>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105433"/>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105433"/>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105433"/>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105433"/>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105433"/>
    <w:rPr>
      <w:rFonts w:eastAsiaTheme="majorEastAsia" w:cstheme="majorBidi"/>
      <w:color w:val="272727" w:themeColor="text1" w:themeTint="D8"/>
    </w:rPr>
  </w:style>
  <w:style w:type="paragraph" w:styleId="Ttulo">
    <w:name w:val="Title"/>
    <w:basedOn w:val="Normal"/>
    <w:next w:val="Normal"/>
    <w:link w:val="TtuloCarter"/>
    <w:uiPriority w:val="10"/>
    <w:qFormat/>
    <w:rsid w:val="00105433"/>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10543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105433"/>
    <w:pPr>
      <w:numPr>
        <w:ilvl w:val="1"/>
      </w:numPr>
      <w:spacing w:after="160"/>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105433"/>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105433"/>
    <w:pPr>
      <w:spacing w:before="160" w:after="160"/>
      <w:jc w:val="center"/>
    </w:pPr>
    <w:rPr>
      <w:i/>
      <w:iCs/>
      <w:color w:val="404040" w:themeColor="text1" w:themeTint="BF"/>
    </w:rPr>
  </w:style>
  <w:style w:type="character" w:customStyle="1" w:styleId="CitaoCarter">
    <w:name w:val="Citação Caráter"/>
    <w:basedOn w:val="Tipodeletrapredefinidodopargrafo"/>
    <w:link w:val="Citao"/>
    <w:uiPriority w:val="29"/>
    <w:rsid w:val="00105433"/>
    <w:rPr>
      <w:i/>
      <w:iCs/>
      <w:color w:val="404040" w:themeColor="text1" w:themeTint="BF"/>
    </w:rPr>
  </w:style>
  <w:style w:type="paragraph" w:styleId="PargrafodaLista">
    <w:name w:val="List Paragraph"/>
    <w:basedOn w:val="Normal"/>
    <w:uiPriority w:val="34"/>
    <w:qFormat/>
    <w:rsid w:val="00105433"/>
    <w:pPr>
      <w:ind w:left="720"/>
      <w:contextualSpacing/>
    </w:pPr>
  </w:style>
  <w:style w:type="character" w:styleId="nfaseIntensa">
    <w:name w:val="Intense Emphasis"/>
    <w:basedOn w:val="Tipodeletrapredefinidodopargrafo"/>
    <w:uiPriority w:val="21"/>
    <w:qFormat/>
    <w:rsid w:val="00105433"/>
    <w:rPr>
      <w:i/>
      <w:iCs/>
      <w:color w:val="0F4761" w:themeColor="accent1" w:themeShade="BF"/>
    </w:rPr>
  </w:style>
  <w:style w:type="paragraph" w:styleId="CitaoIntensa">
    <w:name w:val="Intense Quote"/>
    <w:basedOn w:val="Normal"/>
    <w:next w:val="Normal"/>
    <w:link w:val="CitaoIntensaCarter"/>
    <w:uiPriority w:val="30"/>
    <w:qFormat/>
    <w:rsid w:val="00105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105433"/>
    <w:rPr>
      <w:i/>
      <w:iCs/>
      <w:color w:val="0F4761" w:themeColor="accent1" w:themeShade="BF"/>
    </w:rPr>
  </w:style>
  <w:style w:type="character" w:styleId="RefernciaIntensa">
    <w:name w:val="Intense Reference"/>
    <w:basedOn w:val="Tipodeletrapredefinidodopargrafo"/>
    <w:uiPriority w:val="32"/>
    <w:qFormat/>
    <w:rsid w:val="00105433"/>
    <w:rPr>
      <w:b/>
      <w:bCs/>
      <w:smallCaps/>
      <w:color w:val="0F4761" w:themeColor="accent1" w:themeShade="BF"/>
      <w:spacing w:val="5"/>
    </w:rPr>
  </w:style>
  <w:style w:type="paragraph" w:styleId="NormalWeb">
    <w:name w:val="Normal (Web)"/>
    <w:basedOn w:val="Normal"/>
    <w:uiPriority w:val="99"/>
    <w:unhideWhenUsed/>
    <w:rsid w:val="00105433"/>
    <w:pPr>
      <w:spacing w:before="100" w:beforeAutospacing="1" w:after="100" w:afterAutospacing="1"/>
    </w:pPr>
    <w:rPr>
      <w:rFonts w:ascii="Times New Roman" w:eastAsia="Times New Roman" w:hAnsi="Times New Roman" w:cs="Times New Roman"/>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308</Words>
  <Characters>1667</Characters>
  <Application>Microsoft Office Word</Application>
  <DocSecurity>0</DocSecurity>
  <Lines>13</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Alexandra Vale Araújo</dc:creator>
  <cp:keywords/>
  <dc:description/>
  <cp:lastModifiedBy>Fábio Gabriel Teixeira</cp:lastModifiedBy>
  <cp:revision>8</cp:revision>
  <dcterms:created xsi:type="dcterms:W3CDTF">2026-06-04T00:36:00Z</dcterms:created>
  <dcterms:modified xsi:type="dcterms:W3CDTF">2026-09-10T17:57:00Z</dcterms:modified>
</cp:coreProperties>
</file>