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E72B4" w14:textId="5EB84FE0" w:rsidR="00645FC8" w:rsidRPr="00587F9F" w:rsidRDefault="004473C2" w:rsidP="00D44C4B">
      <w:pPr>
        <w:spacing w:beforeLines="100" w:before="312" w:afterLines="100" w:after="312" w:line="480" w:lineRule="auto"/>
        <w:ind w:firstLineChars="0" w:firstLine="0"/>
        <w:jc w:val="center"/>
        <w:rPr>
          <w:rFonts w:cs="Times New Roman"/>
          <w:b/>
        </w:rPr>
      </w:pPr>
      <w:r w:rsidRPr="004473C2">
        <w:rPr>
          <w:rFonts w:cs="Times New Roman"/>
          <w:b/>
          <w:sz w:val="44"/>
          <w:szCs w:val="44"/>
        </w:rPr>
        <w:t>Supplementary Material</w:t>
      </w:r>
    </w:p>
    <w:p w14:paraId="2FF05751" w14:textId="51F76EA6" w:rsidR="00C52247" w:rsidRDefault="00D03A48" w:rsidP="0034772C">
      <w:pPr>
        <w:ind w:firstLineChars="0" w:firstLine="0"/>
        <w:jc w:val="center"/>
        <w:rPr>
          <w:rFonts w:cs="Times New Roman"/>
          <w:b/>
          <w:bCs/>
          <w:sz w:val="36"/>
          <w:szCs w:val="28"/>
        </w:rPr>
      </w:pPr>
      <w:r w:rsidRPr="00D03A48">
        <w:rPr>
          <w:rFonts w:cs="Times New Roman"/>
          <w:b/>
          <w:bCs/>
          <w:sz w:val="36"/>
          <w:szCs w:val="28"/>
        </w:rPr>
        <w:t>High-Accuracy Prediction of Complex Permittivity in Ternary Composites Using Parameters Provided by Binary Systems</w:t>
      </w:r>
    </w:p>
    <w:p w14:paraId="06256208" w14:textId="77777777" w:rsidR="00CA2AB5" w:rsidRPr="00230115" w:rsidRDefault="00CA2AB5" w:rsidP="0034772C">
      <w:pPr>
        <w:ind w:firstLineChars="0" w:firstLine="0"/>
        <w:jc w:val="center"/>
        <w:rPr>
          <w:rFonts w:cs="Times New Roman"/>
          <w:b/>
          <w:bCs/>
          <w:sz w:val="36"/>
          <w:szCs w:val="28"/>
        </w:rPr>
      </w:pPr>
    </w:p>
    <w:p w14:paraId="25439EE7" w14:textId="5D94D610" w:rsidR="00C52247" w:rsidRPr="00C52247" w:rsidRDefault="00C52247" w:rsidP="00C52247">
      <w:pPr>
        <w:ind w:firstLineChars="0" w:firstLine="0"/>
        <w:jc w:val="center"/>
        <w:rPr>
          <w:rFonts w:cs="Times New Roman"/>
          <w:b/>
        </w:rPr>
      </w:pPr>
      <w:r w:rsidRPr="004D1623">
        <w:rPr>
          <w:rFonts w:cs="Times New Roman"/>
          <w:b/>
        </w:rPr>
        <w:t xml:space="preserve">Table S1. Formulations of </w:t>
      </w:r>
      <w:r>
        <w:rPr>
          <w:rFonts w:cs="Times New Roman"/>
          <w:b/>
        </w:rPr>
        <w:t>PANI</w:t>
      </w:r>
      <w:r w:rsidRPr="004D1623">
        <w:rPr>
          <w:rFonts w:cs="Times New Roman"/>
          <w:b/>
        </w:rPr>
        <w:t xml:space="preserve">/PU composites with different </w:t>
      </w:r>
      <w:r>
        <w:rPr>
          <w:rFonts w:cs="Times New Roman"/>
          <w:b/>
        </w:rPr>
        <w:t>PANI</w:t>
      </w:r>
      <w:r w:rsidRPr="004D1623">
        <w:rPr>
          <w:rFonts w:cs="Times New Roman"/>
          <w:b/>
        </w:rPr>
        <w:t xml:space="preserve"> loadings</w:t>
      </w:r>
    </w:p>
    <w:tbl>
      <w:tblPr>
        <w:tblStyle w:val="16"/>
        <w:tblW w:w="4977" w:type="pct"/>
        <w:tblInd w:w="0" w:type="dxa"/>
        <w:tblLook w:val="04A0" w:firstRow="1" w:lastRow="0" w:firstColumn="1" w:lastColumn="0" w:noHBand="0" w:noVBand="1"/>
      </w:tblPr>
      <w:tblGrid>
        <w:gridCol w:w="2437"/>
        <w:gridCol w:w="2924"/>
        <w:gridCol w:w="2907"/>
      </w:tblGrid>
      <w:tr w:rsidR="00BB567A" w:rsidRPr="00856DC8" w14:paraId="29652EBE" w14:textId="77777777" w:rsidTr="00BB567A">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474" w:type="pct"/>
            <w:tcBorders>
              <w:top w:val="single" w:sz="12" w:space="0" w:color="000000"/>
            </w:tcBorders>
            <w:vAlign w:val="center"/>
            <w:hideMark/>
          </w:tcPr>
          <w:p w14:paraId="6F32605E" w14:textId="77777777" w:rsidR="00BB567A" w:rsidRPr="00856DC8" w:rsidRDefault="00BB567A" w:rsidP="008919A5">
            <w:pPr>
              <w:widowControl/>
              <w:spacing w:line="440" w:lineRule="exact"/>
              <w:ind w:firstLineChars="0" w:firstLine="0"/>
              <w:jc w:val="center"/>
              <w:rPr>
                <w:szCs w:val="21"/>
              </w:rPr>
            </w:pPr>
            <w:r>
              <w:rPr>
                <w:rFonts w:hint="eastAsia"/>
                <w:szCs w:val="21"/>
              </w:rPr>
              <w:t>S</w:t>
            </w:r>
            <w:r>
              <w:rPr>
                <w:szCs w:val="21"/>
              </w:rPr>
              <w:t>ample</w:t>
            </w:r>
          </w:p>
        </w:tc>
        <w:tc>
          <w:tcPr>
            <w:tcW w:w="1768" w:type="pct"/>
            <w:tcBorders>
              <w:top w:val="single" w:sz="12" w:space="0" w:color="000000"/>
            </w:tcBorders>
            <w:vAlign w:val="center"/>
            <w:hideMark/>
          </w:tcPr>
          <w:p w14:paraId="7AA7D66E" w14:textId="77777777" w:rsidR="00BB567A" w:rsidRPr="00856DC8" w:rsidRDefault="00BB567A"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sidRPr="004D1623">
              <w:rPr>
                <w:szCs w:val="21"/>
              </w:rPr>
              <w:t>Polyurethane</w:t>
            </w:r>
            <w:r>
              <w:rPr>
                <w:szCs w:val="21"/>
              </w:rPr>
              <w:t>/</w:t>
            </w:r>
            <w:proofErr w:type="spellStart"/>
            <w:r>
              <w:rPr>
                <w:szCs w:val="21"/>
              </w:rPr>
              <w:t>wt</w:t>
            </w:r>
            <w:proofErr w:type="spellEnd"/>
            <w:r>
              <w:rPr>
                <w:szCs w:val="21"/>
              </w:rPr>
              <w:t>%</w:t>
            </w:r>
          </w:p>
        </w:tc>
        <w:tc>
          <w:tcPr>
            <w:tcW w:w="1758" w:type="pct"/>
            <w:tcBorders>
              <w:top w:val="single" w:sz="12" w:space="0" w:color="000000"/>
            </w:tcBorders>
            <w:vAlign w:val="center"/>
            <w:hideMark/>
          </w:tcPr>
          <w:p w14:paraId="13DA238A" w14:textId="77777777" w:rsidR="00BB567A" w:rsidRPr="00856DC8" w:rsidRDefault="00BB567A"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Pr>
                <w:szCs w:val="21"/>
              </w:rPr>
              <w:t>PANI/</w:t>
            </w:r>
            <w:proofErr w:type="spellStart"/>
            <w:r>
              <w:rPr>
                <w:szCs w:val="21"/>
              </w:rPr>
              <w:t>wt</w:t>
            </w:r>
            <w:proofErr w:type="spellEnd"/>
            <w:r>
              <w:rPr>
                <w:szCs w:val="21"/>
              </w:rPr>
              <w:t>%</w:t>
            </w:r>
          </w:p>
        </w:tc>
      </w:tr>
      <w:tr w:rsidR="00BB567A" w:rsidRPr="00856DC8" w14:paraId="1060AA3B" w14:textId="77777777" w:rsidTr="00BB567A">
        <w:trPr>
          <w:trHeight w:val="564"/>
        </w:trPr>
        <w:tc>
          <w:tcPr>
            <w:cnfStyle w:val="001000000000" w:firstRow="0" w:lastRow="0" w:firstColumn="1" w:lastColumn="0" w:oddVBand="0" w:evenVBand="0" w:oddHBand="0" w:evenHBand="0" w:firstRowFirstColumn="0" w:firstRowLastColumn="0" w:lastRowFirstColumn="0" w:lastRowLastColumn="0"/>
            <w:tcW w:w="1474" w:type="pct"/>
            <w:tcBorders>
              <w:top w:val="nil"/>
              <w:left w:val="nil"/>
              <w:bottom w:val="nil"/>
              <w:right w:val="nil"/>
            </w:tcBorders>
            <w:vAlign w:val="center"/>
            <w:hideMark/>
          </w:tcPr>
          <w:p w14:paraId="29BEFB14" w14:textId="06A79281" w:rsidR="00BB567A" w:rsidRPr="00856DC8" w:rsidRDefault="00BB567A" w:rsidP="008919A5">
            <w:pPr>
              <w:widowControl/>
              <w:spacing w:line="440" w:lineRule="exact"/>
              <w:ind w:firstLineChars="0" w:firstLine="0"/>
              <w:jc w:val="center"/>
              <w:rPr>
                <w:szCs w:val="21"/>
              </w:rPr>
            </w:pPr>
            <w:r>
              <w:rPr>
                <w:szCs w:val="21"/>
              </w:rPr>
              <w:t>PANI/PU</w:t>
            </w:r>
            <w:r w:rsidRPr="00856DC8">
              <w:rPr>
                <w:szCs w:val="21"/>
              </w:rPr>
              <w:t>-</w:t>
            </w:r>
            <w:r w:rsidR="00AA6528">
              <w:rPr>
                <w:szCs w:val="21"/>
              </w:rPr>
              <w:t>5</w:t>
            </w:r>
          </w:p>
        </w:tc>
        <w:tc>
          <w:tcPr>
            <w:tcW w:w="1768" w:type="pct"/>
            <w:tcBorders>
              <w:top w:val="nil"/>
              <w:left w:val="nil"/>
              <w:bottom w:val="nil"/>
              <w:right w:val="nil"/>
            </w:tcBorders>
            <w:vAlign w:val="center"/>
            <w:hideMark/>
          </w:tcPr>
          <w:p w14:paraId="1EB2EFC1" w14:textId="234E1965" w:rsidR="00BB567A" w:rsidRPr="00856DC8" w:rsidRDefault="00BB567A"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95</w:t>
            </w:r>
          </w:p>
        </w:tc>
        <w:tc>
          <w:tcPr>
            <w:tcW w:w="1758" w:type="pct"/>
            <w:tcBorders>
              <w:top w:val="nil"/>
              <w:left w:val="nil"/>
              <w:bottom w:val="nil"/>
              <w:right w:val="nil"/>
            </w:tcBorders>
            <w:vAlign w:val="center"/>
            <w:hideMark/>
          </w:tcPr>
          <w:p w14:paraId="51A48F83" w14:textId="218BF653" w:rsidR="00BB567A" w:rsidRPr="00856DC8" w:rsidRDefault="00BB567A"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5</w:t>
            </w:r>
          </w:p>
        </w:tc>
      </w:tr>
      <w:tr w:rsidR="00BB567A" w:rsidRPr="00856DC8" w14:paraId="73ECE91C" w14:textId="77777777" w:rsidTr="00BB567A">
        <w:trPr>
          <w:trHeight w:val="549"/>
        </w:trPr>
        <w:tc>
          <w:tcPr>
            <w:cnfStyle w:val="001000000000" w:firstRow="0" w:lastRow="0" w:firstColumn="1" w:lastColumn="0" w:oddVBand="0" w:evenVBand="0" w:oddHBand="0" w:evenHBand="0" w:firstRowFirstColumn="0" w:firstRowLastColumn="0" w:lastRowFirstColumn="0" w:lastRowLastColumn="0"/>
            <w:tcW w:w="1474" w:type="pct"/>
            <w:tcBorders>
              <w:top w:val="nil"/>
              <w:left w:val="nil"/>
              <w:bottom w:val="nil"/>
              <w:right w:val="nil"/>
            </w:tcBorders>
            <w:vAlign w:val="center"/>
            <w:hideMark/>
          </w:tcPr>
          <w:p w14:paraId="676F5ED1" w14:textId="4257CEB8" w:rsidR="00BB567A" w:rsidRPr="00856DC8" w:rsidRDefault="00BB567A" w:rsidP="008919A5">
            <w:pPr>
              <w:widowControl/>
              <w:spacing w:line="440" w:lineRule="exact"/>
              <w:ind w:firstLineChars="0" w:firstLine="0"/>
              <w:jc w:val="center"/>
              <w:rPr>
                <w:szCs w:val="21"/>
              </w:rPr>
            </w:pPr>
            <w:r>
              <w:rPr>
                <w:szCs w:val="21"/>
              </w:rPr>
              <w:t>PANI/PU</w:t>
            </w:r>
            <w:r w:rsidRPr="00856DC8">
              <w:rPr>
                <w:szCs w:val="21"/>
              </w:rPr>
              <w:t>-</w:t>
            </w:r>
            <w:r w:rsidR="00AA6528">
              <w:rPr>
                <w:szCs w:val="21"/>
              </w:rPr>
              <w:t>10</w:t>
            </w:r>
          </w:p>
        </w:tc>
        <w:tc>
          <w:tcPr>
            <w:tcW w:w="1768" w:type="pct"/>
            <w:tcBorders>
              <w:top w:val="nil"/>
              <w:left w:val="nil"/>
              <w:bottom w:val="nil"/>
              <w:right w:val="nil"/>
            </w:tcBorders>
            <w:vAlign w:val="center"/>
            <w:hideMark/>
          </w:tcPr>
          <w:p w14:paraId="36955969" w14:textId="2D60A343" w:rsidR="00BB567A" w:rsidRPr="00856DC8" w:rsidRDefault="00BB567A"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90</w:t>
            </w:r>
          </w:p>
        </w:tc>
        <w:tc>
          <w:tcPr>
            <w:tcW w:w="1758" w:type="pct"/>
            <w:tcBorders>
              <w:top w:val="nil"/>
              <w:left w:val="nil"/>
              <w:bottom w:val="nil"/>
              <w:right w:val="nil"/>
            </w:tcBorders>
            <w:vAlign w:val="center"/>
            <w:hideMark/>
          </w:tcPr>
          <w:p w14:paraId="1A93D0B0" w14:textId="1DD766DE" w:rsidR="00BB567A" w:rsidRPr="00856DC8" w:rsidRDefault="00BB567A"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10</w:t>
            </w:r>
          </w:p>
        </w:tc>
      </w:tr>
      <w:tr w:rsidR="00BB567A" w:rsidRPr="00856DC8" w14:paraId="20647046" w14:textId="77777777" w:rsidTr="00BB567A">
        <w:trPr>
          <w:trHeight w:val="564"/>
        </w:trPr>
        <w:tc>
          <w:tcPr>
            <w:cnfStyle w:val="001000000000" w:firstRow="0" w:lastRow="0" w:firstColumn="1" w:lastColumn="0" w:oddVBand="0" w:evenVBand="0" w:oddHBand="0" w:evenHBand="0" w:firstRowFirstColumn="0" w:firstRowLastColumn="0" w:lastRowFirstColumn="0" w:lastRowLastColumn="0"/>
            <w:tcW w:w="1474" w:type="pct"/>
            <w:tcBorders>
              <w:top w:val="nil"/>
              <w:left w:val="nil"/>
              <w:bottom w:val="nil"/>
              <w:right w:val="nil"/>
            </w:tcBorders>
            <w:vAlign w:val="center"/>
            <w:hideMark/>
          </w:tcPr>
          <w:p w14:paraId="62B7BB59" w14:textId="405D58E5" w:rsidR="00BB567A" w:rsidRPr="00856DC8" w:rsidRDefault="00BB567A" w:rsidP="008919A5">
            <w:pPr>
              <w:widowControl/>
              <w:spacing w:line="440" w:lineRule="exact"/>
              <w:ind w:firstLineChars="0" w:firstLine="0"/>
              <w:jc w:val="center"/>
              <w:rPr>
                <w:szCs w:val="21"/>
              </w:rPr>
            </w:pPr>
            <w:r>
              <w:rPr>
                <w:szCs w:val="21"/>
              </w:rPr>
              <w:t>PANI/PU</w:t>
            </w:r>
            <w:r w:rsidRPr="00856DC8">
              <w:rPr>
                <w:szCs w:val="21"/>
              </w:rPr>
              <w:t>-</w:t>
            </w:r>
            <w:r w:rsidR="00AA6528">
              <w:rPr>
                <w:szCs w:val="21"/>
              </w:rPr>
              <w:t>15</w:t>
            </w:r>
          </w:p>
        </w:tc>
        <w:tc>
          <w:tcPr>
            <w:tcW w:w="1768" w:type="pct"/>
            <w:tcBorders>
              <w:top w:val="nil"/>
              <w:left w:val="nil"/>
              <w:bottom w:val="nil"/>
              <w:right w:val="nil"/>
            </w:tcBorders>
            <w:vAlign w:val="center"/>
            <w:hideMark/>
          </w:tcPr>
          <w:p w14:paraId="3D9B3FFD" w14:textId="363A80A8" w:rsidR="00BB567A" w:rsidRPr="00856DC8" w:rsidRDefault="00BB567A"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85</w:t>
            </w:r>
          </w:p>
        </w:tc>
        <w:tc>
          <w:tcPr>
            <w:tcW w:w="1758" w:type="pct"/>
            <w:tcBorders>
              <w:top w:val="nil"/>
              <w:left w:val="nil"/>
              <w:bottom w:val="nil"/>
              <w:right w:val="nil"/>
            </w:tcBorders>
            <w:vAlign w:val="center"/>
            <w:hideMark/>
          </w:tcPr>
          <w:p w14:paraId="07F2B404" w14:textId="47658F44" w:rsidR="00BB567A" w:rsidRPr="00856DC8" w:rsidRDefault="00BB567A"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15</w:t>
            </w:r>
          </w:p>
        </w:tc>
      </w:tr>
      <w:tr w:rsidR="00BB567A" w:rsidRPr="00856DC8" w14:paraId="6823AA8B" w14:textId="77777777" w:rsidTr="00BB567A">
        <w:trPr>
          <w:trHeight w:val="564"/>
        </w:trPr>
        <w:tc>
          <w:tcPr>
            <w:cnfStyle w:val="001000000000" w:firstRow="0" w:lastRow="0" w:firstColumn="1" w:lastColumn="0" w:oddVBand="0" w:evenVBand="0" w:oddHBand="0" w:evenHBand="0" w:firstRowFirstColumn="0" w:firstRowLastColumn="0" w:lastRowFirstColumn="0" w:lastRowLastColumn="0"/>
            <w:tcW w:w="1474" w:type="pct"/>
            <w:tcBorders>
              <w:top w:val="nil"/>
              <w:left w:val="nil"/>
              <w:bottom w:val="nil"/>
              <w:right w:val="nil"/>
            </w:tcBorders>
            <w:vAlign w:val="center"/>
            <w:hideMark/>
          </w:tcPr>
          <w:p w14:paraId="4833F13D" w14:textId="68927D27" w:rsidR="00BB567A" w:rsidRPr="00856DC8" w:rsidRDefault="00BB567A" w:rsidP="008919A5">
            <w:pPr>
              <w:widowControl/>
              <w:spacing w:line="440" w:lineRule="exact"/>
              <w:ind w:firstLineChars="0" w:firstLine="0"/>
              <w:jc w:val="center"/>
              <w:rPr>
                <w:szCs w:val="21"/>
              </w:rPr>
            </w:pPr>
            <w:r>
              <w:rPr>
                <w:szCs w:val="21"/>
              </w:rPr>
              <w:t>PANI/PU</w:t>
            </w:r>
            <w:r w:rsidRPr="00856DC8">
              <w:rPr>
                <w:szCs w:val="21"/>
              </w:rPr>
              <w:t>-</w:t>
            </w:r>
            <w:r w:rsidR="00AA6528">
              <w:rPr>
                <w:szCs w:val="21"/>
              </w:rPr>
              <w:t>20</w:t>
            </w:r>
          </w:p>
        </w:tc>
        <w:tc>
          <w:tcPr>
            <w:tcW w:w="1768" w:type="pct"/>
            <w:tcBorders>
              <w:top w:val="nil"/>
              <w:left w:val="nil"/>
              <w:bottom w:val="nil"/>
              <w:right w:val="nil"/>
            </w:tcBorders>
            <w:vAlign w:val="center"/>
            <w:hideMark/>
          </w:tcPr>
          <w:p w14:paraId="0BBA99C3" w14:textId="3C4A8BF7" w:rsidR="00BB567A" w:rsidRPr="00856DC8" w:rsidRDefault="00BB567A"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80</w:t>
            </w:r>
          </w:p>
        </w:tc>
        <w:tc>
          <w:tcPr>
            <w:tcW w:w="1758" w:type="pct"/>
            <w:tcBorders>
              <w:top w:val="nil"/>
              <w:left w:val="nil"/>
              <w:bottom w:val="nil"/>
              <w:right w:val="nil"/>
            </w:tcBorders>
            <w:vAlign w:val="center"/>
            <w:hideMark/>
          </w:tcPr>
          <w:p w14:paraId="10A99733" w14:textId="77777777" w:rsidR="00BB567A" w:rsidRPr="00856DC8" w:rsidRDefault="00BB567A"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2</w:t>
            </w:r>
            <w:r>
              <w:rPr>
                <w:bCs/>
                <w:szCs w:val="21"/>
              </w:rPr>
              <w:t>0</w:t>
            </w:r>
          </w:p>
        </w:tc>
      </w:tr>
      <w:tr w:rsidR="00BB567A" w:rsidRPr="00856DC8" w14:paraId="0B1763FD" w14:textId="77777777" w:rsidTr="00BB567A">
        <w:trPr>
          <w:trHeight w:val="549"/>
        </w:trPr>
        <w:tc>
          <w:tcPr>
            <w:cnfStyle w:val="001000000000" w:firstRow="0" w:lastRow="0" w:firstColumn="1" w:lastColumn="0" w:oddVBand="0" w:evenVBand="0" w:oddHBand="0" w:evenHBand="0" w:firstRowFirstColumn="0" w:firstRowLastColumn="0" w:lastRowFirstColumn="0" w:lastRowLastColumn="0"/>
            <w:tcW w:w="1474" w:type="pct"/>
            <w:tcBorders>
              <w:top w:val="nil"/>
              <w:left w:val="nil"/>
              <w:bottom w:val="single" w:sz="8" w:space="0" w:color="000000"/>
              <w:right w:val="nil"/>
            </w:tcBorders>
            <w:vAlign w:val="center"/>
            <w:hideMark/>
          </w:tcPr>
          <w:p w14:paraId="7BE08D54" w14:textId="321D8966" w:rsidR="00BB567A" w:rsidRPr="00856DC8" w:rsidRDefault="00BB567A" w:rsidP="008919A5">
            <w:pPr>
              <w:widowControl/>
              <w:spacing w:line="440" w:lineRule="exact"/>
              <w:ind w:firstLineChars="0" w:firstLine="0"/>
              <w:jc w:val="center"/>
              <w:rPr>
                <w:szCs w:val="21"/>
              </w:rPr>
            </w:pPr>
            <w:r>
              <w:rPr>
                <w:szCs w:val="21"/>
              </w:rPr>
              <w:t>PANI/PU-</w:t>
            </w:r>
            <w:r w:rsidR="00AA6528">
              <w:rPr>
                <w:szCs w:val="21"/>
              </w:rPr>
              <w:t>25</w:t>
            </w:r>
          </w:p>
        </w:tc>
        <w:tc>
          <w:tcPr>
            <w:tcW w:w="1768" w:type="pct"/>
            <w:tcBorders>
              <w:top w:val="nil"/>
              <w:left w:val="nil"/>
              <w:bottom w:val="single" w:sz="8" w:space="0" w:color="000000"/>
              <w:right w:val="nil"/>
            </w:tcBorders>
            <w:vAlign w:val="center"/>
            <w:hideMark/>
          </w:tcPr>
          <w:p w14:paraId="709ACC0B" w14:textId="11CB6E3B" w:rsidR="00BB567A" w:rsidRPr="00856DC8" w:rsidRDefault="00BB567A"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75</w:t>
            </w:r>
          </w:p>
        </w:tc>
        <w:tc>
          <w:tcPr>
            <w:tcW w:w="1758" w:type="pct"/>
            <w:tcBorders>
              <w:top w:val="nil"/>
              <w:left w:val="nil"/>
              <w:bottom w:val="single" w:sz="8" w:space="0" w:color="000000"/>
              <w:right w:val="nil"/>
            </w:tcBorders>
            <w:vAlign w:val="center"/>
            <w:hideMark/>
          </w:tcPr>
          <w:p w14:paraId="7D92BE00" w14:textId="69F32140" w:rsidR="00BB567A" w:rsidRPr="00856DC8" w:rsidRDefault="00BB567A"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25</w:t>
            </w:r>
          </w:p>
        </w:tc>
      </w:tr>
    </w:tbl>
    <w:p w14:paraId="37A5D03C" w14:textId="77777777" w:rsidR="001F7F7F" w:rsidRPr="0034772C" w:rsidRDefault="001F7F7F" w:rsidP="002631E3">
      <w:pPr>
        <w:ind w:firstLineChars="0" w:firstLine="0"/>
      </w:pPr>
    </w:p>
    <w:p w14:paraId="0F1FA48E" w14:textId="2B30DFDD" w:rsidR="004D1623" w:rsidRPr="001F7F7F" w:rsidRDefault="004D1623" w:rsidP="001F7F7F">
      <w:pPr>
        <w:ind w:firstLineChars="0" w:firstLine="0"/>
        <w:jc w:val="center"/>
        <w:rPr>
          <w:rFonts w:cs="Times New Roman"/>
          <w:b/>
        </w:rPr>
      </w:pPr>
      <w:bookmarkStart w:id="0" w:name="_Hlk238048456"/>
      <w:r w:rsidRPr="004D1623">
        <w:rPr>
          <w:rFonts w:cs="Times New Roman"/>
          <w:b/>
        </w:rPr>
        <w:t>Table S</w:t>
      </w:r>
      <w:r w:rsidR="002631E3">
        <w:rPr>
          <w:rFonts w:cs="Times New Roman"/>
          <w:b/>
        </w:rPr>
        <w:t>2</w:t>
      </w:r>
      <w:r w:rsidRPr="004D1623">
        <w:rPr>
          <w:rFonts w:cs="Times New Roman"/>
          <w:b/>
        </w:rPr>
        <w:t xml:space="preserve">. Formulations of </w:t>
      </w:r>
      <w:r w:rsidR="00C52247">
        <w:rPr>
          <w:rFonts w:cs="Times New Roman"/>
          <w:b/>
        </w:rPr>
        <w:t>PANI/</w:t>
      </w:r>
      <w:r w:rsidRPr="004D1623">
        <w:rPr>
          <w:rFonts w:cs="Times New Roman"/>
          <w:b/>
        </w:rPr>
        <w:t>CIP/PU composites with different</w:t>
      </w:r>
      <w:r w:rsidR="002631E3">
        <w:rPr>
          <w:rFonts w:cs="Times New Roman"/>
          <w:b/>
        </w:rPr>
        <w:t xml:space="preserve"> PANI </w:t>
      </w:r>
      <w:r w:rsidR="002631E3">
        <w:rPr>
          <w:rFonts w:cs="Times New Roman" w:hint="eastAsia"/>
          <w:b/>
        </w:rPr>
        <w:t>and</w:t>
      </w:r>
      <w:r w:rsidR="002631E3">
        <w:rPr>
          <w:rFonts w:cs="Times New Roman"/>
          <w:b/>
        </w:rPr>
        <w:t xml:space="preserve"> CIP</w:t>
      </w:r>
      <w:r w:rsidRPr="004D1623">
        <w:rPr>
          <w:rFonts w:cs="Times New Roman"/>
          <w:b/>
        </w:rPr>
        <w:t xml:space="preserve"> loadings</w:t>
      </w:r>
    </w:p>
    <w:tbl>
      <w:tblPr>
        <w:tblStyle w:val="16"/>
        <w:tblW w:w="5000" w:type="pct"/>
        <w:tblInd w:w="0" w:type="dxa"/>
        <w:tblLook w:val="04A0" w:firstRow="1" w:lastRow="0" w:firstColumn="1" w:lastColumn="0" w:noHBand="0" w:noVBand="1"/>
      </w:tblPr>
      <w:tblGrid>
        <w:gridCol w:w="1906"/>
        <w:gridCol w:w="2287"/>
        <w:gridCol w:w="2274"/>
        <w:gridCol w:w="1839"/>
      </w:tblGrid>
      <w:tr w:rsidR="00856DC8" w:rsidRPr="00856DC8" w14:paraId="62453A88" w14:textId="77777777" w:rsidTr="004D16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pct"/>
            <w:tcBorders>
              <w:top w:val="single" w:sz="12" w:space="0" w:color="000000"/>
            </w:tcBorders>
            <w:vAlign w:val="center"/>
            <w:hideMark/>
          </w:tcPr>
          <w:bookmarkEnd w:id="0"/>
          <w:p w14:paraId="627876BC" w14:textId="31E4F021" w:rsidR="00856DC8" w:rsidRPr="00856DC8" w:rsidRDefault="004D1623" w:rsidP="004D1623">
            <w:pPr>
              <w:widowControl/>
              <w:spacing w:line="440" w:lineRule="exact"/>
              <w:ind w:firstLineChars="0" w:firstLine="0"/>
              <w:jc w:val="center"/>
              <w:rPr>
                <w:szCs w:val="21"/>
              </w:rPr>
            </w:pPr>
            <w:r>
              <w:rPr>
                <w:rFonts w:hint="eastAsia"/>
                <w:szCs w:val="21"/>
              </w:rPr>
              <w:t>S</w:t>
            </w:r>
            <w:r>
              <w:rPr>
                <w:szCs w:val="21"/>
              </w:rPr>
              <w:t>ample</w:t>
            </w:r>
          </w:p>
        </w:tc>
        <w:tc>
          <w:tcPr>
            <w:tcW w:w="1377" w:type="pct"/>
            <w:tcBorders>
              <w:top w:val="single" w:sz="12" w:space="0" w:color="000000"/>
            </w:tcBorders>
            <w:vAlign w:val="center"/>
            <w:hideMark/>
          </w:tcPr>
          <w:p w14:paraId="426FEAE1" w14:textId="5F172D5A" w:rsidR="00856DC8" w:rsidRPr="00856DC8" w:rsidRDefault="004D1623" w:rsidP="00856DC8">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sidRPr="004D1623">
              <w:rPr>
                <w:szCs w:val="21"/>
              </w:rPr>
              <w:t>Polyurethane</w:t>
            </w:r>
            <w:r w:rsidR="004E0629">
              <w:rPr>
                <w:szCs w:val="21"/>
              </w:rPr>
              <w:t>/</w:t>
            </w:r>
            <w:proofErr w:type="spellStart"/>
            <w:r w:rsidR="004E0629">
              <w:rPr>
                <w:szCs w:val="21"/>
              </w:rPr>
              <w:t>wt</w:t>
            </w:r>
            <w:proofErr w:type="spellEnd"/>
            <w:r w:rsidR="004E0629">
              <w:rPr>
                <w:szCs w:val="21"/>
              </w:rPr>
              <w:t>%</w:t>
            </w:r>
          </w:p>
        </w:tc>
        <w:tc>
          <w:tcPr>
            <w:tcW w:w="1369" w:type="pct"/>
            <w:tcBorders>
              <w:top w:val="single" w:sz="12" w:space="0" w:color="000000"/>
            </w:tcBorders>
            <w:vAlign w:val="center"/>
            <w:hideMark/>
          </w:tcPr>
          <w:p w14:paraId="5A9298BF" w14:textId="5EFFFAFD" w:rsidR="00856DC8" w:rsidRPr="00856DC8" w:rsidRDefault="004E0629" w:rsidP="00856DC8">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Pr>
                <w:szCs w:val="21"/>
              </w:rPr>
              <w:t>PANI/</w:t>
            </w:r>
            <w:proofErr w:type="spellStart"/>
            <w:r>
              <w:rPr>
                <w:szCs w:val="21"/>
              </w:rPr>
              <w:t>wt</w:t>
            </w:r>
            <w:proofErr w:type="spellEnd"/>
            <w:r>
              <w:rPr>
                <w:szCs w:val="21"/>
              </w:rPr>
              <w:t>%</w:t>
            </w:r>
          </w:p>
        </w:tc>
        <w:tc>
          <w:tcPr>
            <w:tcW w:w="1107" w:type="pct"/>
            <w:tcBorders>
              <w:top w:val="single" w:sz="12" w:space="0" w:color="000000"/>
            </w:tcBorders>
            <w:vAlign w:val="center"/>
            <w:hideMark/>
          </w:tcPr>
          <w:p w14:paraId="44FABD84" w14:textId="77777777" w:rsidR="00856DC8" w:rsidRPr="00856DC8" w:rsidRDefault="00856DC8" w:rsidP="00856DC8">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sidRPr="00856DC8">
              <w:rPr>
                <w:szCs w:val="21"/>
              </w:rPr>
              <w:t>CIP/</w:t>
            </w:r>
            <w:proofErr w:type="spellStart"/>
            <w:r w:rsidRPr="00856DC8">
              <w:rPr>
                <w:szCs w:val="21"/>
              </w:rPr>
              <w:t>wt</w:t>
            </w:r>
            <w:proofErr w:type="spellEnd"/>
            <w:r w:rsidRPr="00856DC8">
              <w:rPr>
                <w:szCs w:val="21"/>
              </w:rPr>
              <w:t>%</w:t>
            </w:r>
          </w:p>
        </w:tc>
      </w:tr>
      <w:tr w:rsidR="00856DC8" w:rsidRPr="00856DC8" w14:paraId="3CBD701D" w14:textId="77777777" w:rsidTr="00856DC8">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14E35B7C" w14:textId="34D0894C" w:rsidR="00856DC8" w:rsidRPr="00856DC8" w:rsidRDefault="004E0629" w:rsidP="00856DC8">
            <w:pPr>
              <w:widowControl/>
              <w:spacing w:line="440" w:lineRule="exact"/>
              <w:ind w:firstLineChars="0" w:firstLine="0"/>
              <w:jc w:val="center"/>
              <w:rPr>
                <w:szCs w:val="21"/>
              </w:rPr>
            </w:pPr>
            <w:r>
              <w:rPr>
                <w:szCs w:val="21"/>
              </w:rPr>
              <w:t>P-</w:t>
            </w:r>
            <w:r w:rsidR="00856DC8" w:rsidRPr="00856DC8">
              <w:rPr>
                <w:szCs w:val="21"/>
              </w:rPr>
              <w:t>CIP-1</w:t>
            </w:r>
          </w:p>
        </w:tc>
        <w:tc>
          <w:tcPr>
            <w:tcW w:w="1377" w:type="pct"/>
            <w:tcBorders>
              <w:top w:val="nil"/>
              <w:left w:val="nil"/>
              <w:bottom w:val="nil"/>
              <w:right w:val="nil"/>
            </w:tcBorders>
            <w:vAlign w:val="center"/>
            <w:hideMark/>
          </w:tcPr>
          <w:p w14:paraId="713962FC" w14:textId="76F54BBB"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70</w:t>
            </w:r>
          </w:p>
        </w:tc>
        <w:tc>
          <w:tcPr>
            <w:tcW w:w="1369" w:type="pct"/>
            <w:tcBorders>
              <w:top w:val="nil"/>
              <w:left w:val="nil"/>
              <w:bottom w:val="nil"/>
              <w:right w:val="nil"/>
            </w:tcBorders>
            <w:vAlign w:val="center"/>
            <w:hideMark/>
          </w:tcPr>
          <w:p w14:paraId="41974D91" w14:textId="6B229D02"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7.5</w:t>
            </w:r>
          </w:p>
        </w:tc>
        <w:tc>
          <w:tcPr>
            <w:tcW w:w="1107" w:type="pct"/>
            <w:tcBorders>
              <w:top w:val="nil"/>
              <w:left w:val="nil"/>
              <w:bottom w:val="nil"/>
              <w:right w:val="nil"/>
            </w:tcBorders>
            <w:vAlign w:val="center"/>
            <w:hideMark/>
          </w:tcPr>
          <w:p w14:paraId="64877C6E" w14:textId="0AA80DFC"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2</w:t>
            </w:r>
            <w:r>
              <w:rPr>
                <w:bCs/>
                <w:szCs w:val="21"/>
              </w:rPr>
              <w:t>2.5</w:t>
            </w:r>
          </w:p>
        </w:tc>
      </w:tr>
      <w:tr w:rsidR="00856DC8" w:rsidRPr="00856DC8" w14:paraId="3723F6EC" w14:textId="77777777" w:rsidTr="00856DC8">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4A82CE71" w14:textId="2EBB5462" w:rsidR="00856DC8" w:rsidRPr="00856DC8" w:rsidRDefault="004E0629" w:rsidP="00856DC8">
            <w:pPr>
              <w:widowControl/>
              <w:spacing w:line="440" w:lineRule="exact"/>
              <w:ind w:firstLineChars="0" w:firstLine="0"/>
              <w:jc w:val="center"/>
              <w:rPr>
                <w:szCs w:val="21"/>
              </w:rPr>
            </w:pPr>
            <w:r>
              <w:rPr>
                <w:szCs w:val="21"/>
              </w:rPr>
              <w:t>P-</w:t>
            </w:r>
            <w:r w:rsidR="00856DC8" w:rsidRPr="00856DC8">
              <w:rPr>
                <w:szCs w:val="21"/>
              </w:rPr>
              <w:t>CIP-2</w:t>
            </w:r>
          </w:p>
        </w:tc>
        <w:tc>
          <w:tcPr>
            <w:tcW w:w="1377" w:type="pct"/>
            <w:tcBorders>
              <w:top w:val="nil"/>
              <w:left w:val="nil"/>
              <w:bottom w:val="nil"/>
              <w:right w:val="nil"/>
            </w:tcBorders>
            <w:vAlign w:val="center"/>
            <w:hideMark/>
          </w:tcPr>
          <w:p w14:paraId="1736B0F3" w14:textId="0310AA43"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7</w:t>
            </w:r>
            <w:r w:rsidR="004E0629">
              <w:rPr>
                <w:bCs/>
                <w:szCs w:val="21"/>
              </w:rPr>
              <w:t>0</w:t>
            </w:r>
          </w:p>
        </w:tc>
        <w:tc>
          <w:tcPr>
            <w:tcW w:w="1369" w:type="pct"/>
            <w:tcBorders>
              <w:top w:val="nil"/>
              <w:left w:val="nil"/>
              <w:bottom w:val="nil"/>
              <w:right w:val="nil"/>
            </w:tcBorders>
            <w:vAlign w:val="center"/>
            <w:hideMark/>
          </w:tcPr>
          <w:p w14:paraId="282F2356" w14:textId="4868CE39"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1</w:t>
            </w:r>
            <w:r>
              <w:rPr>
                <w:bCs/>
                <w:szCs w:val="21"/>
              </w:rPr>
              <w:t>0</w:t>
            </w:r>
          </w:p>
        </w:tc>
        <w:tc>
          <w:tcPr>
            <w:tcW w:w="1107" w:type="pct"/>
            <w:tcBorders>
              <w:top w:val="nil"/>
              <w:left w:val="nil"/>
              <w:bottom w:val="nil"/>
              <w:right w:val="nil"/>
            </w:tcBorders>
            <w:vAlign w:val="center"/>
            <w:hideMark/>
          </w:tcPr>
          <w:p w14:paraId="336B518A" w14:textId="77777777" w:rsidR="00856DC8" w:rsidRPr="00856DC8" w:rsidRDefault="00856DC8"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sidRPr="00856DC8">
              <w:rPr>
                <w:bCs/>
                <w:szCs w:val="21"/>
              </w:rPr>
              <w:t>20</w:t>
            </w:r>
          </w:p>
        </w:tc>
      </w:tr>
      <w:tr w:rsidR="00856DC8" w:rsidRPr="00856DC8" w14:paraId="5473E80F" w14:textId="77777777" w:rsidTr="00856DC8">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79C482C3" w14:textId="3300CB92" w:rsidR="00856DC8" w:rsidRPr="00856DC8" w:rsidRDefault="004E0629" w:rsidP="00856DC8">
            <w:pPr>
              <w:widowControl/>
              <w:spacing w:line="440" w:lineRule="exact"/>
              <w:ind w:firstLineChars="0" w:firstLine="0"/>
              <w:jc w:val="center"/>
              <w:rPr>
                <w:szCs w:val="21"/>
              </w:rPr>
            </w:pPr>
            <w:r>
              <w:rPr>
                <w:szCs w:val="21"/>
              </w:rPr>
              <w:t>P-</w:t>
            </w:r>
            <w:r w:rsidR="00856DC8" w:rsidRPr="00856DC8">
              <w:rPr>
                <w:szCs w:val="21"/>
              </w:rPr>
              <w:t>CIP-3</w:t>
            </w:r>
          </w:p>
        </w:tc>
        <w:tc>
          <w:tcPr>
            <w:tcW w:w="1377" w:type="pct"/>
            <w:tcBorders>
              <w:top w:val="nil"/>
              <w:left w:val="nil"/>
              <w:bottom w:val="nil"/>
              <w:right w:val="nil"/>
            </w:tcBorders>
            <w:vAlign w:val="center"/>
            <w:hideMark/>
          </w:tcPr>
          <w:p w14:paraId="02D97A8A" w14:textId="5B0F0963"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7</w:t>
            </w:r>
            <w:r w:rsidR="004E0629">
              <w:rPr>
                <w:bCs/>
                <w:szCs w:val="21"/>
              </w:rPr>
              <w:t>0</w:t>
            </w:r>
          </w:p>
        </w:tc>
        <w:tc>
          <w:tcPr>
            <w:tcW w:w="1369" w:type="pct"/>
            <w:tcBorders>
              <w:top w:val="nil"/>
              <w:left w:val="nil"/>
              <w:bottom w:val="nil"/>
              <w:right w:val="nil"/>
            </w:tcBorders>
            <w:vAlign w:val="center"/>
            <w:hideMark/>
          </w:tcPr>
          <w:p w14:paraId="6C3EB1CF" w14:textId="3CA902CE"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1</w:t>
            </w:r>
            <w:r>
              <w:rPr>
                <w:bCs/>
                <w:szCs w:val="21"/>
              </w:rPr>
              <w:t>5</w:t>
            </w:r>
          </w:p>
        </w:tc>
        <w:tc>
          <w:tcPr>
            <w:tcW w:w="1107" w:type="pct"/>
            <w:tcBorders>
              <w:top w:val="nil"/>
              <w:left w:val="nil"/>
              <w:bottom w:val="nil"/>
              <w:right w:val="nil"/>
            </w:tcBorders>
            <w:vAlign w:val="center"/>
            <w:hideMark/>
          </w:tcPr>
          <w:p w14:paraId="3C383C73" w14:textId="5373A439"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1</w:t>
            </w:r>
            <w:r>
              <w:rPr>
                <w:bCs/>
                <w:szCs w:val="21"/>
              </w:rPr>
              <w:t>5</w:t>
            </w:r>
          </w:p>
        </w:tc>
      </w:tr>
      <w:tr w:rsidR="00856DC8" w:rsidRPr="00856DC8" w14:paraId="5E58C045" w14:textId="77777777" w:rsidTr="00856DC8">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7D9A70F2" w14:textId="33D28AD4" w:rsidR="00856DC8" w:rsidRPr="00856DC8" w:rsidRDefault="004E0629" w:rsidP="00856DC8">
            <w:pPr>
              <w:widowControl/>
              <w:spacing w:line="440" w:lineRule="exact"/>
              <w:ind w:firstLineChars="0" w:firstLine="0"/>
              <w:jc w:val="center"/>
              <w:rPr>
                <w:szCs w:val="21"/>
              </w:rPr>
            </w:pPr>
            <w:r>
              <w:rPr>
                <w:szCs w:val="21"/>
              </w:rPr>
              <w:t>P-</w:t>
            </w:r>
            <w:r w:rsidR="00856DC8" w:rsidRPr="00856DC8">
              <w:rPr>
                <w:szCs w:val="21"/>
              </w:rPr>
              <w:t>CIP-4</w:t>
            </w:r>
          </w:p>
        </w:tc>
        <w:tc>
          <w:tcPr>
            <w:tcW w:w="1377" w:type="pct"/>
            <w:tcBorders>
              <w:top w:val="nil"/>
              <w:left w:val="nil"/>
              <w:bottom w:val="nil"/>
              <w:right w:val="nil"/>
            </w:tcBorders>
            <w:vAlign w:val="center"/>
            <w:hideMark/>
          </w:tcPr>
          <w:p w14:paraId="28EBEA87" w14:textId="6270346F"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7</w:t>
            </w:r>
            <w:r w:rsidR="00856DC8" w:rsidRPr="00856DC8">
              <w:rPr>
                <w:bCs/>
                <w:szCs w:val="21"/>
              </w:rPr>
              <w:t>0</w:t>
            </w:r>
          </w:p>
        </w:tc>
        <w:tc>
          <w:tcPr>
            <w:tcW w:w="1369" w:type="pct"/>
            <w:tcBorders>
              <w:top w:val="nil"/>
              <w:left w:val="nil"/>
              <w:bottom w:val="nil"/>
              <w:right w:val="nil"/>
            </w:tcBorders>
            <w:vAlign w:val="center"/>
            <w:hideMark/>
          </w:tcPr>
          <w:p w14:paraId="7D910532" w14:textId="40F8C75E"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2</w:t>
            </w:r>
            <w:r>
              <w:rPr>
                <w:bCs/>
                <w:szCs w:val="21"/>
              </w:rPr>
              <w:t>0</w:t>
            </w:r>
          </w:p>
        </w:tc>
        <w:tc>
          <w:tcPr>
            <w:tcW w:w="1107" w:type="pct"/>
            <w:tcBorders>
              <w:top w:val="nil"/>
              <w:left w:val="nil"/>
              <w:bottom w:val="nil"/>
              <w:right w:val="nil"/>
            </w:tcBorders>
            <w:vAlign w:val="center"/>
            <w:hideMark/>
          </w:tcPr>
          <w:p w14:paraId="3F814C4B" w14:textId="11F7826F"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1</w:t>
            </w:r>
            <w:r>
              <w:rPr>
                <w:bCs/>
                <w:szCs w:val="21"/>
              </w:rPr>
              <w:t>0</w:t>
            </w:r>
          </w:p>
        </w:tc>
      </w:tr>
      <w:tr w:rsidR="00856DC8" w:rsidRPr="00856DC8" w14:paraId="6E3FE7E7" w14:textId="77777777" w:rsidTr="00856DC8">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0DD50DE8" w14:textId="2C025188" w:rsidR="00856DC8" w:rsidRPr="00856DC8" w:rsidRDefault="004E0629" w:rsidP="00856DC8">
            <w:pPr>
              <w:widowControl/>
              <w:spacing w:line="440" w:lineRule="exact"/>
              <w:ind w:firstLineChars="0" w:firstLine="0"/>
              <w:jc w:val="center"/>
              <w:rPr>
                <w:szCs w:val="21"/>
              </w:rPr>
            </w:pPr>
            <w:r>
              <w:rPr>
                <w:szCs w:val="21"/>
              </w:rPr>
              <w:t>P-</w:t>
            </w:r>
            <w:r w:rsidR="00856DC8" w:rsidRPr="00856DC8">
              <w:rPr>
                <w:szCs w:val="21"/>
              </w:rPr>
              <w:t>CIP-5</w:t>
            </w:r>
          </w:p>
        </w:tc>
        <w:tc>
          <w:tcPr>
            <w:tcW w:w="1377" w:type="pct"/>
            <w:tcBorders>
              <w:top w:val="nil"/>
              <w:left w:val="nil"/>
              <w:bottom w:val="nil"/>
              <w:right w:val="nil"/>
            </w:tcBorders>
            <w:vAlign w:val="center"/>
            <w:hideMark/>
          </w:tcPr>
          <w:p w14:paraId="418333E7" w14:textId="43B365A7"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7</w:t>
            </w:r>
            <w:r w:rsidR="004E0629">
              <w:rPr>
                <w:bCs/>
                <w:szCs w:val="21"/>
              </w:rPr>
              <w:t>0</w:t>
            </w:r>
          </w:p>
        </w:tc>
        <w:tc>
          <w:tcPr>
            <w:tcW w:w="1369" w:type="pct"/>
            <w:tcBorders>
              <w:top w:val="nil"/>
              <w:left w:val="nil"/>
              <w:bottom w:val="nil"/>
              <w:right w:val="nil"/>
            </w:tcBorders>
            <w:vAlign w:val="center"/>
            <w:hideMark/>
          </w:tcPr>
          <w:p w14:paraId="616B0EB7" w14:textId="63F96731"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2</w:t>
            </w:r>
            <w:r>
              <w:rPr>
                <w:bCs/>
                <w:szCs w:val="21"/>
              </w:rPr>
              <w:t>2.5</w:t>
            </w:r>
          </w:p>
        </w:tc>
        <w:tc>
          <w:tcPr>
            <w:tcW w:w="1107" w:type="pct"/>
            <w:tcBorders>
              <w:top w:val="nil"/>
              <w:left w:val="nil"/>
              <w:bottom w:val="nil"/>
              <w:right w:val="nil"/>
            </w:tcBorders>
            <w:vAlign w:val="center"/>
            <w:hideMark/>
          </w:tcPr>
          <w:p w14:paraId="63206E9A" w14:textId="176DF9C0"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7</w:t>
            </w:r>
            <w:r>
              <w:rPr>
                <w:bCs/>
                <w:szCs w:val="21"/>
              </w:rPr>
              <w:t>.5</w:t>
            </w:r>
          </w:p>
        </w:tc>
      </w:tr>
      <w:tr w:rsidR="00856DC8" w:rsidRPr="00856DC8" w14:paraId="541FF272" w14:textId="77777777" w:rsidTr="00856DC8">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single" w:sz="8" w:space="0" w:color="000000"/>
              <w:right w:val="nil"/>
            </w:tcBorders>
            <w:vAlign w:val="center"/>
            <w:hideMark/>
          </w:tcPr>
          <w:p w14:paraId="3D9FDF12" w14:textId="7E0F0474" w:rsidR="00856DC8" w:rsidRPr="00856DC8" w:rsidRDefault="004E0629" w:rsidP="00856DC8">
            <w:pPr>
              <w:widowControl/>
              <w:spacing w:line="440" w:lineRule="exact"/>
              <w:ind w:firstLineChars="0" w:firstLine="0"/>
              <w:jc w:val="center"/>
              <w:rPr>
                <w:szCs w:val="21"/>
              </w:rPr>
            </w:pPr>
            <w:r>
              <w:rPr>
                <w:szCs w:val="21"/>
              </w:rPr>
              <w:t>P-</w:t>
            </w:r>
            <w:r w:rsidR="00856DC8" w:rsidRPr="00856DC8">
              <w:rPr>
                <w:szCs w:val="21"/>
              </w:rPr>
              <w:t>CIP-</w:t>
            </w:r>
            <w:r>
              <w:rPr>
                <w:szCs w:val="21"/>
              </w:rPr>
              <w:t>6</w:t>
            </w:r>
          </w:p>
        </w:tc>
        <w:tc>
          <w:tcPr>
            <w:tcW w:w="1377" w:type="pct"/>
            <w:tcBorders>
              <w:top w:val="nil"/>
              <w:left w:val="nil"/>
              <w:bottom w:val="single" w:sz="8" w:space="0" w:color="000000"/>
              <w:right w:val="nil"/>
            </w:tcBorders>
            <w:vAlign w:val="center"/>
            <w:hideMark/>
          </w:tcPr>
          <w:p w14:paraId="393D7873" w14:textId="098E50EC"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7</w:t>
            </w:r>
            <w:r w:rsidR="004E0629">
              <w:rPr>
                <w:bCs/>
                <w:szCs w:val="21"/>
              </w:rPr>
              <w:t>0</w:t>
            </w:r>
          </w:p>
        </w:tc>
        <w:tc>
          <w:tcPr>
            <w:tcW w:w="1369" w:type="pct"/>
            <w:tcBorders>
              <w:top w:val="nil"/>
              <w:left w:val="nil"/>
              <w:bottom w:val="single" w:sz="8" w:space="0" w:color="000000"/>
              <w:right w:val="nil"/>
            </w:tcBorders>
            <w:vAlign w:val="center"/>
            <w:hideMark/>
          </w:tcPr>
          <w:p w14:paraId="0642B57D" w14:textId="3F676CB3"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3</w:t>
            </w:r>
            <w:r>
              <w:rPr>
                <w:bCs/>
                <w:szCs w:val="21"/>
              </w:rPr>
              <w:t>0</w:t>
            </w:r>
          </w:p>
        </w:tc>
        <w:tc>
          <w:tcPr>
            <w:tcW w:w="1107" w:type="pct"/>
            <w:tcBorders>
              <w:top w:val="nil"/>
              <w:left w:val="nil"/>
              <w:bottom w:val="single" w:sz="8" w:space="0" w:color="000000"/>
              <w:right w:val="nil"/>
            </w:tcBorders>
            <w:vAlign w:val="center"/>
            <w:hideMark/>
          </w:tcPr>
          <w:p w14:paraId="48392A7E" w14:textId="6B1F56C9" w:rsidR="00856DC8" w:rsidRPr="00856DC8" w:rsidRDefault="003546E1" w:rsidP="00856DC8">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p>
        </w:tc>
      </w:tr>
    </w:tbl>
    <w:p w14:paraId="1E5BC4F8" w14:textId="41A0146B" w:rsidR="002631E3" w:rsidRDefault="002631E3" w:rsidP="00317CA9">
      <w:pPr>
        <w:ind w:firstLineChars="0" w:firstLine="0"/>
      </w:pPr>
    </w:p>
    <w:p w14:paraId="353C1ACC" w14:textId="466D10FA" w:rsidR="002631E3" w:rsidRPr="002631E3" w:rsidRDefault="002631E3" w:rsidP="002631E3">
      <w:pPr>
        <w:ind w:firstLineChars="0" w:firstLine="0"/>
        <w:jc w:val="center"/>
        <w:rPr>
          <w:rFonts w:cs="Times New Roman"/>
          <w:b/>
        </w:rPr>
      </w:pPr>
      <w:bookmarkStart w:id="1" w:name="_Hlk238048512"/>
      <w:r w:rsidRPr="004D1623">
        <w:rPr>
          <w:rFonts w:cs="Times New Roman"/>
          <w:b/>
        </w:rPr>
        <w:t>Table S</w:t>
      </w:r>
      <w:r>
        <w:rPr>
          <w:rFonts w:cs="Times New Roman"/>
          <w:b/>
        </w:rPr>
        <w:t>3</w:t>
      </w:r>
      <w:r w:rsidRPr="004D1623">
        <w:rPr>
          <w:rFonts w:cs="Times New Roman"/>
          <w:b/>
        </w:rPr>
        <w:t xml:space="preserve">. </w:t>
      </w:r>
      <w:r w:rsidR="0000574C" w:rsidRPr="0000574C">
        <w:rPr>
          <w:rFonts w:cs="Times New Roman"/>
          <w:b/>
        </w:rPr>
        <w:t>Formulations of PANI/paraffin composites with different PANI loadings</w:t>
      </w:r>
    </w:p>
    <w:tbl>
      <w:tblPr>
        <w:tblStyle w:val="16"/>
        <w:tblW w:w="4992" w:type="pct"/>
        <w:tblInd w:w="0" w:type="dxa"/>
        <w:tblLook w:val="04A0" w:firstRow="1" w:lastRow="0" w:firstColumn="1" w:lastColumn="0" w:noHBand="0" w:noVBand="1"/>
      </w:tblPr>
      <w:tblGrid>
        <w:gridCol w:w="2445"/>
        <w:gridCol w:w="2932"/>
        <w:gridCol w:w="2916"/>
      </w:tblGrid>
      <w:tr w:rsidR="00045DF6" w:rsidRPr="00856DC8" w14:paraId="72725E6E" w14:textId="77777777" w:rsidTr="00045DF6">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474" w:type="pct"/>
            <w:tcBorders>
              <w:top w:val="single" w:sz="12" w:space="0" w:color="000000"/>
            </w:tcBorders>
            <w:vAlign w:val="center"/>
            <w:hideMark/>
          </w:tcPr>
          <w:bookmarkEnd w:id="1"/>
          <w:p w14:paraId="589C4A37" w14:textId="77777777" w:rsidR="00045DF6" w:rsidRPr="00856DC8" w:rsidRDefault="00045DF6" w:rsidP="008919A5">
            <w:pPr>
              <w:widowControl/>
              <w:spacing w:line="440" w:lineRule="exact"/>
              <w:ind w:firstLineChars="0" w:firstLine="0"/>
              <w:jc w:val="center"/>
              <w:rPr>
                <w:szCs w:val="21"/>
              </w:rPr>
            </w:pPr>
            <w:r>
              <w:rPr>
                <w:rFonts w:hint="eastAsia"/>
                <w:szCs w:val="21"/>
              </w:rPr>
              <w:t>S</w:t>
            </w:r>
            <w:r>
              <w:rPr>
                <w:szCs w:val="21"/>
              </w:rPr>
              <w:t>ample</w:t>
            </w:r>
          </w:p>
        </w:tc>
        <w:tc>
          <w:tcPr>
            <w:tcW w:w="1768" w:type="pct"/>
            <w:tcBorders>
              <w:top w:val="single" w:sz="12" w:space="0" w:color="000000"/>
            </w:tcBorders>
            <w:vAlign w:val="center"/>
            <w:hideMark/>
          </w:tcPr>
          <w:p w14:paraId="7ED80654" w14:textId="6D710AE2" w:rsidR="00045DF6" w:rsidRPr="00856DC8" w:rsidRDefault="00045DF6"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sidRPr="004D1623">
              <w:rPr>
                <w:szCs w:val="21"/>
              </w:rPr>
              <w:t>P</w:t>
            </w:r>
            <w:r>
              <w:rPr>
                <w:szCs w:val="21"/>
              </w:rPr>
              <w:t>araffin/</w:t>
            </w:r>
            <w:proofErr w:type="spellStart"/>
            <w:r>
              <w:rPr>
                <w:szCs w:val="21"/>
              </w:rPr>
              <w:t>wt</w:t>
            </w:r>
            <w:proofErr w:type="spellEnd"/>
            <w:r>
              <w:rPr>
                <w:szCs w:val="21"/>
              </w:rPr>
              <w:t>%</w:t>
            </w:r>
          </w:p>
        </w:tc>
        <w:tc>
          <w:tcPr>
            <w:tcW w:w="1758" w:type="pct"/>
            <w:tcBorders>
              <w:top w:val="single" w:sz="12" w:space="0" w:color="000000"/>
            </w:tcBorders>
            <w:vAlign w:val="center"/>
            <w:hideMark/>
          </w:tcPr>
          <w:p w14:paraId="4077C95D" w14:textId="77777777" w:rsidR="00045DF6" w:rsidRPr="00856DC8" w:rsidRDefault="00045DF6"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Pr>
                <w:szCs w:val="21"/>
              </w:rPr>
              <w:t>PANI/</w:t>
            </w:r>
            <w:proofErr w:type="spellStart"/>
            <w:r>
              <w:rPr>
                <w:szCs w:val="21"/>
              </w:rPr>
              <w:t>wt</w:t>
            </w:r>
            <w:proofErr w:type="spellEnd"/>
            <w:r>
              <w:rPr>
                <w:szCs w:val="21"/>
              </w:rPr>
              <w:t>%</w:t>
            </w:r>
          </w:p>
        </w:tc>
      </w:tr>
      <w:tr w:rsidR="00045DF6" w:rsidRPr="00856DC8" w14:paraId="19A50A2B" w14:textId="77777777" w:rsidTr="00045DF6">
        <w:trPr>
          <w:trHeight w:val="520"/>
        </w:trPr>
        <w:tc>
          <w:tcPr>
            <w:cnfStyle w:val="001000000000" w:firstRow="0" w:lastRow="0" w:firstColumn="1" w:lastColumn="0" w:oddVBand="0" w:evenVBand="0" w:oddHBand="0" w:evenHBand="0" w:firstRowFirstColumn="0" w:firstRowLastColumn="0" w:lastRowFirstColumn="0" w:lastRowLastColumn="0"/>
            <w:tcW w:w="1474" w:type="pct"/>
            <w:tcBorders>
              <w:top w:val="nil"/>
              <w:left w:val="nil"/>
              <w:bottom w:val="nil"/>
              <w:right w:val="nil"/>
            </w:tcBorders>
            <w:vAlign w:val="center"/>
            <w:hideMark/>
          </w:tcPr>
          <w:p w14:paraId="289DA9A8" w14:textId="2A6169B2" w:rsidR="00045DF6" w:rsidRPr="00856DC8" w:rsidRDefault="00045DF6" w:rsidP="008919A5">
            <w:pPr>
              <w:widowControl/>
              <w:spacing w:line="440" w:lineRule="exact"/>
              <w:ind w:firstLineChars="0" w:firstLine="0"/>
              <w:jc w:val="center"/>
              <w:rPr>
                <w:szCs w:val="21"/>
              </w:rPr>
            </w:pPr>
            <w:r>
              <w:rPr>
                <w:szCs w:val="21"/>
              </w:rPr>
              <w:t>PANI</w:t>
            </w:r>
            <w:r w:rsidRPr="00856DC8">
              <w:rPr>
                <w:szCs w:val="21"/>
              </w:rPr>
              <w:t>-1</w:t>
            </w:r>
          </w:p>
        </w:tc>
        <w:tc>
          <w:tcPr>
            <w:tcW w:w="1768" w:type="pct"/>
            <w:tcBorders>
              <w:top w:val="nil"/>
              <w:left w:val="nil"/>
              <w:bottom w:val="nil"/>
              <w:right w:val="nil"/>
            </w:tcBorders>
            <w:vAlign w:val="center"/>
            <w:hideMark/>
          </w:tcPr>
          <w:p w14:paraId="43826A12" w14:textId="2C6C9619" w:rsidR="00045DF6" w:rsidRPr="00856DC8" w:rsidRDefault="00045DF6"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90</w:t>
            </w:r>
          </w:p>
        </w:tc>
        <w:tc>
          <w:tcPr>
            <w:tcW w:w="1758" w:type="pct"/>
            <w:tcBorders>
              <w:top w:val="nil"/>
              <w:left w:val="nil"/>
              <w:bottom w:val="nil"/>
              <w:right w:val="nil"/>
            </w:tcBorders>
            <w:vAlign w:val="center"/>
            <w:hideMark/>
          </w:tcPr>
          <w:p w14:paraId="7D2C1EC9" w14:textId="2DD9D73D" w:rsidR="00045DF6" w:rsidRPr="00856DC8" w:rsidRDefault="00045DF6"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1</w:t>
            </w:r>
            <w:r>
              <w:rPr>
                <w:bCs/>
                <w:szCs w:val="21"/>
              </w:rPr>
              <w:t>0</w:t>
            </w:r>
          </w:p>
        </w:tc>
      </w:tr>
      <w:tr w:rsidR="00045DF6" w:rsidRPr="00856DC8" w14:paraId="5D92E578" w14:textId="77777777" w:rsidTr="00045DF6">
        <w:trPr>
          <w:trHeight w:val="506"/>
        </w:trPr>
        <w:tc>
          <w:tcPr>
            <w:cnfStyle w:val="001000000000" w:firstRow="0" w:lastRow="0" w:firstColumn="1" w:lastColumn="0" w:oddVBand="0" w:evenVBand="0" w:oddHBand="0" w:evenHBand="0" w:firstRowFirstColumn="0" w:firstRowLastColumn="0" w:lastRowFirstColumn="0" w:lastRowLastColumn="0"/>
            <w:tcW w:w="1474" w:type="pct"/>
            <w:tcBorders>
              <w:top w:val="nil"/>
              <w:left w:val="nil"/>
              <w:bottom w:val="nil"/>
              <w:right w:val="nil"/>
            </w:tcBorders>
            <w:vAlign w:val="center"/>
            <w:hideMark/>
          </w:tcPr>
          <w:p w14:paraId="6B83C7C5" w14:textId="7580FCB4" w:rsidR="00045DF6" w:rsidRPr="00856DC8" w:rsidRDefault="00045DF6" w:rsidP="008919A5">
            <w:pPr>
              <w:widowControl/>
              <w:spacing w:line="440" w:lineRule="exact"/>
              <w:ind w:firstLineChars="0" w:firstLine="0"/>
              <w:jc w:val="center"/>
              <w:rPr>
                <w:szCs w:val="21"/>
              </w:rPr>
            </w:pPr>
            <w:r>
              <w:rPr>
                <w:szCs w:val="21"/>
              </w:rPr>
              <w:lastRenderedPageBreak/>
              <w:t>PANI</w:t>
            </w:r>
            <w:r w:rsidRPr="00856DC8">
              <w:rPr>
                <w:szCs w:val="21"/>
              </w:rPr>
              <w:t>-2</w:t>
            </w:r>
          </w:p>
        </w:tc>
        <w:tc>
          <w:tcPr>
            <w:tcW w:w="1768" w:type="pct"/>
            <w:tcBorders>
              <w:top w:val="nil"/>
              <w:left w:val="nil"/>
              <w:bottom w:val="nil"/>
              <w:right w:val="nil"/>
            </w:tcBorders>
            <w:vAlign w:val="center"/>
            <w:hideMark/>
          </w:tcPr>
          <w:p w14:paraId="3993BA97" w14:textId="1601F821" w:rsidR="00045DF6" w:rsidRPr="00856DC8" w:rsidRDefault="00045DF6"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8</w:t>
            </w:r>
            <w:r>
              <w:rPr>
                <w:bCs/>
                <w:szCs w:val="21"/>
              </w:rPr>
              <w:t>0</w:t>
            </w:r>
          </w:p>
        </w:tc>
        <w:tc>
          <w:tcPr>
            <w:tcW w:w="1758" w:type="pct"/>
            <w:tcBorders>
              <w:top w:val="nil"/>
              <w:left w:val="nil"/>
              <w:bottom w:val="nil"/>
              <w:right w:val="nil"/>
            </w:tcBorders>
            <w:vAlign w:val="center"/>
            <w:hideMark/>
          </w:tcPr>
          <w:p w14:paraId="736A0D97" w14:textId="500AC8D2" w:rsidR="00045DF6" w:rsidRPr="00856DC8" w:rsidRDefault="00045DF6"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2</w:t>
            </w:r>
            <w:r>
              <w:rPr>
                <w:bCs/>
                <w:szCs w:val="21"/>
              </w:rPr>
              <w:t>0</w:t>
            </w:r>
          </w:p>
        </w:tc>
      </w:tr>
      <w:tr w:rsidR="00045DF6" w:rsidRPr="00856DC8" w14:paraId="7C16C6E5" w14:textId="77777777" w:rsidTr="00045DF6">
        <w:trPr>
          <w:trHeight w:val="520"/>
        </w:trPr>
        <w:tc>
          <w:tcPr>
            <w:cnfStyle w:val="001000000000" w:firstRow="0" w:lastRow="0" w:firstColumn="1" w:lastColumn="0" w:oddVBand="0" w:evenVBand="0" w:oddHBand="0" w:evenHBand="0" w:firstRowFirstColumn="0" w:firstRowLastColumn="0" w:lastRowFirstColumn="0" w:lastRowLastColumn="0"/>
            <w:tcW w:w="1474" w:type="pct"/>
            <w:tcBorders>
              <w:top w:val="nil"/>
              <w:left w:val="nil"/>
              <w:bottom w:val="nil"/>
              <w:right w:val="nil"/>
            </w:tcBorders>
            <w:vAlign w:val="center"/>
            <w:hideMark/>
          </w:tcPr>
          <w:p w14:paraId="677A0D40" w14:textId="604B6C8B" w:rsidR="00045DF6" w:rsidRPr="00856DC8" w:rsidRDefault="00045DF6" w:rsidP="008919A5">
            <w:pPr>
              <w:widowControl/>
              <w:spacing w:line="440" w:lineRule="exact"/>
              <w:ind w:firstLineChars="0" w:firstLine="0"/>
              <w:jc w:val="center"/>
              <w:rPr>
                <w:szCs w:val="21"/>
              </w:rPr>
            </w:pPr>
            <w:r>
              <w:rPr>
                <w:szCs w:val="21"/>
              </w:rPr>
              <w:t>PANI</w:t>
            </w:r>
            <w:r w:rsidRPr="00856DC8">
              <w:rPr>
                <w:szCs w:val="21"/>
              </w:rPr>
              <w:t>-3</w:t>
            </w:r>
          </w:p>
        </w:tc>
        <w:tc>
          <w:tcPr>
            <w:tcW w:w="1768" w:type="pct"/>
            <w:tcBorders>
              <w:top w:val="nil"/>
              <w:left w:val="nil"/>
              <w:bottom w:val="nil"/>
              <w:right w:val="nil"/>
            </w:tcBorders>
            <w:vAlign w:val="center"/>
            <w:hideMark/>
          </w:tcPr>
          <w:p w14:paraId="505B363A" w14:textId="77777777" w:rsidR="00045DF6" w:rsidRPr="00856DC8" w:rsidRDefault="00045DF6"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70</w:t>
            </w:r>
          </w:p>
        </w:tc>
        <w:tc>
          <w:tcPr>
            <w:tcW w:w="1758" w:type="pct"/>
            <w:tcBorders>
              <w:top w:val="nil"/>
              <w:left w:val="nil"/>
              <w:bottom w:val="nil"/>
              <w:right w:val="nil"/>
            </w:tcBorders>
            <w:vAlign w:val="center"/>
            <w:hideMark/>
          </w:tcPr>
          <w:p w14:paraId="563C3113" w14:textId="34030C33" w:rsidR="00045DF6" w:rsidRPr="00856DC8" w:rsidRDefault="00045DF6"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3</w:t>
            </w:r>
            <w:r>
              <w:rPr>
                <w:bCs/>
                <w:szCs w:val="21"/>
              </w:rPr>
              <w:t>0</w:t>
            </w:r>
          </w:p>
        </w:tc>
      </w:tr>
      <w:tr w:rsidR="00045DF6" w:rsidRPr="00856DC8" w14:paraId="3BF86057" w14:textId="77777777" w:rsidTr="00045DF6">
        <w:trPr>
          <w:trHeight w:val="520"/>
        </w:trPr>
        <w:tc>
          <w:tcPr>
            <w:cnfStyle w:val="001000000000" w:firstRow="0" w:lastRow="0" w:firstColumn="1" w:lastColumn="0" w:oddVBand="0" w:evenVBand="0" w:oddHBand="0" w:evenHBand="0" w:firstRowFirstColumn="0" w:firstRowLastColumn="0" w:lastRowFirstColumn="0" w:lastRowLastColumn="0"/>
            <w:tcW w:w="1474" w:type="pct"/>
            <w:tcBorders>
              <w:top w:val="nil"/>
              <w:left w:val="nil"/>
              <w:bottom w:val="nil"/>
              <w:right w:val="nil"/>
            </w:tcBorders>
            <w:vAlign w:val="center"/>
            <w:hideMark/>
          </w:tcPr>
          <w:p w14:paraId="10D93641" w14:textId="1EBCD979" w:rsidR="00045DF6" w:rsidRPr="00856DC8" w:rsidRDefault="00045DF6" w:rsidP="008919A5">
            <w:pPr>
              <w:widowControl/>
              <w:spacing w:line="440" w:lineRule="exact"/>
              <w:ind w:firstLineChars="0" w:firstLine="0"/>
              <w:jc w:val="center"/>
              <w:rPr>
                <w:szCs w:val="21"/>
              </w:rPr>
            </w:pPr>
            <w:r>
              <w:rPr>
                <w:szCs w:val="21"/>
              </w:rPr>
              <w:t>PANI</w:t>
            </w:r>
            <w:r w:rsidRPr="00856DC8">
              <w:rPr>
                <w:szCs w:val="21"/>
              </w:rPr>
              <w:t>-4</w:t>
            </w:r>
          </w:p>
        </w:tc>
        <w:tc>
          <w:tcPr>
            <w:tcW w:w="1768" w:type="pct"/>
            <w:tcBorders>
              <w:top w:val="nil"/>
              <w:left w:val="nil"/>
              <w:bottom w:val="nil"/>
              <w:right w:val="nil"/>
            </w:tcBorders>
            <w:vAlign w:val="center"/>
            <w:hideMark/>
          </w:tcPr>
          <w:p w14:paraId="78032736" w14:textId="04756ADC" w:rsidR="00045DF6" w:rsidRPr="00856DC8" w:rsidRDefault="00045DF6"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6</w:t>
            </w:r>
            <w:r>
              <w:rPr>
                <w:bCs/>
                <w:szCs w:val="21"/>
              </w:rPr>
              <w:t>0</w:t>
            </w:r>
          </w:p>
        </w:tc>
        <w:tc>
          <w:tcPr>
            <w:tcW w:w="1758" w:type="pct"/>
            <w:tcBorders>
              <w:top w:val="nil"/>
              <w:left w:val="nil"/>
              <w:bottom w:val="nil"/>
              <w:right w:val="nil"/>
            </w:tcBorders>
            <w:vAlign w:val="center"/>
            <w:hideMark/>
          </w:tcPr>
          <w:p w14:paraId="2C044D63" w14:textId="2DA56152" w:rsidR="00045DF6" w:rsidRPr="00856DC8" w:rsidRDefault="00045DF6"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4</w:t>
            </w:r>
            <w:r>
              <w:rPr>
                <w:bCs/>
                <w:szCs w:val="21"/>
              </w:rPr>
              <w:t>0</w:t>
            </w:r>
          </w:p>
        </w:tc>
      </w:tr>
      <w:tr w:rsidR="00045DF6" w:rsidRPr="00856DC8" w14:paraId="34D3CD68" w14:textId="77777777" w:rsidTr="00045DF6">
        <w:trPr>
          <w:trHeight w:val="506"/>
        </w:trPr>
        <w:tc>
          <w:tcPr>
            <w:cnfStyle w:val="001000000000" w:firstRow="0" w:lastRow="0" w:firstColumn="1" w:lastColumn="0" w:oddVBand="0" w:evenVBand="0" w:oddHBand="0" w:evenHBand="0" w:firstRowFirstColumn="0" w:firstRowLastColumn="0" w:lastRowFirstColumn="0" w:lastRowLastColumn="0"/>
            <w:tcW w:w="1474" w:type="pct"/>
            <w:tcBorders>
              <w:top w:val="nil"/>
              <w:left w:val="nil"/>
              <w:bottom w:val="single" w:sz="8" w:space="0" w:color="000000"/>
              <w:right w:val="nil"/>
            </w:tcBorders>
            <w:vAlign w:val="center"/>
            <w:hideMark/>
          </w:tcPr>
          <w:p w14:paraId="49468BFD" w14:textId="52D402A0" w:rsidR="00045DF6" w:rsidRPr="00856DC8" w:rsidRDefault="00045DF6" w:rsidP="008919A5">
            <w:pPr>
              <w:widowControl/>
              <w:spacing w:line="440" w:lineRule="exact"/>
              <w:ind w:firstLineChars="0" w:firstLine="0"/>
              <w:jc w:val="center"/>
              <w:rPr>
                <w:szCs w:val="21"/>
              </w:rPr>
            </w:pPr>
            <w:r>
              <w:rPr>
                <w:szCs w:val="21"/>
              </w:rPr>
              <w:t>PANI</w:t>
            </w:r>
            <w:r w:rsidRPr="00856DC8">
              <w:rPr>
                <w:szCs w:val="21"/>
              </w:rPr>
              <w:t>-</w:t>
            </w:r>
            <w:r>
              <w:rPr>
                <w:szCs w:val="21"/>
              </w:rPr>
              <w:t>5</w:t>
            </w:r>
          </w:p>
        </w:tc>
        <w:tc>
          <w:tcPr>
            <w:tcW w:w="1768" w:type="pct"/>
            <w:tcBorders>
              <w:top w:val="nil"/>
              <w:left w:val="nil"/>
              <w:bottom w:val="single" w:sz="8" w:space="0" w:color="000000"/>
              <w:right w:val="nil"/>
            </w:tcBorders>
            <w:vAlign w:val="center"/>
            <w:hideMark/>
          </w:tcPr>
          <w:p w14:paraId="32754440" w14:textId="7FA42A2F" w:rsidR="00045DF6" w:rsidRPr="00856DC8" w:rsidRDefault="00045DF6"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5</w:t>
            </w:r>
            <w:r>
              <w:rPr>
                <w:bCs/>
                <w:szCs w:val="21"/>
              </w:rPr>
              <w:t>0</w:t>
            </w:r>
          </w:p>
        </w:tc>
        <w:tc>
          <w:tcPr>
            <w:tcW w:w="1758" w:type="pct"/>
            <w:tcBorders>
              <w:top w:val="nil"/>
              <w:left w:val="nil"/>
              <w:bottom w:val="single" w:sz="8" w:space="0" w:color="000000"/>
              <w:right w:val="nil"/>
            </w:tcBorders>
            <w:vAlign w:val="center"/>
            <w:hideMark/>
          </w:tcPr>
          <w:p w14:paraId="57C80ED6" w14:textId="2B501578" w:rsidR="00045DF6" w:rsidRPr="00856DC8" w:rsidRDefault="00045DF6"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50</w:t>
            </w:r>
          </w:p>
        </w:tc>
      </w:tr>
    </w:tbl>
    <w:p w14:paraId="0BE12D87" w14:textId="0C892DFE" w:rsidR="00BB567A" w:rsidRDefault="00BB567A" w:rsidP="00317CA9">
      <w:pPr>
        <w:ind w:firstLineChars="0" w:firstLine="0"/>
      </w:pPr>
    </w:p>
    <w:p w14:paraId="05B624FF" w14:textId="50DBBA62" w:rsidR="005409C8" w:rsidRPr="002631E3" w:rsidRDefault="002631E3" w:rsidP="002631E3">
      <w:pPr>
        <w:ind w:firstLineChars="0" w:firstLine="0"/>
        <w:jc w:val="center"/>
        <w:rPr>
          <w:rFonts w:cs="Times New Roman"/>
          <w:b/>
        </w:rPr>
      </w:pPr>
      <w:r w:rsidRPr="004D1623">
        <w:rPr>
          <w:rFonts w:cs="Times New Roman"/>
          <w:b/>
        </w:rPr>
        <w:t>Table S</w:t>
      </w:r>
      <w:r w:rsidR="005E6B39">
        <w:rPr>
          <w:rFonts w:cs="Times New Roman"/>
          <w:b/>
        </w:rPr>
        <w:t>4</w:t>
      </w:r>
      <w:r w:rsidRPr="004D1623">
        <w:rPr>
          <w:rFonts w:cs="Times New Roman"/>
          <w:b/>
        </w:rPr>
        <w:t xml:space="preserve">. </w:t>
      </w:r>
      <w:r w:rsidR="005E6B39" w:rsidRPr="005E6B39">
        <w:rPr>
          <w:rFonts w:cs="Times New Roman"/>
          <w:b/>
        </w:rPr>
        <w:t>Prediction Error Metrics for the Real Permittivity of Ternary Composites</w:t>
      </w:r>
    </w:p>
    <w:tbl>
      <w:tblPr>
        <w:tblStyle w:val="16"/>
        <w:tblW w:w="5000" w:type="pct"/>
        <w:tblInd w:w="0" w:type="dxa"/>
        <w:tblLook w:val="04A0" w:firstRow="1" w:lastRow="0" w:firstColumn="1" w:lastColumn="0" w:noHBand="0" w:noVBand="1"/>
      </w:tblPr>
      <w:tblGrid>
        <w:gridCol w:w="1906"/>
        <w:gridCol w:w="2287"/>
        <w:gridCol w:w="2274"/>
        <w:gridCol w:w="1839"/>
      </w:tblGrid>
      <w:tr w:rsidR="005409C8" w:rsidRPr="00856DC8" w14:paraId="657C16B2" w14:textId="77777777" w:rsidTr="005409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pct"/>
            <w:tcBorders>
              <w:top w:val="single" w:sz="12" w:space="0" w:color="000000"/>
            </w:tcBorders>
            <w:vAlign w:val="center"/>
            <w:hideMark/>
          </w:tcPr>
          <w:p w14:paraId="563C41A7" w14:textId="24F7B49B" w:rsidR="005409C8" w:rsidRPr="005409C8" w:rsidRDefault="005409C8" w:rsidP="008919A5">
            <w:pPr>
              <w:widowControl/>
              <w:spacing w:line="440" w:lineRule="exact"/>
              <w:ind w:firstLineChars="0" w:firstLine="0"/>
              <w:jc w:val="center"/>
              <w:rPr>
                <w:i/>
                <w:iCs/>
                <w:sz w:val="30"/>
                <w:szCs w:val="30"/>
              </w:rPr>
            </w:pPr>
            <w:r w:rsidRPr="005409C8">
              <w:rPr>
                <w:rFonts w:hint="eastAsia"/>
                <w:i/>
                <w:iCs/>
                <w:sz w:val="30"/>
                <w:szCs w:val="30"/>
              </w:rPr>
              <w:t>ε</w:t>
            </w:r>
            <w:r w:rsidRPr="005409C8">
              <w:rPr>
                <w:i/>
                <w:iCs/>
                <w:sz w:val="30"/>
                <w:szCs w:val="30"/>
              </w:rPr>
              <w:t>'</w:t>
            </w:r>
          </w:p>
        </w:tc>
        <w:tc>
          <w:tcPr>
            <w:tcW w:w="1377" w:type="pct"/>
            <w:tcBorders>
              <w:top w:val="single" w:sz="12" w:space="0" w:color="000000"/>
            </w:tcBorders>
            <w:vAlign w:val="center"/>
            <w:hideMark/>
          </w:tcPr>
          <w:p w14:paraId="60AF9209" w14:textId="572D871B" w:rsidR="005409C8" w:rsidRPr="00856DC8" w:rsidRDefault="005409C8"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Pr>
                <w:szCs w:val="21"/>
              </w:rPr>
              <w:t>RMSE</w:t>
            </w:r>
          </w:p>
        </w:tc>
        <w:tc>
          <w:tcPr>
            <w:tcW w:w="1369" w:type="pct"/>
            <w:tcBorders>
              <w:top w:val="single" w:sz="12" w:space="0" w:color="000000"/>
            </w:tcBorders>
            <w:vAlign w:val="center"/>
            <w:hideMark/>
          </w:tcPr>
          <w:p w14:paraId="4A825276" w14:textId="1E9488F7" w:rsidR="005409C8" w:rsidRPr="00856DC8" w:rsidRDefault="005409C8"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Pr>
                <w:szCs w:val="21"/>
              </w:rPr>
              <w:t>MAE</w:t>
            </w:r>
          </w:p>
        </w:tc>
        <w:tc>
          <w:tcPr>
            <w:tcW w:w="1107" w:type="pct"/>
            <w:tcBorders>
              <w:top w:val="single" w:sz="12" w:space="0" w:color="000000"/>
            </w:tcBorders>
            <w:vAlign w:val="center"/>
            <w:hideMark/>
          </w:tcPr>
          <w:p w14:paraId="04A267FD" w14:textId="0F3F2B69" w:rsidR="005409C8" w:rsidRPr="00856DC8" w:rsidRDefault="005409C8" w:rsidP="005409C8">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Pr>
                <w:szCs w:val="21"/>
              </w:rPr>
              <w:t>NRMSE</w:t>
            </w:r>
          </w:p>
        </w:tc>
      </w:tr>
      <w:tr w:rsidR="005409C8" w:rsidRPr="00856DC8" w14:paraId="41EE57CA"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647F96EF" w14:textId="77777777" w:rsidR="005409C8" w:rsidRPr="00856DC8" w:rsidRDefault="005409C8" w:rsidP="008919A5">
            <w:pPr>
              <w:widowControl/>
              <w:spacing w:line="440" w:lineRule="exact"/>
              <w:ind w:firstLineChars="0" w:firstLine="0"/>
              <w:jc w:val="center"/>
              <w:rPr>
                <w:szCs w:val="21"/>
              </w:rPr>
            </w:pPr>
            <w:r>
              <w:rPr>
                <w:szCs w:val="21"/>
              </w:rPr>
              <w:t>P-</w:t>
            </w:r>
            <w:r w:rsidRPr="00856DC8">
              <w:rPr>
                <w:szCs w:val="21"/>
              </w:rPr>
              <w:t>CIP-1</w:t>
            </w:r>
          </w:p>
        </w:tc>
        <w:tc>
          <w:tcPr>
            <w:tcW w:w="1377" w:type="pct"/>
            <w:tcBorders>
              <w:top w:val="nil"/>
              <w:left w:val="nil"/>
              <w:bottom w:val="nil"/>
              <w:right w:val="nil"/>
            </w:tcBorders>
            <w:vAlign w:val="center"/>
            <w:hideMark/>
          </w:tcPr>
          <w:p w14:paraId="0DCE3AB9" w14:textId="3D1FE122"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0.295</w:t>
            </w:r>
            <w:r w:rsidR="000E53F0">
              <w:rPr>
                <w:bCs/>
                <w:szCs w:val="21"/>
              </w:rPr>
              <w:t>1</w:t>
            </w:r>
          </w:p>
        </w:tc>
        <w:tc>
          <w:tcPr>
            <w:tcW w:w="1369" w:type="pct"/>
            <w:tcBorders>
              <w:top w:val="nil"/>
              <w:left w:val="nil"/>
              <w:bottom w:val="nil"/>
              <w:right w:val="nil"/>
            </w:tcBorders>
            <w:vAlign w:val="center"/>
            <w:hideMark/>
          </w:tcPr>
          <w:p w14:paraId="3BAF9443" w14:textId="020B4C92"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.221</w:t>
            </w:r>
            <w:r w:rsidR="000E53F0">
              <w:rPr>
                <w:bCs/>
                <w:szCs w:val="21"/>
              </w:rPr>
              <w:t>5</w:t>
            </w:r>
          </w:p>
        </w:tc>
        <w:tc>
          <w:tcPr>
            <w:tcW w:w="1107" w:type="pct"/>
            <w:tcBorders>
              <w:top w:val="nil"/>
              <w:left w:val="nil"/>
              <w:bottom w:val="nil"/>
              <w:right w:val="nil"/>
            </w:tcBorders>
            <w:vAlign w:val="center"/>
            <w:hideMark/>
          </w:tcPr>
          <w:p w14:paraId="59D7AC00" w14:textId="3D587880"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.099</w:t>
            </w:r>
            <w:r w:rsidR="000E53F0">
              <w:rPr>
                <w:bCs/>
                <w:szCs w:val="21"/>
              </w:rPr>
              <w:t>3</w:t>
            </w:r>
          </w:p>
        </w:tc>
      </w:tr>
      <w:tr w:rsidR="005409C8" w:rsidRPr="00856DC8" w14:paraId="25D6920C"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6FAAA76A" w14:textId="77777777" w:rsidR="005409C8" w:rsidRPr="00856DC8" w:rsidRDefault="005409C8" w:rsidP="008919A5">
            <w:pPr>
              <w:widowControl/>
              <w:spacing w:line="440" w:lineRule="exact"/>
              <w:ind w:firstLineChars="0" w:firstLine="0"/>
              <w:jc w:val="center"/>
              <w:rPr>
                <w:szCs w:val="21"/>
              </w:rPr>
            </w:pPr>
            <w:r>
              <w:rPr>
                <w:szCs w:val="21"/>
              </w:rPr>
              <w:t>P-</w:t>
            </w:r>
            <w:r w:rsidRPr="00856DC8">
              <w:rPr>
                <w:szCs w:val="21"/>
              </w:rPr>
              <w:t>CIP-2</w:t>
            </w:r>
          </w:p>
        </w:tc>
        <w:tc>
          <w:tcPr>
            <w:tcW w:w="1377" w:type="pct"/>
            <w:tcBorders>
              <w:top w:val="nil"/>
              <w:left w:val="nil"/>
              <w:bottom w:val="nil"/>
              <w:right w:val="nil"/>
            </w:tcBorders>
            <w:vAlign w:val="center"/>
            <w:hideMark/>
          </w:tcPr>
          <w:p w14:paraId="00E56ED8" w14:textId="3319F942"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.3606</w:t>
            </w:r>
          </w:p>
        </w:tc>
        <w:tc>
          <w:tcPr>
            <w:tcW w:w="1369" w:type="pct"/>
            <w:tcBorders>
              <w:top w:val="nil"/>
              <w:left w:val="nil"/>
              <w:bottom w:val="nil"/>
              <w:right w:val="nil"/>
            </w:tcBorders>
            <w:vAlign w:val="center"/>
            <w:hideMark/>
          </w:tcPr>
          <w:p w14:paraId="7CDA0625" w14:textId="58CF023E"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.281</w:t>
            </w:r>
            <w:r w:rsidR="000E53F0">
              <w:rPr>
                <w:bCs/>
                <w:szCs w:val="21"/>
              </w:rPr>
              <w:t>3</w:t>
            </w:r>
          </w:p>
        </w:tc>
        <w:tc>
          <w:tcPr>
            <w:tcW w:w="1107" w:type="pct"/>
            <w:tcBorders>
              <w:top w:val="nil"/>
              <w:left w:val="nil"/>
              <w:bottom w:val="nil"/>
              <w:right w:val="nil"/>
            </w:tcBorders>
            <w:vAlign w:val="center"/>
            <w:hideMark/>
          </w:tcPr>
          <w:p w14:paraId="532AA3B1" w14:textId="0012F1F8"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.1171</w:t>
            </w:r>
          </w:p>
        </w:tc>
      </w:tr>
      <w:tr w:rsidR="005409C8" w:rsidRPr="00856DC8" w14:paraId="1F528BB2"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33AD9A8C" w14:textId="77777777" w:rsidR="005409C8" w:rsidRPr="00856DC8" w:rsidRDefault="005409C8" w:rsidP="008919A5">
            <w:pPr>
              <w:widowControl/>
              <w:spacing w:line="440" w:lineRule="exact"/>
              <w:ind w:firstLineChars="0" w:firstLine="0"/>
              <w:jc w:val="center"/>
              <w:rPr>
                <w:szCs w:val="21"/>
              </w:rPr>
            </w:pPr>
            <w:r>
              <w:rPr>
                <w:szCs w:val="21"/>
              </w:rPr>
              <w:t>P-</w:t>
            </w:r>
            <w:r w:rsidRPr="00856DC8">
              <w:rPr>
                <w:szCs w:val="21"/>
              </w:rPr>
              <w:t>CIP-3</w:t>
            </w:r>
          </w:p>
        </w:tc>
        <w:tc>
          <w:tcPr>
            <w:tcW w:w="1377" w:type="pct"/>
            <w:tcBorders>
              <w:top w:val="nil"/>
              <w:left w:val="nil"/>
              <w:bottom w:val="nil"/>
              <w:right w:val="nil"/>
            </w:tcBorders>
            <w:vAlign w:val="center"/>
            <w:hideMark/>
          </w:tcPr>
          <w:p w14:paraId="260EAB94" w14:textId="68836ADF"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.3721</w:t>
            </w:r>
          </w:p>
        </w:tc>
        <w:tc>
          <w:tcPr>
            <w:tcW w:w="1369" w:type="pct"/>
            <w:tcBorders>
              <w:top w:val="nil"/>
              <w:left w:val="nil"/>
              <w:bottom w:val="nil"/>
              <w:right w:val="nil"/>
            </w:tcBorders>
            <w:vAlign w:val="center"/>
            <w:hideMark/>
          </w:tcPr>
          <w:p w14:paraId="1BD90185" w14:textId="7D4C9B29"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.3091</w:t>
            </w:r>
          </w:p>
        </w:tc>
        <w:tc>
          <w:tcPr>
            <w:tcW w:w="1107" w:type="pct"/>
            <w:tcBorders>
              <w:top w:val="nil"/>
              <w:left w:val="nil"/>
              <w:bottom w:val="nil"/>
              <w:right w:val="nil"/>
            </w:tcBorders>
            <w:vAlign w:val="center"/>
            <w:hideMark/>
          </w:tcPr>
          <w:p w14:paraId="6F1BF9FF" w14:textId="15E30164"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.0887</w:t>
            </w:r>
          </w:p>
        </w:tc>
      </w:tr>
      <w:tr w:rsidR="005409C8" w:rsidRPr="00856DC8" w14:paraId="301C7EEC"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3CC60069" w14:textId="77777777" w:rsidR="005409C8" w:rsidRPr="00856DC8" w:rsidRDefault="005409C8" w:rsidP="008919A5">
            <w:pPr>
              <w:widowControl/>
              <w:spacing w:line="440" w:lineRule="exact"/>
              <w:ind w:firstLineChars="0" w:firstLine="0"/>
              <w:jc w:val="center"/>
              <w:rPr>
                <w:szCs w:val="21"/>
              </w:rPr>
            </w:pPr>
            <w:r>
              <w:rPr>
                <w:szCs w:val="21"/>
              </w:rPr>
              <w:t>P-</w:t>
            </w:r>
            <w:r w:rsidRPr="00856DC8">
              <w:rPr>
                <w:szCs w:val="21"/>
              </w:rPr>
              <w:t>CIP-4</w:t>
            </w:r>
          </w:p>
        </w:tc>
        <w:tc>
          <w:tcPr>
            <w:tcW w:w="1377" w:type="pct"/>
            <w:tcBorders>
              <w:top w:val="nil"/>
              <w:left w:val="nil"/>
              <w:bottom w:val="nil"/>
              <w:right w:val="nil"/>
            </w:tcBorders>
            <w:vAlign w:val="center"/>
            <w:hideMark/>
          </w:tcPr>
          <w:p w14:paraId="130A8055" w14:textId="25DB8556"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.373</w:t>
            </w:r>
            <w:r w:rsidR="000E53F0">
              <w:rPr>
                <w:bCs/>
                <w:szCs w:val="21"/>
              </w:rPr>
              <w:t>3</w:t>
            </w:r>
          </w:p>
        </w:tc>
        <w:tc>
          <w:tcPr>
            <w:tcW w:w="1369" w:type="pct"/>
            <w:tcBorders>
              <w:top w:val="nil"/>
              <w:left w:val="nil"/>
              <w:bottom w:val="nil"/>
              <w:right w:val="nil"/>
            </w:tcBorders>
            <w:vAlign w:val="center"/>
            <w:hideMark/>
          </w:tcPr>
          <w:p w14:paraId="14E9FB99" w14:textId="480D2F71"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.287</w:t>
            </w:r>
            <w:r w:rsidR="000E53F0">
              <w:rPr>
                <w:bCs/>
                <w:szCs w:val="21"/>
              </w:rPr>
              <w:t>2</w:t>
            </w:r>
          </w:p>
        </w:tc>
        <w:tc>
          <w:tcPr>
            <w:tcW w:w="1107" w:type="pct"/>
            <w:tcBorders>
              <w:top w:val="nil"/>
              <w:left w:val="nil"/>
              <w:bottom w:val="nil"/>
              <w:right w:val="nil"/>
            </w:tcBorders>
            <w:vAlign w:val="center"/>
            <w:hideMark/>
          </w:tcPr>
          <w:p w14:paraId="6F65D154" w14:textId="6751309E"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.0718</w:t>
            </w:r>
          </w:p>
        </w:tc>
      </w:tr>
      <w:tr w:rsidR="005409C8" w:rsidRPr="00856DC8" w14:paraId="04A00394"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503E03DE" w14:textId="77777777" w:rsidR="005409C8" w:rsidRPr="00856DC8" w:rsidRDefault="005409C8" w:rsidP="008919A5">
            <w:pPr>
              <w:widowControl/>
              <w:spacing w:line="440" w:lineRule="exact"/>
              <w:ind w:firstLineChars="0" w:firstLine="0"/>
              <w:jc w:val="center"/>
              <w:rPr>
                <w:szCs w:val="21"/>
              </w:rPr>
            </w:pPr>
            <w:r>
              <w:rPr>
                <w:szCs w:val="21"/>
              </w:rPr>
              <w:t>P-</w:t>
            </w:r>
            <w:r w:rsidRPr="00856DC8">
              <w:rPr>
                <w:szCs w:val="21"/>
              </w:rPr>
              <w:t>CIP-5</w:t>
            </w:r>
          </w:p>
        </w:tc>
        <w:tc>
          <w:tcPr>
            <w:tcW w:w="1377" w:type="pct"/>
            <w:tcBorders>
              <w:top w:val="nil"/>
              <w:left w:val="nil"/>
              <w:bottom w:val="nil"/>
              <w:right w:val="nil"/>
            </w:tcBorders>
            <w:vAlign w:val="center"/>
            <w:hideMark/>
          </w:tcPr>
          <w:p w14:paraId="76273735" w14:textId="41C2F439"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.615</w:t>
            </w:r>
            <w:r w:rsidR="000E53F0">
              <w:rPr>
                <w:bCs/>
                <w:szCs w:val="21"/>
              </w:rPr>
              <w:t>6</w:t>
            </w:r>
          </w:p>
        </w:tc>
        <w:tc>
          <w:tcPr>
            <w:tcW w:w="1369" w:type="pct"/>
            <w:tcBorders>
              <w:top w:val="nil"/>
              <w:left w:val="nil"/>
              <w:bottom w:val="nil"/>
              <w:right w:val="nil"/>
            </w:tcBorders>
            <w:vAlign w:val="center"/>
            <w:hideMark/>
          </w:tcPr>
          <w:p w14:paraId="597DEB1B" w14:textId="38F50B8D"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.533</w:t>
            </w:r>
            <w:r w:rsidR="000E53F0">
              <w:rPr>
                <w:bCs/>
                <w:szCs w:val="21"/>
              </w:rPr>
              <w:t>2</w:t>
            </w:r>
          </w:p>
        </w:tc>
        <w:tc>
          <w:tcPr>
            <w:tcW w:w="1107" w:type="pct"/>
            <w:tcBorders>
              <w:top w:val="nil"/>
              <w:left w:val="nil"/>
              <w:bottom w:val="nil"/>
              <w:right w:val="nil"/>
            </w:tcBorders>
            <w:vAlign w:val="center"/>
            <w:hideMark/>
          </w:tcPr>
          <w:p w14:paraId="4EB15894" w14:textId="6844BD65"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.0981</w:t>
            </w:r>
          </w:p>
        </w:tc>
      </w:tr>
      <w:tr w:rsidR="005409C8" w:rsidRPr="00856DC8" w14:paraId="38B7458B"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single" w:sz="8" w:space="0" w:color="000000"/>
              <w:right w:val="nil"/>
            </w:tcBorders>
            <w:vAlign w:val="center"/>
            <w:hideMark/>
          </w:tcPr>
          <w:p w14:paraId="09B60821" w14:textId="77777777" w:rsidR="005409C8" w:rsidRPr="00856DC8" w:rsidRDefault="005409C8" w:rsidP="008919A5">
            <w:pPr>
              <w:widowControl/>
              <w:spacing w:line="440" w:lineRule="exact"/>
              <w:ind w:firstLineChars="0" w:firstLine="0"/>
              <w:jc w:val="center"/>
              <w:rPr>
                <w:szCs w:val="21"/>
              </w:rPr>
            </w:pPr>
            <w:r>
              <w:rPr>
                <w:szCs w:val="21"/>
              </w:rPr>
              <w:t>P-</w:t>
            </w:r>
            <w:r w:rsidRPr="00856DC8">
              <w:rPr>
                <w:szCs w:val="21"/>
              </w:rPr>
              <w:t>CIP-</w:t>
            </w:r>
            <w:r>
              <w:rPr>
                <w:szCs w:val="21"/>
              </w:rPr>
              <w:t>6</w:t>
            </w:r>
          </w:p>
        </w:tc>
        <w:tc>
          <w:tcPr>
            <w:tcW w:w="1377" w:type="pct"/>
            <w:tcBorders>
              <w:top w:val="nil"/>
              <w:left w:val="nil"/>
              <w:bottom w:val="single" w:sz="8" w:space="0" w:color="000000"/>
              <w:right w:val="nil"/>
            </w:tcBorders>
            <w:vAlign w:val="center"/>
            <w:hideMark/>
          </w:tcPr>
          <w:p w14:paraId="276298C8" w14:textId="0DA2FBD4"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.4145</w:t>
            </w:r>
          </w:p>
        </w:tc>
        <w:tc>
          <w:tcPr>
            <w:tcW w:w="1369" w:type="pct"/>
            <w:tcBorders>
              <w:top w:val="nil"/>
              <w:left w:val="nil"/>
              <w:bottom w:val="single" w:sz="8" w:space="0" w:color="000000"/>
              <w:right w:val="nil"/>
            </w:tcBorders>
            <w:vAlign w:val="center"/>
            <w:hideMark/>
          </w:tcPr>
          <w:p w14:paraId="0C8BEC61" w14:textId="267EBD3C"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.3079</w:t>
            </w:r>
          </w:p>
        </w:tc>
        <w:tc>
          <w:tcPr>
            <w:tcW w:w="1107" w:type="pct"/>
            <w:tcBorders>
              <w:top w:val="nil"/>
              <w:left w:val="nil"/>
              <w:bottom w:val="single" w:sz="8" w:space="0" w:color="000000"/>
              <w:right w:val="nil"/>
            </w:tcBorders>
            <w:vAlign w:val="center"/>
            <w:hideMark/>
          </w:tcPr>
          <w:p w14:paraId="6EF7EFCC" w14:textId="4ECE3FAD" w:rsidR="005409C8" w:rsidRPr="00856DC8" w:rsidRDefault="0027150F"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.0562</w:t>
            </w:r>
          </w:p>
        </w:tc>
      </w:tr>
    </w:tbl>
    <w:p w14:paraId="1F93922D" w14:textId="7B5B8795" w:rsidR="00B46F42" w:rsidRDefault="00B46F42" w:rsidP="00317CA9">
      <w:pPr>
        <w:ind w:firstLineChars="0" w:firstLine="0"/>
      </w:pPr>
    </w:p>
    <w:p w14:paraId="016D6B06" w14:textId="7D4F1095" w:rsidR="00B46F42" w:rsidRPr="005E6B39" w:rsidRDefault="005E6B39" w:rsidP="005E6B39">
      <w:pPr>
        <w:ind w:firstLineChars="0" w:firstLine="0"/>
        <w:jc w:val="center"/>
      </w:pPr>
      <w:bookmarkStart w:id="2" w:name="_Hlk238215238"/>
      <w:r w:rsidRPr="004D1623">
        <w:rPr>
          <w:rFonts w:cs="Times New Roman"/>
          <w:b/>
        </w:rPr>
        <w:t>Table S</w:t>
      </w:r>
      <w:r w:rsidR="00220E50">
        <w:rPr>
          <w:rFonts w:cs="Times New Roman"/>
          <w:b/>
        </w:rPr>
        <w:t>5</w:t>
      </w:r>
      <w:r w:rsidRPr="004D1623">
        <w:rPr>
          <w:rFonts w:cs="Times New Roman"/>
          <w:b/>
        </w:rPr>
        <w:t xml:space="preserve">. </w:t>
      </w:r>
      <w:r w:rsidRPr="005E6B39">
        <w:rPr>
          <w:rFonts w:cs="Times New Roman"/>
          <w:b/>
        </w:rPr>
        <w:t>Prediction Error Metrics for the Imaginary Permittivity of Ternary Composites</w:t>
      </w:r>
    </w:p>
    <w:tbl>
      <w:tblPr>
        <w:tblStyle w:val="16"/>
        <w:tblW w:w="5000" w:type="pct"/>
        <w:tblInd w:w="0" w:type="dxa"/>
        <w:tblLook w:val="04A0" w:firstRow="1" w:lastRow="0" w:firstColumn="1" w:lastColumn="0" w:noHBand="0" w:noVBand="1"/>
      </w:tblPr>
      <w:tblGrid>
        <w:gridCol w:w="1906"/>
        <w:gridCol w:w="2287"/>
        <w:gridCol w:w="2274"/>
        <w:gridCol w:w="1839"/>
      </w:tblGrid>
      <w:tr w:rsidR="00B46F42" w:rsidRPr="00856DC8" w14:paraId="2E971212" w14:textId="77777777" w:rsidTr="008919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pct"/>
            <w:tcBorders>
              <w:top w:val="single" w:sz="12" w:space="0" w:color="000000"/>
            </w:tcBorders>
            <w:vAlign w:val="center"/>
            <w:hideMark/>
          </w:tcPr>
          <w:bookmarkEnd w:id="2"/>
          <w:p w14:paraId="4FA0D53F" w14:textId="68EEDFC9" w:rsidR="00B46F42" w:rsidRPr="005409C8" w:rsidRDefault="00B46F42" w:rsidP="008919A5">
            <w:pPr>
              <w:widowControl/>
              <w:spacing w:line="440" w:lineRule="exact"/>
              <w:ind w:firstLineChars="0" w:firstLine="0"/>
              <w:jc w:val="center"/>
              <w:rPr>
                <w:i/>
                <w:iCs/>
                <w:sz w:val="30"/>
                <w:szCs w:val="30"/>
              </w:rPr>
            </w:pPr>
            <w:r w:rsidRPr="005409C8">
              <w:rPr>
                <w:rFonts w:hint="eastAsia"/>
                <w:i/>
                <w:iCs/>
                <w:sz w:val="30"/>
                <w:szCs w:val="30"/>
              </w:rPr>
              <w:t>ε</w:t>
            </w:r>
            <w:r w:rsidRPr="005409C8">
              <w:rPr>
                <w:i/>
                <w:iCs/>
                <w:sz w:val="30"/>
                <w:szCs w:val="30"/>
              </w:rPr>
              <w:t>''</w:t>
            </w:r>
          </w:p>
        </w:tc>
        <w:tc>
          <w:tcPr>
            <w:tcW w:w="1377" w:type="pct"/>
            <w:tcBorders>
              <w:top w:val="single" w:sz="12" w:space="0" w:color="000000"/>
            </w:tcBorders>
            <w:vAlign w:val="center"/>
            <w:hideMark/>
          </w:tcPr>
          <w:p w14:paraId="6821B012" w14:textId="77777777" w:rsidR="00B46F42" w:rsidRPr="00856DC8" w:rsidRDefault="00B46F42"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Pr>
                <w:szCs w:val="21"/>
              </w:rPr>
              <w:t>RMSE</w:t>
            </w:r>
          </w:p>
        </w:tc>
        <w:tc>
          <w:tcPr>
            <w:tcW w:w="1369" w:type="pct"/>
            <w:tcBorders>
              <w:top w:val="single" w:sz="12" w:space="0" w:color="000000"/>
            </w:tcBorders>
            <w:vAlign w:val="center"/>
            <w:hideMark/>
          </w:tcPr>
          <w:p w14:paraId="6F6C88BD" w14:textId="77777777" w:rsidR="00B46F42" w:rsidRPr="00856DC8" w:rsidRDefault="00B46F42"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Pr>
                <w:szCs w:val="21"/>
              </w:rPr>
              <w:t>MAE</w:t>
            </w:r>
          </w:p>
        </w:tc>
        <w:tc>
          <w:tcPr>
            <w:tcW w:w="1107" w:type="pct"/>
            <w:tcBorders>
              <w:top w:val="single" w:sz="12" w:space="0" w:color="000000"/>
            </w:tcBorders>
            <w:vAlign w:val="center"/>
            <w:hideMark/>
          </w:tcPr>
          <w:p w14:paraId="31C6B193" w14:textId="77777777" w:rsidR="00B46F42" w:rsidRPr="00856DC8" w:rsidRDefault="00B46F42"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Pr>
                <w:szCs w:val="21"/>
              </w:rPr>
              <w:t>NRMSE</w:t>
            </w:r>
          </w:p>
        </w:tc>
      </w:tr>
      <w:tr w:rsidR="00B46F42" w:rsidRPr="00856DC8" w14:paraId="497F7179"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749D02D2" w14:textId="77777777" w:rsidR="00B46F42" w:rsidRPr="00856DC8" w:rsidRDefault="00B46F42" w:rsidP="008919A5">
            <w:pPr>
              <w:widowControl/>
              <w:spacing w:line="440" w:lineRule="exact"/>
              <w:ind w:firstLineChars="0" w:firstLine="0"/>
              <w:jc w:val="center"/>
              <w:rPr>
                <w:szCs w:val="21"/>
              </w:rPr>
            </w:pPr>
            <w:r>
              <w:rPr>
                <w:szCs w:val="21"/>
              </w:rPr>
              <w:t>P-</w:t>
            </w:r>
            <w:r w:rsidRPr="00856DC8">
              <w:rPr>
                <w:szCs w:val="21"/>
              </w:rPr>
              <w:t>CIP-1</w:t>
            </w:r>
          </w:p>
        </w:tc>
        <w:tc>
          <w:tcPr>
            <w:tcW w:w="1377" w:type="pct"/>
            <w:tcBorders>
              <w:top w:val="nil"/>
              <w:left w:val="nil"/>
              <w:bottom w:val="nil"/>
              <w:right w:val="nil"/>
            </w:tcBorders>
            <w:vAlign w:val="center"/>
            <w:hideMark/>
          </w:tcPr>
          <w:p w14:paraId="46821AAA" w14:textId="3A6A4F83"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0.1753</w:t>
            </w:r>
          </w:p>
        </w:tc>
        <w:tc>
          <w:tcPr>
            <w:tcW w:w="1369" w:type="pct"/>
            <w:tcBorders>
              <w:top w:val="nil"/>
              <w:left w:val="nil"/>
              <w:bottom w:val="nil"/>
              <w:right w:val="nil"/>
            </w:tcBorders>
            <w:vAlign w:val="center"/>
            <w:hideMark/>
          </w:tcPr>
          <w:p w14:paraId="0845C6A6" w14:textId="32EA32CA"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.1478</w:t>
            </w:r>
          </w:p>
        </w:tc>
        <w:tc>
          <w:tcPr>
            <w:tcW w:w="1107" w:type="pct"/>
            <w:tcBorders>
              <w:top w:val="nil"/>
              <w:left w:val="nil"/>
              <w:bottom w:val="nil"/>
              <w:right w:val="nil"/>
            </w:tcBorders>
            <w:vAlign w:val="center"/>
            <w:hideMark/>
          </w:tcPr>
          <w:p w14:paraId="77E28E71" w14:textId="0E9109CA"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.1371</w:t>
            </w:r>
          </w:p>
        </w:tc>
      </w:tr>
      <w:tr w:rsidR="00B46F42" w:rsidRPr="00856DC8" w14:paraId="7E9FE63F"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39310281" w14:textId="77777777" w:rsidR="00B46F42" w:rsidRPr="00856DC8" w:rsidRDefault="00B46F42" w:rsidP="008919A5">
            <w:pPr>
              <w:widowControl/>
              <w:spacing w:line="440" w:lineRule="exact"/>
              <w:ind w:firstLineChars="0" w:firstLine="0"/>
              <w:jc w:val="center"/>
              <w:rPr>
                <w:szCs w:val="21"/>
              </w:rPr>
            </w:pPr>
            <w:r>
              <w:rPr>
                <w:szCs w:val="21"/>
              </w:rPr>
              <w:t>P-</w:t>
            </w:r>
            <w:r w:rsidRPr="00856DC8">
              <w:rPr>
                <w:szCs w:val="21"/>
              </w:rPr>
              <w:t>CIP-2</w:t>
            </w:r>
          </w:p>
        </w:tc>
        <w:tc>
          <w:tcPr>
            <w:tcW w:w="1377" w:type="pct"/>
            <w:tcBorders>
              <w:top w:val="nil"/>
              <w:left w:val="nil"/>
              <w:bottom w:val="nil"/>
              <w:right w:val="nil"/>
            </w:tcBorders>
            <w:vAlign w:val="center"/>
            <w:hideMark/>
          </w:tcPr>
          <w:p w14:paraId="2839D6A5" w14:textId="55741155"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.3641</w:t>
            </w:r>
          </w:p>
        </w:tc>
        <w:tc>
          <w:tcPr>
            <w:tcW w:w="1369" w:type="pct"/>
            <w:tcBorders>
              <w:top w:val="nil"/>
              <w:left w:val="nil"/>
              <w:bottom w:val="nil"/>
              <w:right w:val="nil"/>
            </w:tcBorders>
            <w:vAlign w:val="center"/>
            <w:hideMark/>
          </w:tcPr>
          <w:p w14:paraId="4DEC523B" w14:textId="1D59AB02"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.2233</w:t>
            </w:r>
          </w:p>
        </w:tc>
        <w:tc>
          <w:tcPr>
            <w:tcW w:w="1107" w:type="pct"/>
            <w:tcBorders>
              <w:top w:val="nil"/>
              <w:left w:val="nil"/>
              <w:bottom w:val="nil"/>
              <w:right w:val="nil"/>
            </w:tcBorders>
            <w:vAlign w:val="center"/>
            <w:hideMark/>
          </w:tcPr>
          <w:p w14:paraId="7E1B768C" w14:textId="2B821585"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.3512</w:t>
            </w:r>
          </w:p>
        </w:tc>
      </w:tr>
      <w:tr w:rsidR="00B46F42" w:rsidRPr="00856DC8" w14:paraId="63DACFEC"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5750F5CC" w14:textId="77777777" w:rsidR="00B46F42" w:rsidRPr="00856DC8" w:rsidRDefault="00B46F42" w:rsidP="008919A5">
            <w:pPr>
              <w:widowControl/>
              <w:spacing w:line="440" w:lineRule="exact"/>
              <w:ind w:firstLineChars="0" w:firstLine="0"/>
              <w:jc w:val="center"/>
              <w:rPr>
                <w:szCs w:val="21"/>
              </w:rPr>
            </w:pPr>
            <w:r>
              <w:rPr>
                <w:szCs w:val="21"/>
              </w:rPr>
              <w:t>P-</w:t>
            </w:r>
            <w:r w:rsidRPr="00856DC8">
              <w:rPr>
                <w:szCs w:val="21"/>
              </w:rPr>
              <w:t>CIP-3</w:t>
            </w:r>
          </w:p>
        </w:tc>
        <w:tc>
          <w:tcPr>
            <w:tcW w:w="1377" w:type="pct"/>
            <w:tcBorders>
              <w:top w:val="nil"/>
              <w:left w:val="nil"/>
              <w:bottom w:val="nil"/>
              <w:right w:val="nil"/>
            </w:tcBorders>
            <w:vAlign w:val="center"/>
            <w:hideMark/>
          </w:tcPr>
          <w:p w14:paraId="57F27723" w14:textId="3D9BD464"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.3277</w:t>
            </w:r>
          </w:p>
        </w:tc>
        <w:tc>
          <w:tcPr>
            <w:tcW w:w="1369" w:type="pct"/>
            <w:tcBorders>
              <w:top w:val="nil"/>
              <w:left w:val="nil"/>
              <w:bottom w:val="nil"/>
              <w:right w:val="nil"/>
            </w:tcBorders>
            <w:vAlign w:val="center"/>
            <w:hideMark/>
          </w:tcPr>
          <w:p w14:paraId="0BD1665D" w14:textId="6F6E5D97"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.2529</w:t>
            </w:r>
          </w:p>
        </w:tc>
        <w:tc>
          <w:tcPr>
            <w:tcW w:w="1107" w:type="pct"/>
            <w:tcBorders>
              <w:top w:val="nil"/>
              <w:left w:val="nil"/>
              <w:bottom w:val="nil"/>
              <w:right w:val="nil"/>
            </w:tcBorders>
            <w:vAlign w:val="center"/>
            <w:hideMark/>
          </w:tcPr>
          <w:p w14:paraId="7B50BFCB" w14:textId="38C72CCE"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.1594</w:t>
            </w:r>
          </w:p>
        </w:tc>
      </w:tr>
      <w:tr w:rsidR="00B46F42" w:rsidRPr="00856DC8" w14:paraId="084365C2"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5C677044" w14:textId="77777777" w:rsidR="00B46F42" w:rsidRPr="00856DC8" w:rsidRDefault="00B46F42" w:rsidP="008919A5">
            <w:pPr>
              <w:widowControl/>
              <w:spacing w:line="440" w:lineRule="exact"/>
              <w:ind w:firstLineChars="0" w:firstLine="0"/>
              <w:jc w:val="center"/>
              <w:rPr>
                <w:szCs w:val="21"/>
              </w:rPr>
            </w:pPr>
            <w:r>
              <w:rPr>
                <w:szCs w:val="21"/>
              </w:rPr>
              <w:t>P-</w:t>
            </w:r>
            <w:r w:rsidRPr="00856DC8">
              <w:rPr>
                <w:szCs w:val="21"/>
              </w:rPr>
              <w:t>CIP-4</w:t>
            </w:r>
          </w:p>
        </w:tc>
        <w:tc>
          <w:tcPr>
            <w:tcW w:w="1377" w:type="pct"/>
            <w:tcBorders>
              <w:top w:val="nil"/>
              <w:left w:val="nil"/>
              <w:bottom w:val="nil"/>
              <w:right w:val="nil"/>
            </w:tcBorders>
            <w:vAlign w:val="center"/>
            <w:hideMark/>
          </w:tcPr>
          <w:p w14:paraId="074AD140" w14:textId="0E141DB0"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.3771</w:t>
            </w:r>
          </w:p>
        </w:tc>
        <w:tc>
          <w:tcPr>
            <w:tcW w:w="1369" w:type="pct"/>
            <w:tcBorders>
              <w:top w:val="nil"/>
              <w:left w:val="nil"/>
              <w:bottom w:val="nil"/>
              <w:right w:val="nil"/>
            </w:tcBorders>
            <w:vAlign w:val="center"/>
            <w:hideMark/>
          </w:tcPr>
          <w:p w14:paraId="5C4A30FB" w14:textId="39ACCB95"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.2315</w:t>
            </w:r>
          </w:p>
        </w:tc>
        <w:tc>
          <w:tcPr>
            <w:tcW w:w="1107" w:type="pct"/>
            <w:tcBorders>
              <w:top w:val="nil"/>
              <w:left w:val="nil"/>
              <w:bottom w:val="nil"/>
              <w:right w:val="nil"/>
            </w:tcBorders>
            <w:vAlign w:val="center"/>
            <w:hideMark/>
          </w:tcPr>
          <w:p w14:paraId="2545F7E2" w14:textId="2BB45E49"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.1274</w:t>
            </w:r>
          </w:p>
        </w:tc>
      </w:tr>
      <w:tr w:rsidR="00B46F42" w:rsidRPr="00856DC8" w14:paraId="16B65AAA"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nil"/>
              <w:right w:val="nil"/>
            </w:tcBorders>
            <w:vAlign w:val="center"/>
            <w:hideMark/>
          </w:tcPr>
          <w:p w14:paraId="1CA36FFD" w14:textId="77777777" w:rsidR="00B46F42" w:rsidRPr="00856DC8" w:rsidRDefault="00B46F42" w:rsidP="008919A5">
            <w:pPr>
              <w:widowControl/>
              <w:spacing w:line="440" w:lineRule="exact"/>
              <w:ind w:firstLineChars="0" w:firstLine="0"/>
              <w:jc w:val="center"/>
              <w:rPr>
                <w:szCs w:val="21"/>
              </w:rPr>
            </w:pPr>
            <w:r>
              <w:rPr>
                <w:szCs w:val="21"/>
              </w:rPr>
              <w:t>P-</w:t>
            </w:r>
            <w:r w:rsidRPr="00856DC8">
              <w:rPr>
                <w:szCs w:val="21"/>
              </w:rPr>
              <w:t>CIP-5</w:t>
            </w:r>
          </w:p>
        </w:tc>
        <w:tc>
          <w:tcPr>
            <w:tcW w:w="1377" w:type="pct"/>
            <w:tcBorders>
              <w:top w:val="nil"/>
              <w:left w:val="nil"/>
              <w:bottom w:val="nil"/>
              <w:right w:val="nil"/>
            </w:tcBorders>
            <w:vAlign w:val="center"/>
            <w:hideMark/>
          </w:tcPr>
          <w:p w14:paraId="450BEC57" w14:textId="7A0B3426"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.561</w:t>
            </w:r>
            <w:r w:rsidR="000E53F0">
              <w:rPr>
                <w:bCs/>
                <w:szCs w:val="21"/>
              </w:rPr>
              <w:t>3</w:t>
            </w:r>
          </w:p>
        </w:tc>
        <w:tc>
          <w:tcPr>
            <w:tcW w:w="1369" w:type="pct"/>
            <w:tcBorders>
              <w:top w:val="nil"/>
              <w:left w:val="nil"/>
              <w:bottom w:val="nil"/>
              <w:right w:val="nil"/>
            </w:tcBorders>
            <w:vAlign w:val="center"/>
            <w:hideMark/>
          </w:tcPr>
          <w:p w14:paraId="75769E9E" w14:textId="1D174998"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.367</w:t>
            </w:r>
            <w:r w:rsidR="000E53F0">
              <w:rPr>
                <w:bCs/>
                <w:szCs w:val="21"/>
              </w:rPr>
              <w:t>2</w:t>
            </w:r>
          </w:p>
        </w:tc>
        <w:tc>
          <w:tcPr>
            <w:tcW w:w="1107" w:type="pct"/>
            <w:tcBorders>
              <w:top w:val="nil"/>
              <w:left w:val="nil"/>
              <w:bottom w:val="nil"/>
              <w:right w:val="nil"/>
            </w:tcBorders>
            <w:vAlign w:val="center"/>
            <w:hideMark/>
          </w:tcPr>
          <w:p w14:paraId="62B00B82" w14:textId="651A7B53"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.1786</w:t>
            </w:r>
          </w:p>
        </w:tc>
      </w:tr>
      <w:tr w:rsidR="00B46F42" w:rsidRPr="00856DC8" w14:paraId="0FDFAE67" w14:textId="77777777" w:rsidTr="008919A5">
        <w:tc>
          <w:tcPr>
            <w:cnfStyle w:val="001000000000" w:firstRow="0" w:lastRow="0" w:firstColumn="1" w:lastColumn="0" w:oddVBand="0" w:evenVBand="0" w:oddHBand="0" w:evenHBand="0" w:firstRowFirstColumn="0" w:firstRowLastColumn="0" w:lastRowFirstColumn="0" w:lastRowLastColumn="0"/>
            <w:tcW w:w="1147" w:type="pct"/>
            <w:tcBorders>
              <w:top w:val="nil"/>
              <w:left w:val="nil"/>
              <w:bottom w:val="single" w:sz="8" w:space="0" w:color="000000"/>
              <w:right w:val="nil"/>
            </w:tcBorders>
            <w:vAlign w:val="center"/>
            <w:hideMark/>
          </w:tcPr>
          <w:p w14:paraId="6CC0D677" w14:textId="77777777" w:rsidR="00B46F42" w:rsidRPr="00856DC8" w:rsidRDefault="00B46F42" w:rsidP="008919A5">
            <w:pPr>
              <w:widowControl/>
              <w:spacing w:line="440" w:lineRule="exact"/>
              <w:ind w:firstLineChars="0" w:firstLine="0"/>
              <w:jc w:val="center"/>
              <w:rPr>
                <w:szCs w:val="21"/>
              </w:rPr>
            </w:pPr>
            <w:r>
              <w:rPr>
                <w:szCs w:val="21"/>
              </w:rPr>
              <w:t>P-</w:t>
            </w:r>
            <w:r w:rsidRPr="00856DC8">
              <w:rPr>
                <w:szCs w:val="21"/>
              </w:rPr>
              <w:t>CIP-</w:t>
            </w:r>
            <w:r>
              <w:rPr>
                <w:szCs w:val="21"/>
              </w:rPr>
              <w:t>6</w:t>
            </w:r>
          </w:p>
        </w:tc>
        <w:tc>
          <w:tcPr>
            <w:tcW w:w="1377" w:type="pct"/>
            <w:tcBorders>
              <w:top w:val="nil"/>
              <w:left w:val="nil"/>
              <w:bottom w:val="single" w:sz="8" w:space="0" w:color="000000"/>
              <w:right w:val="nil"/>
            </w:tcBorders>
            <w:vAlign w:val="center"/>
            <w:hideMark/>
          </w:tcPr>
          <w:p w14:paraId="3CF0819A" w14:textId="48582944"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.748</w:t>
            </w:r>
            <w:r w:rsidR="000E53F0">
              <w:rPr>
                <w:bCs/>
                <w:szCs w:val="21"/>
              </w:rPr>
              <w:t>6</w:t>
            </w:r>
          </w:p>
        </w:tc>
        <w:tc>
          <w:tcPr>
            <w:tcW w:w="1369" w:type="pct"/>
            <w:tcBorders>
              <w:top w:val="nil"/>
              <w:left w:val="nil"/>
              <w:bottom w:val="single" w:sz="8" w:space="0" w:color="000000"/>
              <w:right w:val="nil"/>
            </w:tcBorders>
            <w:vAlign w:val="center"/>
            <w:hideMark/>
          </w:tcPr>
          <w:p w14:paraId="71A8B9D9" w14:textId="5B4DD894"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.642</w:t>
            </w:r>
            <w:r w:rsidR="000E53F0">
              <w:rPr>
                <w:bCs/>
                <w:szCs w:val="21"/>
              </w:rPr>
              <w:t>3</w:t>
            </w:r>
          </w:p>
        </w:tc>
        <w:tc>
          <w:tcPr>
            <w:tcW w:w="1107" w:type="pct"/>
            <w:tcBorders>
              <w:top w:val="nil"/>
              <w:left w:val="nil"/>
              <w:bottom w:val="single" w:sz="8" w:space="0" w:color="000000"/>
              <w:right w:val="nil"/>
            </w:tcBorders>
            <w:vAlign w:val="center"/>
            <w:hideMark/>
          </w:tcPr>
          <w:p w14:paraId="70EEAFEB" w14:textId="5C6C3615" w:rsidR="00B46F42" w:rsidRPr="00856DC8" w:rsidRDefault="00B46F42"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.1895</w:t>
            </w:r>
          </w:p>
        </w:tc>
      </w:tr>
    </w:tbl>
    <w:p w14:paraId="550CD2B3" w14:textId="39602C7A" w:rsidR="00605772" w:rsidRDefault="00605772" w:rsidP="00605772">
      <w:pPr>
        <w:ind w:firstLineChars="0" w:firstLine="0"/>
      </w:pPr>
    </w:p>
    <w:p w14:paraId="39971398" w14:textId="1BDD7826" w:rsidR="00220E50" w:rsidRPr="00220E50" w:rsidRDefault="00220E50" w:rsidP="00220E50">
      <w:pPr>
        <w:ind w:firstLineChars="0" w:firstLine="0"/>
        <w:jc w:val="center"/>
      </w:pPr>
      <w:bookmarkStart w:id="3" w:name="_Hlk238476637"/>
      <w:r w:rsidRPr="004D1623">
        <w:rPr>
          <w:rFonts w:cs="Times New Roman"/>
          <w:b/>
        </w:rPr>
        <w:t>Table S</w:t>
      </w:r>
      <w:r w:rsidR="00D45104">
        <w:rPr>
          <w:rFonts w:cs="Times New Roman"/>
          <w:b/>
        </w:rPr>
        <w:t>6</w:t>
      </w:r>
      <w:r w:rsidRPr="004D1623">
        <w:rPr>
          <w:rFonts w:cs="Times New Roman"/>
          <w:b/>
        </w:rPr>
        <w:t xml:space="preserve">. </w:t>
      </w:r>
      <w:r w:rsidRPr="005E6B39">
        <w:rPr>
          <w:rFonts w:cs="Times New Roman"/>
          <w:b/>
        </w:rPr>
        <w:t>Prediction Error Metrics for the Imaginary Permittivity of Ternary Composites</w:t>
      </w:r>
    </w:p>
    <w:tbl>
      <w:tblPr>
        <w:tblStyle w:val="16"/>
        <w:tblW w:w="5000" w:type="pct"/>
        <w:tblInd w:w="0" w:type="dxa"/>
        <w:tblLook w:val="04A0" w:firstRow="1" w:lastRow="0" w:firstColumn="1" w:lastColumn="0" w:noHBand="0" w:noVBand="1"/>
      </w:tblPr>
      <w:tblGrid>
        <w:gridCol w:w="1323"/>
        <w:gridCol w:w="1585"/>
        <w:gridCol w:w="1576"/>
        <w:gridCol w:w="1274"/>
        <w:gridCol w:w="1188"/>
        <w:gridCol w:w="86"/>
        <w:gridCol w:w="1274"/>
      </w:tblGrid>
      <w:tr w:rsidR="00D45104" w:rsidRPr="00856DC8" w14:paraId="6011C343" w14:textId="13D6E407" w:rsidTr="007F13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6" w:type="pct"/>
            <w:tcBorders>
              <w:top w:val="single" w:sz="12" w:space="0" w:color="000000"/>
            </w:tcBorders>
            <w:vAlign w:val="center"/>
            <w:hideMark/>
          </w:tcPr>
          <w:bookmarkEnd w:id="3"/>
          <w:p w14:paraId="7C73ADCF" w14:textId="7FD7F252" w:rsidR="00D45104" w:rsidRPr="00D45104" w:rsidRDefault="00D45104" w:rsidP="008919A5">
            <w:pPr>
              <w:widowControl/>
              <w:spacing w:line="440" w:lineRule="exact"/>
              <w:ind w:firstLineChars="0" w:firstLine="0"/>
              <w:jc w:val="center"/>
              <w:rPr>
                <w:szCs w:val="24"/>
              </w:rPr>
            </w:pPr>
            <w:r w:rsidRPr="00D45104">
              <w:rPr>
                <w:rFonts w:hint="eastAsia"/>
                <w:szCs w:val="24"/>
              </w:rPr>
              <w:t>S</w:t>
            </w:r>
            <w:r>
              <w:rPr>
                <w:rFonts w:hint="eastAsia"/>
                <w:szCs w:val="24"/>
              </w:rPr>
              <w:t>ample</w:t>
            </w:r>
          </w:p>
        </w:tc>
        <w:tc>
          <w:tcPr>
            <w:tcW w:w="954" w:type="pct"/>
            <w:tcBorders>
              <w:top w:val="single" w:sz="12" w:space="0" w:color="000000"/>
            </w:tcBorders>
            <w:vAlign w:val="center"/>
            <w:hideMark/>
          </w:tcPr>
          <w:p w14:paraId="7CDFCE24" w14:textId="66DC9464" w:rsidR="00D45104" w:rsidRPr="00856DC8" w:rsidRDefault="00D45104"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sidRPr="008919A5">
              <w:rPr>
                <w:rFonts w:cstheme="minorBidi"/>
                <w:b w:val="0"/>
                <w:bCs w:val="0"/>
                <w:color w:val="auto"/>
                <w:kern w:val="2"/>
                <w:position w:val="-12"/>
                <w:szCs w:val="22"/>
              </w:rPr>
              <w:object w:dxaOrig="360" w:dyaOrig="360" w14:anchorId="4434C8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 o:ole="">
                  <v:imagedata r:id="rId7" o:title=""/>
                </v:shape>
                <o:OLEObject Type="Embed" ProgID="Equation.DSMT4" ShapeID="_x0000_i1025" DrawAspect="Content" ObjectID="_1849192603" r:id="rId8"/>
              </w:object>
            </w:r>
            <w:r>
              <w:t xml:space="preserve"> (S</w:t>
            </w:r>
            <w:r>
              <w:rPr>
                <w:rFonts w:hint="eastAsia"/>
              </w:rPr>
              <w:t>/</w:t>
            </w:r>
            <w:r>
              <w:t>m)</w:t>
            </w:r>
          </w:p>
        </w:tc>
        <w:tc>
          <w:tcPr>
            <w:tcW w:w="949" w:type="pct"/>
            <w:tcBorders>
              <w:top w:val="single" w:sz="12" w:space="0" w:color="000000"/>
            </w:tcBorders>
            <w:vAlign w:val="center"/>
            <w:hideMark/>
          </w:tcPr>
          <w:p w14:paraId="30F4234E" w14:textId="5CB97C5C" w:rsidR="00D45104" w:rsidRPr="00856DC8" w:rsidRDefault="00D45104"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sidRPr="008919A5">
              <w:rPr>
                <w:rFonts w:cstheme="minorBidi"/>
                <w:b w:val="0"/>
                <w:bCs w:val="0"/>
                <w:color w:val="auto"/>
                <w:kern w:val="2"/>
                <w:position w:val="-12"/>
                <w:szCs w:val="22"/>
              </w:rPr>
              <w:object w:dxaOrig="260" w:dyaOrig="360" w14:anchorId="43422CB2">
                <v:shape id="_x0000_i1026" type="#_x0000_t75" style="width:13.2pt;height:18pt" o:ole="">
                  <v:imagedata r:id="rId9" o:title=""/>
                </v:shape>
                <o:OLEObject Type="Embed" ProgID="Equation.DSMT4" ShapeID="_x0000_i1026" DrawAspect="Content" ObjectID="_1849192604" r:id="rId10"/>
              </w:object>
            </w:r>
          </w:p>
        </w:tc>
        <w:tc>
          <w:tcPr>
            <w:tcW w:w="767" w:type="pct"/>
            <w:tcBorders>
              <w:top w:val="single" w:sz="12" w:space="0" w:color="000000"/>
            </w:tcBorders>
            <w:vAlign w:val="center"/>
            <w:hideMark/>
          </w:tcPr>
          <w:p w14:paraId="20FB344A" w14:textId="465B8622" w:rsidR="00D45104" w:rsidRPr="00856DC8" w:rsidRDefault="00D45104"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sidRPr="008919A5">
              <w:rPr>
                <w:rFonts w:cstheme="minorBidi"/>
                <w:b w:val="0"/>
                <w:bCs w:val="0"/>
                <w:color w:val="auto"/>
                <w:kern w:val="2"/>
                <w:position w:val="-12"/>
                <w:szCs w:val="22"/>
              </w:rPr>
              <w:object w:dxaOrig="300" w:dyaOrig="360" w14:anchorId="695393D7">
                <v:shape id="_x0000_i1027" type="#_x0000_t75" style="width:15pt;height:18pt" o:ole="">
                  <v:imagedata r:id="rId11" o:title=""/>
                </v:shape>
                <o:OLEObject Type="Embed" ProgID="Equation.DSMT4" ShapeID="_x0000_i1027" DrawAspect="Content" ObjectID="_1849192605" r:id="rId12"/>
              </w:object>
            </w:r>
          </w:p>
        </w:tc>
        <w:tc>
          <w:tcPr>
            <w:tcW w:w="715" w:type="pct"/>
            <w:tcBorders>
              <w:top w:val="single" w:sz="12" w:space="0" w:color="000000"/>
            </w:tcBorders>
          </w:tcPr>
          <w:p w14:paraId="78EA513D" w14:textId="41F4173E" w:rsidR="00D45104" w:rsidRDefault="00D45104"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pPr>
            <w:r w:rsidRPr="008919A5">
              <w:rPr>
                <w:rFonts w:cstheme="minorBidi"/>
                <w:b w:val="0"/>
                <w:bCs w:val="0"/>
                <w:color w:val="auto"/>
                <w:kern w:val="2"/>
                <w:position w:val="-6"/>
                <w:szCs w:val="22"/>
              </w:rPr>
              <w:object w:dxaOrig="240" w:dyaOrig="220" w14:anchorId="46082805">
                <v:shape id="_x0000_i1028" type="#_x0000_t75" style="width:12pt;height:10.8pt" o:ole="">
                  <v:imagedata r:id="rId13" o:title=""/>
                </v:shape>
                <o:OLEObject Type="Embed" ProgID="Equation.DSMT4" ShapeID="_x0000_i1028" DrawAspect="Content" ObjectID="_1849192606" r:id="rId14"/>
              </w:object>
            </w:r>
          </w:p>
        </w:tc>
        <w:tc>
          <w:tcPr>
            <w:tcW w:w="819" w:type="pct"/>
            <w:gridSpan w:val="2"/>
            <w:tcBorders>
              <w:top w:val="single" w:sz="12" w:space="0" w:color="000000"/>
            </w:tcBorders>
          </w:tcPr>
          <w:p w14:paraId="35F6A8ED" w14:textId="76155544" w:rsidR="00D45104" w:rsidRDefault="00D45104" w:rsidP="008919A5">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pPr>
            <w:r w:rsidRPr="008919A5">
              <w:rPr>
                <w:rFonts w:cstheme="minorBidi"/>
                <w:b w:val="0"/>
                <w:bCs w:val="0"/>
                <w:color w:val="auto"/>
                <w:kern w:val="2"/>
                <w:position w:val="-6"/>
                <w:szCs w:val="22"/>
              </w:rPr>
              <w:object w:dxaOrig="200" w:dyaOrig="220" w14:anchorId="3F03002C">
                <v:shape id="_x0000_i1029" type="#_x0000_t75" style="width:10.2pt;height:10.8pt" o:ole="">
                  <v:imagedata r:id="rId15" o:title=""/>
                </v:shape>
                <o:OLEObject Type="Embed" ProgID="Equation.DSMT4" ShapeID="_x0000_i1029" DrawAspect="Content" ObjectID="_1849192607" r:id="rId16"/>
              </w:object>
            </w:r>
            <w:r>
              <w:t xml:space="preserve"> (s)</w:t>
            </w:r>
          </w:p>
        </w:tc>
      </w:tr>
      <w:tr w:rsidR="00D45104" w:rsidRPr="00856DC8" w14:paraId="69ACB66C" w14:textId="1EF156A8" w:rsidTr="00D45104">
        <w:tc>
          <w:tcPr>
            <w:cnfStyle w:val="001000000000" w:firstRow="0" w:lastRow="0" w:firstColumn="1" w:lastColumn="0" w:oddVBand="0" w:evenVBand="0" w:oddHBand="0" w:evenHBand="0" w:firstRowFirstColumn="0" w:firstRowLastColumn="0" w:lastRowFirstColumn="0" w:lastRowLastColumn="0"/>
            <w:tcW w:w="796" w:type="pct"/>
            <w:tcBorders>
              <w:top w:val="nil"/>
              <w:left w:val="nil"/>
              <w:bottom w:val="single" w:sz="8" w:space="0" w:color="000000"/>
              <w:right w:val="nil"/>
            </w:tcBorders>
            <w:vAlign w:val="center"/>
            <w:hideMark/>
          </w:tcPr>
          <w:p w14:paraId="32C22C99" w14:textId="6D166745" w:rsidR="00D45104" w:rsidRPr="00856DC8" w:rsidRDefault="00D45104" w:rsidP="008919A5">
            <w:pPr>
              <w:widowControl/>
              <w:spacing w:line="440" w:lineRule="exact"/>
              <w:ind w:firstLineChars="0" w:firstLine="0"/>
              <w:jc w:val="center"/>
              <w:rPr>
                <w:szCs w:val="21"/>
              </w:rPr>
            </w:pPr>
            <w:r>
              <w:rPr>
                <w:szCs w:val="21"/>
              </w:rPr>
              <w:t>PANI</w:t>
            </w:r>
          </w:p>
        </w:tc>
        <w:tc>
          <w:tcPr>
            <w:tcW w:w="954" w:type="pct"/>
            <w:tcBorders>
              <w:top w:val="nil"/>
              <w:left w:val="nil"/>
              <w:bottom w:val="single" w:sz="8" w:space="0" w:color="000000"/>
              <w:right w:val="nil"/>
            </w:tcBorders>
            <w:vAlign w:val="center"/>
            <w:hideMark/>
          </w:tcPr>
          <w:p w14:paraId="5E35C119" w14:textId="08DC9A75" w:rsidR="00D45104" w:rsidRPr="00856DC8" w:rsidRDefault="002C4199"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2</w:t>
            </w:r>
          </w:p>
        </w:tc>
        <w:tc>
          <w:tcPr>
            <w:tcW w:w="949" w:type="pct"/>
            <w:tcBorders>
              <w:top w:val="nil"/>
              <w:left w:val="nil"/>
              <w:bottom w:val="single" w:sz="8" w:space="0" w:color="000000"/>
              <w:right w:val="nil"/>
            </w:tcBorders>
            <w:vAlign w:val="center"/>
            <w:hideMark/>
          </w:tcPr>
          <w:p w14:paraId="4F3DBBEA" w14:textId="0CD570EE" w:rsidR="00D45104" w:rsidRPr="00856DC8" w:rsidRDefault="00D45104"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377.48</w:t>
            </w:r>
          </w:p>
        </w:tc>
        <w:tc>
          <w:tcPr>
            <w:tcW w:w="767" w:type="pct"/>
            <w:tcBorders>
              <w:top w:val="nil"/>
              <w:left w:val="nil"/>
              <w:bottom w:val="single" w:sz="8" w:space="0" w:color="000000"/>
              <w:right w:val="nil"/>
            </w:tcBorders>
            <w:vAlign w:val="center"/>
            <w:hideMark/>
          </w:tcPr>
          <w:p w14:paraId="0E5EE610" w14:textId="604775D7" w:rsidR="00D45104" w:rsidRPr="00856DC8" w:rsidRDefault="007F13EE"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1</w:t>
            </w:r>
          </w:p>
        </w:tc>
        <w:tc>
          <w:tcPr>
            <w:tcW w:w="767" w:type="pct"/>
            <w:gridSpan w:val="2"/>
            <w:tcBorders>
              <w:top w:val="nil"/>
              <w:left w:val="nil"/>
              <w:bottom w:val="single" w:sz="8" w:space="0" w:color="000000"/>
              <w:right w:val="nil"/>
            </w:tcBorders>
          </w:tcPr>
          <w:p w14:paraId="0A06F238" w14:textId="7EAF06B6" w:rsidR="00D45104" w:rsidRDefault="007F13EE"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0</w:t>
            </w:r>
            <w:r>
              <w:rPr>
                <w:bCs/>
                <w:szCs w:val="21"/>
              </w:rPr>
              <w:t>.61</w:t>
            </w:r>
          </w:p>
        </w:tc>
        <w:tc>
          <w:tcPr>
            <w:tcW w:w="767" w:type="pct"/>
            <w:tcBorders>
              <w:top w:val="nil"/>
              <w:left w:val="nil"/>
              <w:bottom w:val="single" w:sz="8" w:space="0" w:color="000000"/>
              <w:right w:val="nil"/>
            </w:tcBorders>
          </w:tcPr>
          <w:p w14:paraId="2B96343D" w14:textId="294459F6" w:rsidR="00D45104" w:rsidRDefault="007F13EE" w:rsidP="008919A5">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rFonts w:hint="eastAsia"/>
                <w:bCs/>
                <w:szCs w:val="21"/>
              </w:rPr>
              <w:t>1</w:t>
            </w:r>
            <w:r>
              <w:rPr>
                <w:bCs/>
                <w:szCs w:val="21"/>
              </w:rPr>
              <w:t>.75</w:t>
            </w:r>
            <w:r w:rsidRPr="008919A5">
              <w:rPr>
                <w:rFonts w:cstheme="minorBidi"/>
                <w:color w:val="auto"/>
                <w:kern w:val="2"/>
                <w:position w:val="-4"/>
                <w:szCs w:val="22"/>
              </w:rPr>
              <w:object w:dxaOrig="180" w:dyaOrig="200" w14:anchorId="033CA667">
                <v:shape id="_x0000_i1030" type="#_x0000_t75" style="width:9pt;height:10.2pt" o:ole="">
                  <v:imagedata r:id="rId17" o:title=""/>
                </v:shape>
                <o:OLEObject Type="Embed" ProgID="Equation.DSMT4" ShapeID="_x0000_i1030" DrawAspect="Content" ObjectID="_1849192608" r:id="rId18"/>
              </w:object>
            </w:r>
            <w:r>
              <w:t>10</w:t>
            </w:r>
            <w:r w:rsidRPr="007F13EE">
              <w:rPr>
                <w:vertAlign w:val="superscript"/>
              </w:rPr>
              <w:t>-1</w:t>
            </w:r>
            <w:r w:rsidR="002C4199">
              <w:rPr>
                <w:vertAlign w:val="superscript"/>
              </w:rPr>
              <w:t>0</w:t>
            </w:r>
          </w:p>
        </w:tc>
      </w:tr>
    </w:tbl>
    <w:p w14:paraId="2F8E2D7C" w14:textId="51664C0F" w:rsidR="00220E50" w:rsidRDefault="00220E50" w:rsidP="00605772">
      <w:pPr>
        <w:ind w:firstLineChars="0" w:firstLine="0"/>
      </w:pPr>
    </w:p>
    <w:p w14:paraId="5C80BA02" w14:textId="10EAEFC3" w:rsidR="00FA0963" w:rsidRPr="00FA0963" w:rsidRDefault="00FA0963" w:rsidP="00FA0963">
      <w:pPr>
        <w:ind w:firstLineChars="0" w:firstLine="0"/>
        <w:jc w:val="center"/>
      </w:pPr>
      <w:r w:rsidRPr="004D1623">
        <w:rPr>
          <w:rFonts w:cs="Times New Roman"/>
          <w:b/>
        </w:rPr>
        <w:lastRenderedPageBreak/>
        <w:t>Table S</w:t>
      </w:r>
      <w:r>
        <w:rPr>
          <w:rFonts w:cs="Times New Roman"/>
          <w:b/>
        </w:rPr>
        <w:t>7</w:t>
      </w:r>
      <w:r w:rsidRPr="004D1623">
        <w:rPr>
          <w:rFonts w:cs="Times New Roman"/>
          <w:b/>
        </w:rPr>
        <w:t xml:space="preserve">. </w:t>
      </w:r>
      <w:r w:rsidRPr="00FA0963">
        <w:rPr>
          <w:rFonts w:cs="Times New Roman"/>
          <w:b/>
        </w:rPr>
        <w:t>Densities of the constituent materials used for volume-fraction conversion and mixing-law calculations</w:t>
      </w:r>
    </w:p>
    <w:tbl>
      <w:tblPr>
        <w:tblStyle w:val="16"/>
        <w:tblW w:w="5000" w:type="pct"/>
        <w:tblInd w:w="0" w:type="dxa"/>
        <w:tblLook w:val="04A0" w:firstRow="1" w:lastRow="0" w:firstColumn="1" w:lastColumn="0" w:noHBand="0" w:noVBand="1"/>
      </w:tblPr>
      <w:tblGrid>
        <w:gridCol w:w="1564"/>
        <w:gridCol w:w="1873"/>
        <w:gridCol w:w="1862"/>
        <w:gridCol w:w="1505"/>
        <w:gridCol w:w="1402"/>
        <w:gridCol w:w="100"/>
      </w:tblGrid>
      <w:tr w:rsidR="00FA0963" w:rsidRPr="00856DC8" w14:paraId="67A98CD1" w14:textId="77777777" w:rsidTr="00FA0963">
        <w:trPr>
          <w:gridAfter w:val="1"/>
          <w:cnfStyle w:val="100000000000" w:firstRow="1" w:lastRow="0" w:firstColumn="0" w:lastColumn="0" w:oddVBand="0" w:evenVBand="0" w:oddHBand="0" w:evenHBand="0" w:firstRowFirstColumn="0" w:firstRowLastColumn="0" w:lastRowFirstColumn="0" w:lastRowLastColumn="0"/>
          <w:wAfter w:w="60" w:type="pct"/>
          <w:trHeight w:val="649"/>
        </w:trPr>
        <w:tc>
          <w:tcPr>
            <w:cnfStyle w:val="001000000000" w:firstRow="0" w:lastRow="0" w:firstColumn="1" w:lastColumn="0" w:oddVBand="0" w:evenVBand="0" w:oddHBand="0" w:evenHBand="0" w:firstRowFirstColumn="0" w:firstRowLastColumn="0" w:lastRowFirstColumn="0" w:lastRowLastColumn="0"/>
            <w:tcW w:w="941" w:type="pct"/>
            <w:tcBorders>
              <w:top w:val="single" w:sz="12" w:space="0" w:color="000000"/>
            </w:tcBorders>
            <w:vAlign w:val="center"/>
            <w:hideMark/>
          </w:tcPr>
          <w:p w14:paraId="60F7D5C7" w14:textId="7A47D5B1" w:rsidR="00FA0963" w:rsidRPr="00D45104" w:rsidRDefault="00FA0963" w:rsidP="00FA0963">
            <w:pPr>
              <w:widowControl/>
              <w:spacing w:line="440" w:lineRule="exact"/>
              <w:ind w:firstLineChars="0" w:firstLine="0"/>
              <w:jc w:val="center"/>
              <w:rPr>
                <w:szCs w:val="24"/>
              </w:rPr>
            </w:pPr>
            <w:r>
              <w:rPr>
                <w:szCs w:val="24"/>
              </w:rPr>
              <w:t>S</w:t>
            </w:r>
            <w:r>
              <w:rPr>
                <w:rFonts w:hint="eastAsia"/>
                <w:szCs w:val="24"/>
              </w:rPr>
              <w:t>ample</w:t>
            </w:r>
          </w:p>
        </w:tc>
        <w:tc>
          <w:tcPr>
            <w:tcW w:w="1127" w:type="pct"/>
            <w:tcBorders>
              <w:top w:val="single" w:sz="12" w:space="0" w:color="000000"/>
            </w:tcBorders>
            <w:vAlign w:val="center"/>
            <w:hideMark/>
          </w:tcPr>
          <w:p w14:paraId="1ED10B43" w14:textId="3DE8028C" w:rsidR="00FA0963" w:rsidRPr="00FA0963" w:rsidRDefault="00FA0963" w:rsidP="00FA0963">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sidRPr="00FA0963">
              <w:rPr>
                <w:rFonts w:cstheme="minorBidi"/>
                <w:color w:val="auto"/>
                <w:kern w:val="2"/>
                <w:szCs w:val="22"/>
              </w:rPr>
              <w:t>PANI</w:t>
            </w:r>
          </w:p>
        </w:tc>
        <w:tc>
          <w:tcPr>
            <w:tcW w:w="1121" w:type="pct"/>
            <w:tcBorders>
              <w:top w:val="single" w:sz="12" w:space="0" w:color="000000"/>
            </w:tcBorders>
            <w:vAlign w:val="center"/>
            <w:hideMark/>
          </w:tcPr>
          <w:p w14:paraId="54A9C641" w14:textId="7DBA98BE" w:rsidR="00FA0963" w:rsidRPr="00856DC8" w:rsidRDefault="00FA0963" w:rsidP="00FA0963">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rPr>
                <w:rFonts w:hint="eastAsia"/>
                <w:szCs w:val="21"/>
              </w:rPr>
              <w:t>C</w:t>
            </w:r>
            <w:r>
              <w:rPr>
                <w:szCs w:val="21"/>
              </w:rPr>
              <w:t>IP</w:t>
            </w:r>
          </w:p>
        </w:tc>
        <w:tc>
          <w:tcPr>
            <w:tcW w:w="906" w:type="pct"/>
            <w:tcBorders>
              <w:top w:val="single" w:sz="12" w:space="0" w:color="000000"/>
            </w:tcBorders>
            <w:vAlign w:val="center"/>
            <w:hideMark/>
          </w:tcPr>
          <w:p w14:paraId="10279F4E" w14:textId="08A7298E" w:rsidR="00FA0963" w:rsidRPr="00856DC8" w:rsidRDefault="00FA0963" w:rsidP="00FA0963">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rPr>
                <w:szCs w:val="21"/>
              </w:rPr>
            </w:pPr>
            <w:r>
              <w:t>P</w:t>
            </w:r>
            <w:r w:rsidRPr="0000574C">
              <w:t>araffin</w:t>
            </w:r>
          </w:p>
        </w:tc>
        <w:tc>
          <w:tcPr>
            <w:tcW w:w="844" w:type="pct"/>
            <w:tcBorders>
              <w:top w:val="single" w:sz="12" w:space="0" w:color="000000"/>
            </w:tcBorders>
            <w:vAlign w:val="center"/>
          </w:tcPr>
          <w:p w14:paraId="5B173832" w14:textId="4F979BAE" w:rsidR="00FA0963" w:rsidRDefault="00FA0963" w:rsidP="00FA0963">
            <w:pPr>
              <w:widowControl/>
              <w:spacing w:line="440" w:lineRule="exact"/>
              <w:ind w:firstLineChars="0" w:firstLine="0"/>
              <w:jc w:val="center"/>
              <w:cnfStyle w:val="100000000000" w:firstRow="1" w:lastRow="0" w:firstColumn="0" w:lastColumn="0" w:oddVBand="0" w:evenVBand="0" w:oddHBand="0" w:evenHBand="0" w:firstRowFirstColumn="0" w:firstRowLastColumn="0" w:lastRowFirstColumn="0" w:lastRowLastColumn="0"/>
            </w:pPr>
            <w:r>
              <w:rPr>
                <w:rFonts w:hint="eastAsia"/>
              </w:rPr>
              <w:t>P</w:t>
            </w:r>
            <w:r>
              <w:t>U</w:t>
            </w:r>
          </w:p>
        </w:tc>
      </w:tr>
      <w:tr w:rsidR="00FA0963" w:rsidRPr="00856DC8" w14:paraId="0661D513" w14:textId="77777777" w:rsidTr="00FA0963">
        <w:trPr>
          <w:trHeight w:val="1317"/>
        </w:trPr>
        <w:tc>
          <w:tcPr>
            <w:cnfStyle w:val="001000000000" w:firstRow="0" w:lastRow="0" w:firstColumn="1" w:lastColumn="0" w:oddVBand="0" w:evenVBand="0" w:oddHBand="0" w:evenHBand="0" w:firstRowFirstColumn="0" w:firstRowLastColumn="0" w:lastRowFirstColumn="0" w:lastRowLastColumn="0"/>
            <w:tcW w:w="941" w:type="pct"/>
            <w:tcBorders>
              <w:top w:val="nil"/>
              <w:left w:val="nil"/>
              <w:bottom w:val="single" w:sz="8" w:space="0" w:color="000000"/>
              <w:right w:val="nil"/>
            </w:tcBorders>
            <w:vAlign w:val="center"/>
            <w:hideMark/>
          </w:tcPr>
          <w:p w14:paraId="6E8C2CB4" w14:textId="69596781" w:rsidR="00FA0963" w:rsidRPr="00856DC8" w:rsidRDefault="00FA0963" w:rsidP="00FA0963">
            <w:pPr>
              <w:widowControl/>
              <w:spacing w:line="440" w:lineRule="exact"/>
              <w:ind w:firstLineChars="0" w:firstLine="0"/>
              <w:jc w:val="center"/>
              <w:rPr>
                <w:szCs w:val="21"/>
              </w:rPr>
            </w:pPr>
            <w:r>
              <w:rPr>
                <w:szCs w:val="21"/>
              </w:rPr>
              <w:t>D</w:t>
            </w:r>
            <w:r>
              <w:rPr>
                <w:rFonts w:hint="eastAsia"/>
                <w:szCs w:val="21"/>
              </w:rPr>
              <w:t>ensity</w:t>
            </w:r>
            <w:r>
              <w:rPr>
                <w:rFonts w:hint="eastAsia"/>
                <w:szCs w:val="21"/>
              </w:rPr>
              <w:t>（</w:t>
            </w:r>
            <w:r>
              <w:rPr>
                <w:rFonts w:hint="eastAsia"/>
                <w:szCs w:val="21"/>
              </w:rPr>
              <w:t>g</w:t>
            </w:r>
            <w:r>
              <w:rPr>
                <w:szCs w:val="21"/>
              </w:rPr>
              <w:t>/cm</w:t>
            </w:r>
            <w:r w:rsidRPr="00FA0963">
              <w:rPr>
                <w:szCs w:val="21"/>
                <w:vertAlign w:val="superscript"/>
              </w:rPr>
              <w:t>3</w:t>
            </w:r>
            <w:r>
              <w:rPr>
                <w:rFonts w:hint="eastAsia"/>
                <w:szCs w:val="21"/>
              </w:rPr>
              <w:t>）</w:t>
            </w:r>
          </w:p>
        </w:tc>
        <w:tc>
          <w:tcPr>
            <w:tcW w:w="1127" w:type="pct"/>
            <w:tcBorders>
              <w:top w:val="nil"/>
              <w:left w:val="nil"/>
              <w:bottom w:val="single" w:sz="8" w:space="0" w:color="000000"/>
              <w:right w:val="nil"/>
            </w:tcBorders>
            <w:vAlign w:val="center"/>
            <w:hideMark/>
          </w:tcPr>
          <w:p w14:paraId="129BDC1F" w14:textId="68E6C781" w:rsidR="00FA0963" w:rsidRPr="00856DC8" w:rsidRDefault="00FA0963" w:rsidP="00FA0963">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1.2</w:t>
            </w:r>
          </w:p>
        </w:tc>
        <w:tc>
          <w:tcPr>
            <w:tcW w:w="1121" w:type="pct"/>
            <w:tcBorders>
              <w:top w:val="nil"/>
              <w:left w:val="nil"/>
              <w:bottom w:val="single" w:sz="8" w:space="0" w:color="000000"/>
              <w:right w:val="nil"/>
            </w:tcBorders>
            <w:vAlign w:val="center"/>
            <w:hideMark/>
          </w:tcPr>
          <w:p w14:paraId="005845F1" w14:textId="423BA1D5" w:rsidR="00FA0963" w:rsidRPr="00856DC8" w:rsidRDefault="00FA0963" w:rsidP="00FA0963">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5.9</w:t>
            </w:r>
          </w:p>
        </w:tc>
        <w:tc>
          <w:tcPr>
            <w:tcW w:w="906" w:type="pct"/>
            <w:tcBorders>
              <w:top w:val="nil"/>
              <w:left w:val="nil"/>
              <w:bottom w:val="single" w:sz="8" w:space="0" w:color="000000"/>
              <w:right w:val="nil"/>
            </w:tcBorders>
            <w:vAlign w:val="center"/>
            <w:hideMark/>
          </w:tcPr>
          <w:p w14:paraId="557FD643" w14:textId="65F689EB" w:rsidR="00FA0963" w:rsidRPr="00856DC8" w:rsidRDefault="00FA0963" w:rsidP="00FA0963">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0.9</w:t>
            </w:r>
          </w:p>
        </w:tc>
        <w:tc>
          <w:tcPr>
            <w:tcW w:w="904" w:type="pct"/>
            <w:gridSpan w:val="2"/>
            <w:tcBorders>
              <w:top w:val="nil"/>
              <w:left w:val="nil"/>
              <w:bottom w:val="single" w:sz="8" w:space="0" w:color="000000"/>
              <w:right w:val="nil"/>
            </w:tcBorders>
            <w:vAlign w:val="center"/>
          </w:tcPr>
          <w:p w14:paraId="244BAC86" w14:textId="70F555D7" w:rsidR="00FA0963" w:rsidRDefault="00FA0963" w:rsidP="00FA0963">
            <w:pPr>
              <w:widowControl/>
              <w:spacing w:line="440" w:lineRule="exact"/>
              <w:ind w:firstLineChars="0" w:firstLine="0"/>
              <w:jc w:val="center"/>
              <w:cnfStyle w:val="000000000000" w:firstRow="0" w:lastRow="0" w:firstColumn="0" w:lastColumn="0" w:oddVBand="0" w:evenVBand="0" w:oddHBand="0" w:evenHBand="0" w:firstRowFirstColumn="0" w:firstRowLastColumn="0" w:lastRowFirstColumn="0" w:lastRowLastColumn="0"/>
              <w:rPr>
                <w:bCs/>
                <w:szCs w:val="21"/>
              </w:rPr>
            </w:pPr>
            <w:r>
              <w:rPr>
                <w:bCs/>
                <w:szCs w:val="21"/>
              </w:rPr>
              <w:t>1.1</w:t>
            </w:r>
          </w:p>
        </w:tc>
      </w:tr>
    </w:tbl>
    <w:p w14:paraId="54449516" w14:textId="3B0818B9" w:rsidR="00FA0963" w:rsidRPr="00FA0963" w:rsidRDefault="00FA0963" w:rsidP="007A1AB3">
      <w:pPr>
        <w:ind w:firstLine="480"/>
      </w:pPr>
      <w:r w:rsidRPr="00FA0963">
        <w:t>All density values listed in Table S</w:t>
      </w:r>
      <w:r>
        <w:t>7</w:t>
      </w:r>
      <w:r w:rsidRPr="00FA0963">
        <w:t xml:space="preserve"> were experimentally measured using compacted specimens and were used for the volume-fraction conversion in the mixing-law calculations</w:t>
      </w:r>
      <w:r w:rsidR="007A1AB3">
        <w:t>.</w:t>
      </w:r>
    </w:p>
    <w:p w14:paraId="48C46E1D" w14:textId="3AA6DC5B" w:rsidR="00605772" w:rsidRDefault="003D5838" w:rsidP="00605772">
      <w:pPr>
        <w:pStyle w:val="a8"/>
      </w:pPr>
      <w:r>
        <w:rPr>
          <w:noProof/>
        </w:rPr>
        <w:drawing>
          <wp:inline distT="0" distB="0" distL="0" distR="0" wp14:anchorId="47165947" wp14:editId="57A6F236">
            <wp:extent cx="5273040" cy="2758440"/>
            <wp:effectExtent l="0" t="0" r="3810" b="381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3040" cy="2758440"/>
                    </a:xfrm>
                    <a:prstGeom prst="rect">
                      <a:avLst/>
                    </a:prstGeom>
                    <a:noFill/>
                    <a:ln>
                      <a:noFill/>
                    </a:ln>
                  </pic:spPr>
                </pic:pic>
              </a:graphicData>
            </a:graphic>
          </wp:inline>
        </w:drawing>
      </w:r>
    </w:p>
    <w:p w14:paraId="0393FABB" w14:textId="6FEF826D" w:rsidR="00605772" w:rsidRPr="00605772" w:rsidRDefault="00605772" w:rsidP="00605772">
      <w:pPr>
        <w:pStyle w:val="a8"/>
      </w:pPr>
      <w:bookmarkStart w:id="4" w:name="_Hlk238050854"/>
      <w:r w:rsidRPr="00605772">
        <w:rPr>
          <w:b/>
        </w:rPr>
        <w:t xml:space="preserve">Fig. S1. </w:t>
      </w:r>
      <w:r w:rsidRPr="00605772">
        <w:t>XPS characterization of PANI: high-resolution spectra of (a) C 1s, (b) N 1s, (c) O 1s, (d) S 2p, and (e) Cl 2p, and (f) the survey spectrum</w:t>
      </w:r>
      <w:r w:rsidR="00A67C77">
        <w:t>.</w:t>
      </w:r>
    </w:p>
    <w:bookmarkEnd w:id="4"/>
    <w:p w14:paraId="6E93D0E5" w14:textId="28FB2E26" w:rsidR="008A521E" w:rsidRDefault="00547404" w:rsidP="008A521E">
      <w:pPr>
        <w:ind w:firstLine="480"/>
      </w:pPr>
      <w:r w:rsidRPr="00547404">
        <w:t>The survey spectrum confirms the presence of C, N, O, S, and Cl in PANI-1. The C 1s spectrum contains contributions from C–C and C–N-related species at 284.78 and 286.98 eV, respectively. The N 1s components at 399.08 and 400.78 eV are assigned to –NH– and protonated –NH</w:t>
      </w:r>
      <w:r w:rsidR="00160D78" w:rsidRPr="00160D78">
        <w:rPr>
          <w:vertAlign w:val="superscript"/>
        </w:rPr>
        <w:t>+</w:t>
      </w:r>
      <w:r w:rsidRPr="00547404">
        <w:t xml:space="preserve"> species. Meanwhile, the O 1s peak and S 2p doublet indicate the presence of S–O-containing species, whereas the Cl 2p doublet confirms chloride species. These results demonstrate the characteristic chemical structure and protonated state of the synthesized PANI</w:t>
      </w:r>
      <w:r w:rsidR="008A521E" w:rsidRPr="008A521E">
        <w:t>.</w:t>
      </w:r>
    </w:p>
    <w:p w14:paraId="75B4A90B" w14:textId="7CE57581" w:rsidR="00856DC8" w:rsidRDefault="009C1C4E" w:rsidP="00790276">
      <w:pPr>
        <w:pStyle w:val="a8"/>
        <w:rPr>
          <w:rFonts w:cs="Times New Roman"/>
        </w:rPr>
      </w:pPr>
      <w:r>
        <w:rPr>
          <w:rFonts w:cs="Times New Roman"/>
          <w:noProof/>
        </w:rPr>
        <w:lastRenderedPageBreak/>
        <w:drawing>
          <wp:inline distT="0" distB="0" distL="0" distR="0" wp14:anchorId="212C9326" wp14:editId="01177B65">
            <wp:extent cx="5265420" cy="2087880"/>
            <wp:effectExtent l="0" t="0" r="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65420" cy="2087880"/>
                    </a:xfrm>
                    <a:prstGeom prst="rect">
                      <a:avLst/>
                    </a:prstGeom>
                    <a:noFill/>
                    <a:ln>
                      <a:noFill/>
                    </a:ln>
                  </pic:spPr>
                </pic:pic>
              </a:graphicData>
            </a:graphic>
          </wp:inline>
        </w:drawing>
      </w:r>
    </w:p>
    <w:p w14:paraId="5FF4F04A" w14:textId="526B8A7B" w:rsidR="00E67438" w:rsidRPr="00E67438" w:rsidRDefault="00E67438" w:rsidP="00E67438">
      <w:pPr>
        <w:pStyle w:val="a8"/>
        <w:rPr>
          <w:rFonts w:cs="Times New Roman"/>
        </w:rPr>
      </w:pPr>
      <w:r w:rsidRPr="00E67438">
        <w:rPr>
          <w:rFonts w:cs="Times New Roman"/>
          <w:b/>
        </w:rPr>
        <w:t>Fig. S</w:t>
      </w:r>
      <w:r>
        <w:rPr>
          <w:rFonts w:cs="Times New Roman"/>
          <w:b/>
        </w:rPr>
        <w:t>2</w:t>
      </w:r>
      <w:r w:rsidRPr="00E67438">
        <w:rPr>
          <w:rFonts w:cs="Times New Roman"/>
          <w:b/>
        </w:rPr>
        <w:t xml:space="preserve">. </w:t>
      </w:r>
      <w:r w:rsidRPr="00E67438">
        <w:rPr>
          <w:rFonts w:cs="Times New Roman"/>
        </w:rPr>
        <w:t>FTIR spectra of (a) PU and PANI/PU binary composites with different PANI contents and (b) PU and PANI/CIP/PU ternary composites with different filler contents</w:t>
      </w:r>
      <w:r w:rsidR="00A67C77">
        <w:rPr>
          <w:rFonts w:cs="Times New Roman"/>
        </w:rPr>
        <w:t>.</w:t>
      </w:r>
    </w:p>
    <w:p w14:paraId="435DCEBB" w14:textId="3082E795" w:rsidR="00E67438" w:rsidRDefault="00E67438" w:rsidP="00E67438">
      <w:pPr>
        <w:ind w:firstLine="480"/>
      </w:pPr>
      <w:r w:rsidRPr="00E67438">
        <w:t>All samples exhibit the characteristic absorption bands of PU, including the aliphatic –CH</w:t>
      </w:r>
      <w:r w:rsidR="00160D78" w:rsidRPr="00160D78">
        <w:rPr>
          <w:vertAlign w:val="subscript"/>
        </w:rPr>
        <w:t>2</w:t>
      </w:r>
      <w:r w:rsidRPr="00E67438">
        <w:t>/–CH</w:t>
      </w:r>
      <w:r w:rsidR="00160D78" w:rsidRPr="00160D78">
        <w:rPr>
          <w:vertAlign w:val="subscript"/>
        </w:rPr>
        <w:t>3</w:t>
      </w:r>
      <w:r w:rsidRPr="00E67438">
        <w:t xml:space="preserve"> stretching vibrations at 3000–2800 cm</w:t>
      </w:r>
      <w:r w:rsidR="00160D78" w:rsidRPr="00160D78">
        <w:rPr>
          <w:vertAlign w:val="superscript"/>
        </w:rPr>
        <w:t>-1</w:t>
      </w:r>
      <w:r w:rsidRPr="00E67438">
        <w:t>, C=O stretching vibration near 1700 cm</w:t>
      </w:r>
      <w:r w:rsidR="00160D78" w:rsidRPr="00160D78">
        <w:rPr>
          <w:vertAlign w:val="superscript"/>
        </w:rPr>
        <w:t>-1</w:t>
      </w:r>
      <w:r w:rsidRPr="00E67438">
        <w:t>, –CH₂/–CH₃ deformation vibrations, and C–O–C stretching vibrations in the fingerprint region. After the incorporation of PANI and carbonyl iron, the main characteristic bands remain essentially unchanged, although variations in band intensity and profile are observed, particularly within 1600–1000 cm</w:t>
      </w:r>
      <w:r w:rsidR="00160D78" w:rsidRPr="00160D78">
        <w:rPr>
          <w:vertAlign w:val="superscript"/>
        </w:rPr>
        <w:t>-1</w:t>
      </w:r>
      <w:r w:rsidRPr="00E67438">
        <w:t>, owing to overlapping vibrations and interfacial interactions among the components. The absence of new absorption bands or pronounced peak shifts indicates that the binary and ternary composites are formed predominantly through physical blending without altering the principal chemical structure of the PU matrix.</w:t>
      </w:r>
    </w:p>
    <w:p w14:paraId="1A2DBF22" w14:textId="77777777" w:rsidR="002565AD" w:rsidRPr="002565AD" w:rsidRDefault="002565AD" w:rsidP="002565AD">
      <w:pPr>
        <w:ind w:firstLine="480"/>
      </w:pPr>
      <w:r w:rsidRPr="002565AD">
        <w:t xml:space="preserve">The depolarization factor along the </w:t>
      </w:r>
      <w:r w:rsidRPr="002565AD">
        <w:rPr>
          <w:i/>
          <w:iCs/>
        </w:rPr>
        <w:t>x</w:t>
      </w:r>
      <w:r w:rsidRPr="002565AD">
        <w:t xml:space="preserve"> direction can be expressed as:</w:t>
      </w:r>
    </w:p>
    <w:p w14:paraId="680A39C4" w14:textId="3D5ED7A2" w:rsidR="002565AD" w:rsidRPr="002565AD" w:rsidRDefault="002565AD" w:rsidP="002565AD">
      <w:pPr>
        <w:tabs>
          <w:tab w:val="center" w:pos="4536"/>
          <w:tab w:val="right" w:pos="9072"/>
        </w:tabs>
        <w:spacing w:line="240" w:lineRule="auto"/>
        <w:ind w:firstLineChars="0" w:firstLine="0"/>
        <w:jc w:val="right"/>
      </w:pPr>
      <w:r w:rsidRPr="002565AD">
        <w:rPr>
          <w:position w:val="-44"/>
        </w:rPr>
        <w:object w:dxaOrig="4940" w:dyaOrig="859" w14:anchorId="482D1CE3">
          <v:shape id="_x0000_i1031" type="#_x0000_t75" style="width:246.6pt;height:42.6pt" o:ole="">
            <v:imagedata r:id="rId21" o:title=""/>
          </v:shape>
          <o:OLEObject Type="Embed" ProgID="Equation.DSMT4" ShapeID="_x0000_i1031" DrawAspect="Content" ObjectID="_1849192609" r:id="rId22"/>
        </w:object>
      </w:r>
      <w:r w:rsidRPr="002565AD">
        <w:t xml:space="preserve">           (</w:t>
      </w:r>
      <w:r>
        <w:t>S</w:t>
      </w:r>
      <w:r w:rsidRPr="002565AD">
        <w:t>1)</w:t>
      </w:r>
    </w:p>
    <w:p w14:paraId="6B56F9CE" w14:textId="77777777" w:rsidR="002565AD" w:rsidRPr="002565AD" w:rsidRDefault="002565AD" w:rsidP="002565AD">
      <w:pPr>
        <w:ind w:firstLineChars="0" w:firstLine="0"/>
      </w:pPr>
      <w:r w:rsidRPr="002565AD">
        <w:t xml:space="preserve">where </w:t>
      </w:r>
      <w:bookmarkStart w:id="5" w:name="_Hlk229041334"/>
      <w:r w:rsidRPr="002565AD">
        <w:rPr>
          <w:position w:val="-12"/>
        </w:rPr>
        <w:object w:dxaOrig="260" w:dyaOrig="360" w14:anchorId="05BA0ECE">
          <v:shape id="_x0000_i1032" type="#_x0000_t75" style="width:13.2pt;height:18.6pt" o:ole="">
            <v:imagedata r:id="rId23" o:title=""/>
          </v:shape>
          <o:OLEObject Type="Embed" ProgID="Equation.DSMT4" ShapeID="_x0000_i1032" DrawAspect="Content" ObjectID="_1849192610" r:id="rId24"/>
        </w:object>
      </w:r>
      <w:bookmarkEnd w:id="5"/>
      <w:r w:rsidRPr="002565AD">
        <w:t xml:space="preserve">, </w:t>
      </w:r>
      <w:r w:rsidRPr="002565AD">
        <w:rPr>
          <w:position w:val="-14"/>
        </w:rPr>
        <w:object w:dxaOrig="279" w:dyaOrig="380" w14:anchorId="4DD69C3F">
          <v:shape id="_x0000_i1033" type="#_x0000_t75" style="width:13.8pt;height:19.2pt" o:ole="">
            <v:imagedata r:id="rId25" o:title=""/>
          </v:shape>
          <o:OLEObject Type="Embed" ProgID="Equation.DSMT4" ShapeID="_x0000_i1033" DrawAspect="Content" ObjectID="_1849192611" r:id="rId26"/>
        </w:object>
      </w:r>
      <w:r w:rsidRPr="002565AD">
        <w:rPr>
          <w:vertAlign w:val="subscript"/>
        </w:rPr>
        <w:t xml:space="preserve"> </w:t>
      </w:r>
      <w:r w:rsidRPr="002565AD">
        <w:t xml:space="preserve">and </w:t>
      </w:r>
      <w:r w:rsidRPr="002565AD">
        <w:rPr>
          <w:position w:val="-12"/>
        </w:rPr>
        <w:object w:dxaOrig="260" w:dyaOrig="360" w14:anchorId="3D350B8E">
          <v:shape id="_x0000_i1034" type="#_x0000_t75" style="width:13.2pt;height:18.6pt" o:ole="">
            <v:imagedata r:id="rId27" o:title=""/>
          </v:shape>
          <o:OLEObject Type="Embed" ProgID="Equation.DSMT4" ShapeID="_x0000_i1034" DrawAspect="Content" ObjectID="_1849192612" r:id="rId28"/>
        </w:object>
      </w:r>
      <w:r w:rsidRPr="002565AD">
        <w:t xml:space="preserve"> are the characteristic dimensions along three mutually orthogonal directions. The other depolarization factors, </w:t>
      </w:r>
      <w:r w:rsidRPr="002565AD">
        <w:rPr>
          <w:i/>
          <w:iCs/>
        </w:rPr>
        <w:t>N</w:t>
      </w:r>
      <w:r w:rsidRPr="002565AD">
        <w:rPr>
          <w:i/>
          <w:iCs/>
          <w:vertAlign w:val="subscript"/>
        </w:rPr>
        <w:t>y</w:t>
      </w:r>
      <w:r w:rsidRPr="002565AD">
        <w:t xml:space="preserve"> and </w:t>
      </w:r>
      <w:r w:rsidRPr="002565AD">
        <w:rPr>
          <w:i/>
          <w:iCs/>
        </w:rPr>
        <w:t>N</w:t>
      </w:r>
      <w:r w:rsidRPr="002565AD">
        <w:rPr>
          <w:i/>
          <w:iCs/>
          <w:vertAlign w:val="subscript"/>
        </w:rPr>
        <w:t>z</w:t>
      </w:r>
      <w:r w:rsidRPr="002565AD">
        <w:t xml:space="preserve">, can be obtained by interchanging </w:t>
      </w:r>
      <w:r w:rsidRPr="002565AD">
        <w:rPr>
          <w:position w:val="-14"/>
        </w:rPr>
        <w:object w:dxaOrig="279" w:dyaOrig="380" w14:anchorId="37092B4A">
          <v:shape id="_x0000_i1035" type="#_x0000_t75" style="width:13.8pt;height:19.2pt" o:ole="">
            <v:imagedata r:id="rId25" o:title=""/>
          </v:shape>
          <o:OLEObject Type="Embed" ProgID="Equation.DSMT4" ShapeID="_x0000_i1035" DrawAspect="Content" ObjectID="_1849192613" r:id="rId29"/>
        </w:object>
      </w:r>
      <w:r w:rsidRPr="002565AD">
        <w:t xml:space="preserve"> with </w:t>
      </w:r>
      <w:r w:rsidRPr="002565AD">
        <w:rPr>
          <w:position w:val="-12"/>
        </w:rPr>
        <w:object w:dxaOrig="260" w:dyaOrig="360" w14:anchorId="75CE9484">
          <v:shape id="_x0000_i1036" type="#_x0000_t75" style="width:13.2pt;height:18.6pt" o:ole="">
            <v:imagedata r:id="rId23" o:title=""/>
          </v:shape>
          <o:OLEObject Type="Embed" ProgID="Equation.DSMT4" ShapeID="_x0000_i1036" DrawAspect="Content" ObjectID="_1849192614" r:id="rId30"/>
        </w:object>
      </w:r>
      <w:r w:rsidRPr="002565AD">
        <w:t xml:space="preserve">, and </w:t>
      </w:r>
      <w:r w:rsidRPr="002565AD">
        <w:rPr>
          <w:position w:val="-12"/>
        </w:rPr>
        <w:object w:dxaOrig="260" w:dyaOrig="360" w14:anchorId="1124759B">
          <v:shape id="_x0000_i1037" type="#_x0000_t75" style="width:13.2pt;height:18.6pt" o:ole="">
            <v:imagedata r:id="rId27" o:title=""/>
          </v:shape>
          <o:OLEObject Type="Embed" ProgID="Equation.DSMT4" ShapeID="_x0000_i1037" DrawAspect="Content" ObjectID="_1849192615" r:id="rId31"/>
        </w:object>
      </w:r>
      <w:r w:rsidRPr="002565AD">
        <w:t xml:space="preserve"> with </w:t>
      </w:r>
      <w:r w:rsidRPr="002565AD">
        <w:rPr>
          <w:position w:val="-12"/>
        </w:rPr>
        <w:object w:dxaOrig="260" w:dyaOrig="360" w14:anchorId="3EC07348">
          <v:shape id="_x0000_i1038" type="#_x0000_t75" style="width:13.2pt;height:18.6pt" o:ole="">
            <v:imagedata r:id="rId23" o:title=""/>
          </v:shape>
          <o:OLEObject Type="Embed" ProgID="Equation.DSMT4" ShapeID="_x0000_i1038" DrawAspect="Content" ObjectID="_1849192616" r:id="rId32"/>
        </w:object>
      </w:r>
      <w:r w:rsidRPr="002565AD">
        <w:t>, respectively, in the above integral. The depolarization factors satisfy:</w:t>
      </w:r>
    </w:p>
    <w:p w14:paraId="02BA395E" w14:textId="7A832E33" w:rsidR="002565AD" w:rsidRPr="002565AD" w:rsidRDefault="002565AD" w:rsidP="002565AD">
      <w:pPr>
        <w:spacing w:line="240" w:lineRule="auto"/>
        <w:ind w:firstLine="480"/>
        <w:jc w:val="right"/>
      </w:pPr>
      <w:r w:rsidRPr="002565AD">
        <w:rPr>
          <w:position w:val="-14"/>
        </w:rPr>
        <w:object w:dxaOrig="1500" w:dyaOrig="380" w14:anchorId="78135EEE">
          <v:shape id="_x0000_i1039" type="#_x0000_t75" style="width:75pt;height:19.2pt" o:ole="">
            <v:imagedata r:id="rId33" o:title=""/>
          </v:shape>
          <o:OLEObject Type="Embed" ProgID="Equation.DSMT4" ShapeID="_x0000_i1039" DrawAspect="Content" ObjectID="_1849192617" r:id="rId34"/>
        </w:object>
      </w:r>
      <w:r w:rsidRPr="002565AD">
        <w:t xml:space="preserve">                          (</w:t>
      </w:r>
      <w:r>
        <w:t>S</w:t>
      </w:r>
      <w:r w:rsidRPr="002565AD">
        <w:t>2)</w:t>
      </w:r>
    </w:p>
    <w:p w14:paraId="3D37836C" w14:textId="086E4E0E" w:rsidR="002565AD" w:rsidRPr="002565AD" w:rsidRDefault="002565AD" w:rsidP="002565AD">
      <w:pPr>
        <w:ind w:firstLine="480"/>
      </w:pPr>
      <w:r w:rsidRPr="002565AD">
        <w:t xml:space="preserve">Different equivalent particle geometries can be introduced by using different sets of depolarization factors. Specifically, the </w:t>
      </w:r>
      <w:r w:rsidR="0000574C" w:rsidRPr="002565AD">
        <w:t xml:space="preserve">needle-like </w:t>
      </w:r>
      <w:r w:rsidRPr="002565AD">
        <w:t xml:space="preserve">geometry is described by </w:t>
      </w:r>
      <w:r w:rsidRPr="002565AD">
        <w:rPr>
          <w:i/>
          <w:iCs/>
        </w:rPr>
        <w:t>N</w:t>
      </w:r>
      <w:r w:rsidRPr="002565AD">
        <w:rPr>
          <w:i/>
          <w:iCs/>
          <w:vertAlign w:val="subscript"/>
        </w:rPr>
        <w:t xml:space="preserve">x </w:t>
      </w:r>
      <w:r w:rsidRPr="002565AD">
        <w:t xml:space="preserve">= </w:t>
      </w:r>
      <w:r w:rsidRPr="002565AD">
        <w:rPr>
          <w:i/>
          <w:iCs/>
        </w:rPr>
        <w:t>N</w:t>
      </w:r>
      <w:r w:rsidRPr="002565AD">
        <w:rPr>
          <w:i/>
          <w:iCs/>
          <w:vertAlign w:val="subscript"/>
        </w:rPr>
        <w:t xml:space="preserve">y </w:t>
      </w:r>
      <w:r w:rsidRPr="002565AD">
        <w:t xml:space="preserve">= 1/2 and </w:t>
      </w:r>
      <w:r w:rsidRPr="002565AD">
        <w:rPr>
          <w:i/>
          <w:iCs/>
        </w:rPr>
        <w:t>N</w:t>
      </w:r>
      <w:r w:rsidRPr="002565AD">
        <w:rPr>
          <w:i/>
          <w:iCs/>
          <w:vertAlign w:val="subscript"/>
        </w:rPr>
        <w:t xml:space="preserve">z </w:t>
      </w:r>
      <w:r w:rsidRPr="002565AD">
        <w:t xml:space="preserve">= 0; the </w:t>
      </w:r>
      <w:r w:rsidR="0000574C" w:rsidRPr="002565AD">
        <w:t>flaky</w:t>
      </w:r>
      <w:r w:rsidRPr="002565AD">
        <w:t xml:space="preserve"> geometry is represented by </w:t>
      </w:r>
      <w:r w:rsidRPr="002565AD">
        <w:rPr>
          <w:i/>
          <w:iCs/>
        </w:rPr>
        <w:t>N</w:t>
      </w:r>
      <w:r w:rsidRPr="002565AD">
        <w:rPr>
          <w:i/>
          <w:iCs/>
          <w:vertAlign w:val="subscript"/>
        </w:rPr>
        <w:t>x</w:t>
      </w:r>
      <w:r w:rsidRPr="002565AD">
        <w:rPr>
          <w:i/>
          <w:iCs/>
        </w:rPr>
        <w:t xml:space="preserve"> </w:t>
      </w:r>
      <w:r w:rsidRPr="002565AD">
        <w:t xml:space="preserve">= 1 and </w:t>
      </w:r>
      <w:r w:rsidRPr="002565AD">
        <w:rPr>
          <w:i/>
          <w:iCs/>
        </w:rPr>
        <w:t>N</w:t>
      </w:r>
      <w:r w:rsidRPr="002565AD">
        <w:rPr>
          <w:i/>
          <w:iCs/>
          <w:vertAlign w:val="subscript"/>
        </w:rPr>
        <w:t>y</w:t>
      </w:r>
      <w:r w:rsidRPr="002565AD">
        <w:rPr>
          <w:vertAlign w:val="subscript"/>
        </w:rPr>
        <w:t xml:space="preserve"> </w:t>
      </w:r>
      <w:r w:rsidRPr="002565AD">
        <w:t xml:space="preserve">= </w:t>
      </w:r>
      <w:r w:rsidRPr="002565AD">
        <w:rPr>
          <w:i/>
          <w:iCs/>
        </w:rPr>
        <w:t>N</w:t>
      </w:r>
      <w:r w:rsidRPr="002565AD">
        <w:rPr>
          <w:i/>
          <w:iCs/>
          <w:vertAlign w:val="subscript"/>
        </w:rPr>
        <w:t>z</w:t>
      </w:r>
      <w:r w:rsidRPr="002565AD">
        <w:rPr>
          <w:vertAlign w:val="subscript"/>
        </w:rPr>
        <w:t xml:space="preserve"> </w:t>
      </w:r>
      <w:r w:rsidRPr="002565AD">
        <w:t xml:space="preserve">= 0; and the </w:t>
      </w:r>
      <w:r w:rsidRPr="002565AD">
        <w:lastRenderedPageBreak/>
        <w:t xml:space="preserve">spherical geometry corresponds to </w:t>
      </w:r>
      <w:r w:rsidRPr="002565AD">
        <w:rPr>
          <w:i/>
          <w:iCs/>
        </w:rPr>
        <w:t>N</w:t>
      </w:r>
      <w:r w:rsidRPr="002565AD">
        <w:rPr>
          <w:i/>
          <w:iCs/>
          <w:vertAlign w:val="subscript"/>
        </w:rPr>
        <w:t>x</w:t>
      </w:r>
      <w:r w:rsidRPr="002565AD">
        <w:rPr>
          <w:vertAlign w:val="subscript"/>
        </w:rPr>
        <w:t xml:space="preserve"> </w:t>
      </w:r>
      <w:r w:rsidRPr="002565AD">
        <w:t xml:space="preserve">= </w:t>
      </w:r>
      <w:r w:rsidRPr="002565AD">
        <w:rPr>
          <w:i/>
          <w:iCs/>
        </w:rPr>
        <w:t>N</w:t>
      </w:r>
      <w:r w:rsidRPr="002565AD">
        <w:rPr>
          <w:i/>
          <w:iCs/>
          <w:vertAlign w:val="subscript"/>
        </w:rPr>
        <w:t>y</w:t>
      </w:r>
      <w:r w:rsidRPr="002565AD">
        <w:rPr>
          <w:vertAlign w:val="subscript"/>
        </w:rPr>
        <w:t xml:space="preserve"> </w:t>
      </w:r>
      <w:r w:rsidRPr="002565AD">
        <w:t xml:space="preserve">= </w:t>
      </w:r>
      <w:r w:rsidRPr="002565AD">
        <w:rPr>
          <w:i/>
          <w:iCs/>
        </w:rPr>
        <w:t>N</w:t>
      </w:r>
      <w:r w:rsidRPr="002565AD">
        <w:rPr>
          <w:i/>
          <w:iCs/>
          <w:vertAlign w:val="subscript"/>
        </w:rPr>
        <w:t>z</w:t>
      </w:r>
      <w:r w:rsidRPr="002565AD">
        <w:rPr>
          <w:vertAlign w:val="subscript"/>
        </w:rPr>
        <w:t xml:space="preserve"> </w:t>
      </w:r>
      <w:r w:rsidRPr="002565AD">
        <w:t>= 1/3. In this study, spherical, flaky, and needle-like equivalent geometries were compared to evaluate the influence of morphology assumptions on the retrieved intrinsic permeability.</w:t>
      </w:r>
    </w:p>
    <w:p w14:paraId="2C6DE607" w14:textId="17A11B63" w:rsidR="00775120" w:rsidRDefault="002565AD" w:rsidP="00775120">
      <w:pPr>
        <w:ind w:firstLine="480"/>
      </w:pPr>
      <w:r w:rsidRPr="002565AD">
        <w:t>The Maxwell–Garnett (MG) mixing law</w:t>
      </w:r>
      <w:r>
        <w:t xml:space="preserve"> (S3)</w:t>
      </w:r>
      <w:r w:rsidRPr="002565AD">
        <w:t xml:space="preserve"> is a classical effective-medium model used to calculate the effective permittivity of composites containing fillers dispersed in a continuous matrix. It establishes a quantitative relationship between the macroscopic dielectric response and the intrinsic permittivities and volume fractions of the constituent phases, while accounting for local polarization effects.</w:t>
      </w:r>
    </w:p>
    <w:p w14:paraId="4CEC56CD" w14:textId="78295934" w:rsidR="005E55CB" w:rsidRPr="005E55CB" w:rsidRDefault="005E55CB" w:rsidP="005E55CB">
      <w:pPr>
        <w:tabs>
          <w:tab w:val="center" w:pos="4536"/>
          <w:tab w:val="right" w:pos="9072"/>
        </w:tabs>
        <w:spacing w:line="240" w:lineRule="auto"/>
        <w:ind w:firstLineChars="0" w:firstLine="0"/>
        <w:jc w:val="right"/>
      </w:pPr>
      <w:r w:rsidRPr="005E55CB">
        <w:rPr>
          <w:position w:val="-76"/>
        </w:rPr>
        <w:object w:dxaOrig="4060" w:dyaOrig="1579" w14:anchorId="7DE4C87D">
          <v:shape id="_x0000_i1040" type="#_x0000_t75" style="width:204pt;height:78.6pt" o:ole="">
            <v:imagedata r:id="rId35" o:title=""/>
          </v:shape>
          <o:OLEObject Type="Embed" ProgID="Equation.DSMT4" ShapeID="_x0000_i1040" DrawAspect="Content" ObjectID="_1849192618" r:id="rId36"/>
        </w:object>
      </w:r>
      <w:r w:rsidRPr="005E55CB">
        <w:t xml:space="preserve">              </w:t>
      </w:r>
      <w:r w:rsidRPr="005E55CB">
        <w:rPr>
          <w:rFonts w:hint="eastAsia"/>
        </w:rPr>
        <w:t>（</w:t>
      </w:r>
      <w:r>
        <w:t>S3</w:t>
      </w:r>
      <w:r w:rsidRPr="005E55CB">
        <w:rPr>
          <w:rFonts w:hint="eastAsia"/>
        </w:rPr>
        <w:t>）</w:t>
      </w:r>
    </w:p>
    <w:p w14:paraId="1AA45D9D" w14:textId="32B1D2BC" w:rsidR="005E55CB" w:rsidRDefault="005E55CB" w:rsidP="00775120">
      <w:pPr>
        <w:ind w:firstLine="480"/>
      </w:pPr>
      <w:r w:rsidRPr="005E55CB">
        <w:t xml:space="preserve">The Bruggeman (BR) mixing law </w:t>
      </w:r>
      <w:r w:rsidR="00030C8F">
        <w:t xml:space="preserve">(S4) </w:t>
      </w:r>
      <w:r w:rsidRPr="005E55CB">
        <w:t>is a symmetric effective-medium model that treats the matrix and filler phases equivalently. It predicts the effective permittivity of a composite from the intrinsic permittivities and volume fractions of its constituents and is commonly used for systems with relatively high filler contents or less distinct matrix–filler boundaries.</w:t>
      </w:r>
    </w:p>
    <w:p w14:paraId="252FFAA1" w14:textId="0C8BBE36" w:rsidR="00030C8F" w:rsidRPr="00030C8F" w:rsidRDefault="00030C8F" w:rsidP="00030C8F">
      <w:pPr>
        <w:tabs>
          <w:tab w:val="center" w:pos="4536"/>
          <w:tab w:val="right" w:pos="9072"/>
        </w:tabs>
        <w:spacing w:line="240" w:lineRule="auto"/>
        <w:ind w:firstLineChars="0" w:firstLine="0"/>
        <w:jc w:val="right"/>
      </w:pPr>
      <w:r w:rsidRPr="00030C8F">
        <w:rPr>
          <w:position w:val="-36"/>
        </w:rPr>
        <w:object w:dxaOrig="4540" w:dyaOrig="800" w14:anchorId="100B8668">
          <v:shape id="_x0000_i1041" type="#_x0000_t75" style="width:227.4pt;height:40.2pt" o:ole="">
            <v:imagedata r:id="rId37" o:title=""/>
          </v:shape>
          <o:OLEObject Type="Embed" ProgID="Equation.DSMT4" ShapeID="_x0000_i1041" DrawAspect="Content" ObjectID="_1849192619" r:id="rId38"/>
        </w:object>
      </w:r>
      <w:r w:rsidRPr="00030C8F">
        <w:t xml:space="preserve">             </w:t>
      </w:r>
      <w:r w:rsidRPr="00030C8F">
        <w:rPr>
          <w:rFonts w:hint="eastAsia"/>
        </w:rPr>
        <w:t>（</w:t>
      </w:r>
      <w:r w:rsidR="0030365C">
        <w:t>S4</w:t>
      </w:r>
      <w:r w:rsidRPr="00030C8F">
        <w:rPr>
          <w:rFonts w:hint="eastAsia"/>
        </w:rPr>
        <w:t>）</w:t>
      </w:r>
    </w:p>
    <w:p w14:paraId="6AEE390E" w14:textId="60FB6D96" w:rsidR="00030C8F" w:rsidRDefault="003C2D99" w:rsidP="00775120">
      <w:pPr>
        <w:ind w:firstLine="480"/>
      </w:pPr>
      <w:r w:rsidRPr="003C2D99">
        <w:t>The Coherent Potential (CP) mixing law</w:t>
      </w:r>
      <w:r w:rsidR="0030365C">
        <w:t xml:space="preserve"> (S5)</w:t>
      </w:r>
      <w:r w:rsidRPr="003C2D99">
        <w:t xml:space="preserve"> is a self-consistent effective-medium model that determines the effective permittivity by considering each constituent as an inclusion embedded in the equivalent composite medium. By accounting for the collective polarization response of different phases, it can describe the dielectric behavior of composites over a range of filler contents.</w:t>
      </w:r>
    </w:p>
    <w:p w14:paraId="40BBB20D" w14:textId="5B0AF76E" w:rsidR="00C97416" w:rsidRPr="002565AD" w:rsidRDefault="00770631" w:rsidP="007C5F0D">
      <w:pPr>
        <w:tabs>
          <w:tab w:val="center" w:pos="4536"/>
          <w:tab w:val="right" w:pos="9072"/>
        </w:tabs>
        <w:spacing w:line="240" w:lineRule="auto"/>
        <w:ind w:firstLineChars="0" w:firstLine="0"/>
        <w:jc w:val="right"/>
      </w:pPr>
      <w:r w:rsidRPr="0030365C">
        <w:rPr>
          <w:position w:val="-36"/>
        </w:rPr>
        <w:object w:dxaOrig="4560" w:dyaOrig="840" w14:anchorId="2B2649A9">
          <v:shape id="_x0000_i1042" type="#_x0000_t75" style="width:228pt;height:42pt" o:ole="">
            <v:imagedata r:id="rId39" o:title=""/>
          </v:shape>
          <o:OLEObject Type="Embed" ProgID="Equation.DSMT4" ShapeID="_x0000_i1042" DrawAspect="Content" ObjectID="_1849192620" r:id="rId40"/>
        </w:object>
      </w:r>
      <w:r w:rsidR="0030365C" w:rsidRPr="0030365C">
        <w:t xml:space="preserve">            </w:t>
      </w:r>
      <w:r w:rsidR="0030365C" w:rsidRPr="0030365C">
        <w:rPr>
          <w:rFonts w:hint="eastAsia"/>
        </w:rPr>
        <w:t>（</w:t>
      </w:r>
      <w:r w:rsidR="0030365C">
        <w:rPr>
          <w:rFonts w:hint="eastAsia"/>
        </w:rPr>
        <w:t>S</w:t>
      </w:r>
      <w:r w:rsidR="0030365C" w:rsidRPr="0030365C">
        <w:t>5</w:t>
      </w:r>
      <w:r w:rsidR="0030365C" w:rsidRPr="0030365C">
        <w:rPr>
          <w:rFonts w:hint="eastAsia"/>
        </w:rPr>
        <w:t>）</w:t>
      </w:r>
    </w:p>
    <w:p w14:paraId="086E33AD" w14:textId="59A1D581" w:rsidR="00E67438" w:rsidRDefault="00764CED" w:rsidP="00E67438">
      <w:pPr>
        <w:pStyle w:val="a8"/>
      </w:pPr>
      <w:r>
        <w:rPr>
          <w:rFonts w:hint="eastAsia"/>
          <w:noProof/>
        </w:rPr>
        <w:lastRenderedPageBreak/>
        <w:drawing>
          <wp:inline distT="0" distB="0" distL="0" distR="0" wp14:anchorId="74008B26" wp14:editId="2B46E3E7">
            <wp:extent cx="5265420" cy="1478280"/>
            <wp:effectExtent l="0" t="0" r="0" b="762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5420" cy="1478280"/>
                    </a:xfrm>
                    <a:prstGeom prst="rect">
                      <a:avLst/>
                    </a:prstGeom>
                    <a:noFill/>
                    <a:ln>
                      <a:noFill/>
                    </a:ln>
                  </pic:spPr>
                </pic:pic>
              </a:graphicData>
            </a:graphic>
          </wp:inline>
        </w:drawing>
      </w:r>
    </w:p>
    <w:p w14:paraId="371F544F" w14:textId="6970ED30" w:rsidR="00E67438" w:rsidRDefault="00E67438" w:rsidP="00E67438">
      <w:pPr>
        <w:pStyle w:val="a8"/>
      </w:pPr>
      <w:bookmarkStart w:id="6" w:name="_Hlk238119820"/>
      <w:r w:rsidRPr="00E67438">
        <w:rPr>
          <w:b/>
        </w:rPr>
        <w:t>Fig. S</w:t>
      </w:r>
      <w:r w:rsidR="00B6779F">
        <w:rPr>
          <w:b/>
        </w:rPr>
        <w:t>3</w:t>
      </w:r>
      <w:r w:rsidRPr="00E67438">
        <w:rPr>
          <w:b/>
        </w:rPr>
        <w:t xml:space="preserve">. </w:t>
      </w:r>
      <w:bookmarkEnd w:id="6"/>
      <w:r w:rsidR="00764CED" w:rsidRPr="00764CED">
        <w:t>Frequency-dependent complex permittivity of CIP/PU composites and extracted effective intrinsic permittivity of CIP: (a) real and (b) imaginary permittivity of composites containing 10–80 wt.% CIP at 10 wt.% intervals; (c) effective intrinsic complex permittivity of CIP extracted using the platelet-shaped Maxwell–Garnett model.</w:t>
      </w:r>
    </w:p>
    <w:p w14:paraId="61919DB0" w14:textId="2ECFDA91" w:rsidR="00E67438" w:rsidRDefault="00764CED" w:rsidP="00764CED">
      <w:pPr>
        <w:ind w:firstLine="480"/>
      </w:pPr>
      <w:r w:rsidRPr="00764CED">
        <w:t>As shown in Fig. S3(a,b), both the real and imaginary permittivities of the CIP/PU composites generally increase with CIP loading, reflecting the enhanced polarization and dielectric-loss contributions of the filler. Considering the flaky morphology of CIP, the platelet-shaped Maxwell–Garnett model was employed to extract its effective intrinsic complex permittivity. The extracted real permittivity gradually decreases from approximately 58 to 50 over 2–18 GHz, whereas the imaginary permittivity remains at approximately 5–8 with weak fluctuations. This physically reasonable frequency response supports its use as an independent input for the subsequent ternary mixing model.</w:t>
      </w:r>
    </w:p>
    <w:p w14:paraId="164236A1" w14:textId="3BB266A7" w:rsidR="007F1DFB" w:rsidRDefault="0041264B" w:rsidP="007F1DFB">
      <w:pPr>
        <w:pStyle w:val="a8"/>
      </w:pPr>
      <w:r>
        <w:rPr>
          <w:rFonts w:hint="eastAsia"/>
          <w:noProof/>
        </w:rPr>
        <w:drawing>
          <wp:inline distT="0" distB="0" distL="0" distR="0" wp14:anchorId="3C3A5C60" wp14:editId="697F52AC">
            <wp:extent cx="5265420" cy="27051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65420" cy="2705100"/>
                    </a:xfrm>
                    <a:prstGeom prst="rect">
                      <a:avLst/>
                    </a:prstGeom>
                    <a:noFill/>
                    <a:ln>
                      <a:noFill/>
                    </a:ln>
                  </pic:spPr>
                </pic:pic>
              </a:graphicData>
            </a:graphic>
          </wp:inline>
        </w:drawing>
      </w:r>
    </w:p>
    <w:p w14:paraId="4618F553" w14:textId="02AC6655" w:rsidR="0041264B" w:rsidRDefault="0041264B" w:rsidP="007F1DFB">
      <w:pPr>
        <w:pStyle w:val="a8"/>
      </w:pPr>
      <w:r w:rsidRPr="00E67438">
        <w:rPr>
          <w:b/>
        </w:rPr>
        <w:t>Fig. S</w:t>
      </w:r>
      <w:r w:rsidR="00B6779F">
        <w:rPr>
          <w:b/>
        </w:rPr>
        <w:t>4</w:t>
      </w:r>
      <w:r w:rsidRPr="00E67438">
        <w:rPr>
          <w:b/>
        </w:rPr>
        <w:t xml:space="preserve">. </w:t>
      </w:r>
      <w:r w:rsidRPr="0041264B">
        <w:t>Fitting performance of the platelet-form Bruggeman (BR) model for PANI/PU composites: experimental and fitted values of (a) real and (d) imaginary permittivity; (b, e) frequency-dependent residuals; and (c, f) residual distributions</w:t>
      </w:r>
      <w:r w:rsidR="00A67C77">
        <w:t>.</w:t>
      </w:r>
    </w:p>
    <w:p w14:paraId="41318D3E" w14:textId="7AEEF055" w:rsidR="0021550F" w:rsidRDefault="0021550F" w:rsidP="0021550F">
      <w:pPr>
        <w:ind w:firstLine="480"/>
      </w:pPr>
      <w:r w:rsidRPr="0021550F">
        <w:t xml:space="preserve">The BR model reproduces the overall frequency dependence of the PANI/PU </w:t>
      </w:r>
      <w:r w:rsidRPr="0021550F">
        <w:lastRenderedPageBreak/>
        <w:t>composites, with R</w:t>
      </w:r>
      <w:r w:rsidRPr="0021550F">
        <w:rPr>
          <w:vertAlign w:val="superscript"/>
        </w:rPr>
        <w:t>2</w:t>
      </w:r>
      <w:r w:rsidRPr="0021550F">
        <w:t xml:space="preserve"> values of 0.9824–0.9979 for </w:t>
      </w:r>
      <w:bookmarkStart w:id="7" w:name="_Hlk238214267"/>
      <w:r w:rsidRPr="008919A5">
        <w:rPr>
          <w:position w:val="-6"/>
        </w:rPr>
        <w:object w:dxaOrig="260" w:dyaOrig="279" w14:anchorId="0667D1C1">
          <v:shape id="_x0000_i1043" type="#_x0000_t75" style="width:13.2pt;height:13.8pt" o:ole="">
            <v:imagedata r:id="rId43" o:title=""/>
          </v:shape>
          <o:OLEObject Type="Embed" ProgID="Equation.DSMT4" ShapeID="_x0000_i1043" DrawAspect="Content" ObjectID="_1849192621" r:id="rId44"/>
        </w:object>
      </w:r>
      <w:bookmarkEnd w:id="7"/>
      <w:r w:rsidRPr="0021550F">
        <w:t xml:space="preserve"> and 0.9098–0.9921 for </w:t>
      </w:r>
      <w:r w:rsidRPr="008919A5">
        <w:rPr>
          <w:position w:val="-6"/>
        </w:rPr>
        <w:object w:dxaOrig="300" w:dyaOrig="279" w14:anchorId="4367BA42">
          <v:shape id="_x0000_i1044" type="#_x0000_t75" style="width:15pt;height:13.8pt" o:ole="">
            <v:imagedata r:id="rId45" o:title=""/>
          </v:shape>
          <o:OLEObject Type="Embed" ProgID="Equation.DSMT4" ShapeID="_x0000_i1044" DrawAspect="Content" ObjectID="_1849192622" r:id="rId46"/>
        </w:object>
      </w:r>
      <w:r w:rsidRPr="0021550F">
        <w:t>. Nevertheless, the residuals exhibit composition- and frequency-dependent systematic deviations, particularly for PANI/PU-20 and PANI/PU-25, rather than being randomly distributed around zero. Therefore, although the BR model captures the general dielectric response, its overall robustness is inferior to that of the MG model and it was not selected for subsequent parameter extraction and prediction.</w:t>
      </w:r>
    </w:p>
    <w:p w14:paraId="3B86E4B1" w14:textId="0246BA07" w:rsidR="00DD79EB" w:rsidRDefault="00DD79EB" w:rsidP="00DD79EB">
      <w:pPr>
        <w:pStyle w:val="a8"/>
      </w:pPr>
      <w:r>
        <w:rPr>
          <w:rFonts w:hint="eastAsia"/>
          <w:noProof/>
        </w:rPr>
        <w:drawing>
          <wp:inline distT="0" distB="0" distL="0" distR="0" wp14:anchorId="44ED66B8" wp14:editId="0D2B9D01">
            <wp:extent cx="5265420" cy="272796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65420" cy="2727960"/>
                    </a:xfrm>
                    <a:prstGeom prst="rect">
                      <a:avLst/>
                    </a:prstGeom>
                    <a:noFill/>
                    <a:ln>
                      <a:noFill/>
                    </a:ln>
                  </pic:spPr>
                </pic:pic>
              </a:graphicData>
            </a:graphic>
          </wp:inline>
        </w:drawing>
      </w:r>
    </w:p>
    <w:p w14:paraId="6E5B3D7C" w14:textId="2ADE6F98" w:rsidR="00DD79EB" w:rsidRDefault="00DD79EB" w:rsidP="00DD79EB">
      <w:pPr>
        <w:pStyle w:val="a8"/>
      </w:pPr>
      <w:r w:rsidRPr="00DD79EB">
        <w:rPr>
          <w:b/>
        </w:rPr>
        <w:t>Fig. S</w:t>
      </w:r>
      <w:r>
        <w:rPr>
          <w:b/>
        </w:rPr>
        <w:t>5</w:t>
      </w:r>
      <w:r w:rsidRPr="00DD79EB">
        <w:rPr>
          <w:b/>
        </w:rPr>
        <w:t xml:space="preserve">. </w:t>
      </w:r>
      <w:r w:rsidRPr="00DD79EB">
        <w:t>Fitting performance of the spherical-form Bruggeman (BR) model for PANI/PU composites: experimental and fitted values of (a) real and (d) imaginary permittivity; (b, e) frequency-dependent residuals; and (c, f) residual distributions</w:t>
      </w:r>
      <w:r w:rsidR="00A67C77">
        <w:t>.</w:t>
      </w:r>
    </w:p>
    <w:p w14:paraId="6614B30B" w14:textId="6B88EED3" w:rsidR="00DD79EB" w:rsidRDefault="00E61BC3" w:rsidP="00DD79EB">
      <w:pPr>
        <w:ind w:firstLine="480"/>
      </w:pPr>
      <w:r w:rsidRPr="00E61BC3">
        <w:t>The spherical BR model captures the overall dielectric dispersion, yielding R</w:t>
      </w:r>
      <w:r w:rsidRPr="00065B59">
        <w:rPr>
          <w:vertAlign w:val="superscript"/>
        </w:rPr>
        <w:t>2</w:t>
      </w:r>
      <w:r w:rsidRPr="00E61BC3">
        <w:t xml:space="preserve"> values of 0.9913–0.9956 for</w:t>
      </w:r>
      <w:r w:rsidR="00065B59">
        <w:t xml:space="preserve"> </w:t>
      </w:r>
      <w:r w:rsidR="00065B59" w:rsidRPr="008919A5">
        <w:rPr>
          <w:position w:val="-6"/>
        </w:rPr>
        <w:object w:dxaOrig="260" w:dyaOrig="279" w14:anchorId="06BB539C">
          <v:shape id="_x0000_i1045" type="#_x0000_t75" style="width:13.2pt;height:13.8pt" o:ole="">
            <v:imagedata r:id="rId43" o:title=""/>
          </v:shape>
          <o:OLEObject Type="Embed" ProgID="Equation.DSMT4" ShapeID="_x0000_i1045" DrawAspect="Content" ObjectID="_1849192623" r:id="rId48"/>
        </w:object>
      </w:r>
      <w:r w:rsidR="00065B59">
        <w:t xml:space="preserve"> </w:t>
      </w:r>
      <w:r w:rsidRPr="00E61BC3">
        <w:t xml:space="preserve">and 0.9061–0.9968 for </w:t>
      </w:r>
      <w:r w:rsidR="00065B59" w:rsidRPr="008919A5">
        <w:rPr>
          <w:position w:val="-6"/>
        </w:rPr>
        <w:object w:dxaOrig="300" w:dyaOrig="279" w14:anchorId="1E3B7F22">
          <v:shape id="_x0000_i1046" type="#_x0000_t75" style="width:15pt;height:13.8pt" o:ole="">
            <v:imagedata r:id="rId45" o:title=""/>
          </v:shape>
          <o:OLEObject Type="Embed" ProgID="Equation.DSMT4" ShapeID="_x0000_i1046" DrawAspect="Content" ObjectID="_1849192624" r:id="rId49"/>
        </w:object>
      </w:r>
      <w:r w:rsidRPr="00E61BC3">
        <w:t>. However, the residuals show pronounced composition-dependent offsets, particularly for PANI/PU-5 and PANI/PU-25, and are not centered consistently around zero. These systematic deviations indicate limited adaptability across different filler contents. Consequently, the spherical BR model provides a less reliable overall description than the MG model and was not selected for subsequent calculations.</w:t>
      </w:r>
    </w:p>
    <w:p w14:paraId="4A46EE0E" w14:textId="63D94E00" w:rsidR="00E61BC3" w:rsidRDefault="00E61BC3" w:rsidP="00E61BC3">
      <w:pPr>
        <w:pStyle w:val="a8"/>
      </w:pPr>
      <w:r>
        <w:rPr>
          <w:rFonts w:hint="eastAsia"/>
          <w:noProof/>
        </w:rPr>
        <w:lastRenderedPageBreak/>
        <w:drawing>
          <wp:inline distT="0" distB="0" distL="0" distR="0" wp14:anchorId="1515BEAE" wp14:editId="32CEF389">
            <wp:extent cx="5273040" cy="2819400"/>
            <wp:effectExtent l="0" t="0" r="381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73040" cy="2819400"/>
                    </a:xfrm>
                    <a:prstGeom prst="rect">
                      <a:avLst/>
                    </a:prstGeom>
                    <a:noFill/>
                    <a:ln>
                      <a:noFill/>
                    </a:ln>
                  </pic:spPr>
                </pic:pic>
              </a:graphicData>
            </a:graphic>
          </wp:inline>
        </w:drawing>
      </w:r>
    </w:p>
    <w:p w14:paraId="64CCFD43" w14:textId="326BF436" w:rsidR="00E61BC3" w:rsidRPr="00E61BC3" w:rsidRDefault="00E61BC3" w:rsidP="00E61BC3">
      <w:pPr>
        <w:pStyle w:val="a8"/>
      </w:pPr>
      <w:r w:rsidRPr="00E61BC3">
        <w:rPr>
          <w:b/>
        </w:rPr>
        <w:t>Fig. S</w:t>
      </w:r>
      <w:r>
        <w:rPr>
          <w:b/>
        </w:rPr>
        <w:t>6</w:t>
      </w:r>
      <w:r w:rsidRPr="00E61BC3">
        <w:rPr>
          <w:b/>
        </w:rPr>
        <w:t xml:space="preserve">. </w:t>
      </w:r>
      <w:r w:rsidRPr="00E61BC3">
        <w:t>Fitting performance of the platelet-form Coherent Potential (CP) model for PANI/PU composites: experimental and fitted values of (a) real and (d) imaginary permittivity; (b, e) frequency-dependent residuals; and (c, f) residual distributions</w:t>
      </w:r>
      <w:r w:rsidR="00A67C77">
        <w:t>.</w:t>
      </w:r>
    </w:p>
    <w:p w14:paraId="6FEC941F" w14:textId="3331458F" w:rsidR="00E61BC3" w:rsidRPr="00E61BC3" w:rsidRDefault="00E61BC3" w:rsidP="00E61BC3">
      <w:pPr>
        <w:ind w:firstLine="480"/>
      </w:pPr>
      <w:r w:rsidRPr="00E61BC3">
        <w:t>The platelet-form CP model reproduces the general frequency-dependent dielectric response, with R</w:t>
      </w:r>
      <w:r w:rsidRPr="00E61BC3">
        <w:rPr>
          <w:vertAlign w:val="superscript"/>
        </w:rPr>
        <w:t>2</w:t>
      </w:r>
      <w:r w:rsidRPr="00E61BC3">
        <w:t xml:space="preserve"> values of 0.9825–0.9979 for </w:t>
      </w:r>
      <w:r w:rsidR="00065B59" w:rsidRPr="008919A5">
        <w:rPr>
          <w:position w:val="-6"/>
        </w:rPr>
        <w:object w:dxaOrig="260" w:dyaOrig="279" w14:anchorId="1B560DAF">
          <v:shape id="_x0000_i1047" type="#_x0000_t75" style="width:13.2pt;height:13.8pt" o:ole="">
            <v:imagedata r:id="rId43" o:title=""/>
          </v:shape>
          <o:OLEObject Type="Embed" ProgID="Equation.DSMT4" ShapeID="_x0000_i1047" DrawAspect="Content" ObjectID="_1849192625" r:id="rId51"/>
        </w:object>
      </w:r>
      <w:r w:rsidRPr="00E61BC3">
        <w:t xml:space="preserve"> and 0.9014–0.9825 for </w:t>
      </w:r>
      <w:r w:rsidR="00065B59" w:rsidRPr="008919A5">
        <w:rPr>
          <w:position w:val="-6"/>
        </w:rPr>
        <w:object w:dxaOrig="300" w:dyaOrig="279" w14:anchorId="30D6957A">
          <v:shape id="_x0000_i1048" type="#_x0000_t75" style="width:15pt;height:13.8pt" o:ole="">
            <v:imagedata r:id="rId45" o:title=""/>
          </v:shape>
          <o:OLEObject Type="Embed" ProgID="Equation.DSMT4" ShapeID="_x0000_i1048" DrawAspect="Content" ObjectID="_1849192626" r:id="rId52"/>
        </w:object>
      </w:r>
      <w:r w:rsidRPr="00E61BC3">
        <w:t>. However, evident composition-dependent deviations are observed, particularly for PANI/PU-20 and PANI/PU-25, while the residual distributions are shifted from zero. Thus, the CP model shows limited consistency across different filler contents and provides a less robust overall fit than the MG model.</w:t>
      </w:r>
    </w:p>
    <w:p w14:paraId="22923BFB" w14:textId="480841DB" w:rsidR="00E61BC3" w:rsidRDefault="00643328" w:rsidP="00643328">
      <w:pPr>
        <w:pStyle w:val="a8"/>
      </w:pPr>
      <w:r>
        <w:rPr>
          <w:rFonts w:hint="eastAsia"/>
          <w:noProof/>
        </w:rPr>
        <w:drawing>
          <wp:inline distT="0" distB="0" distL="0" distR="0" wp14:anchorId="49D67F11" wp14:editId="05FE8F49">
            <wp:extent cx="5273040" cy="2796540"/>
            <wp:effectExtent l="0" t="0" r="3810" b="381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73040" cy="2796540"/>
                    </a:xfrm>
                    <a:prstGeom prst="rect">
                      <a:avLst/>
                    </a:prstGeom>
                    <a:noFill/>
                    <a:ln>
                      <a:noFill/>
                    </a:ln>
                  </pic:spPr>
                </pic:pic>
              </a:graphicData>
            </a:graphic>
          </wp:inline>
        </w:drawing>
      </w:r>
    </w:p>
    <w:p w14:paraId="7FD34360" w14:textId="72848BDD" w:rsidR="00643328" w:rsidRDefault="00643328" w:rsidP="00643328">
      <w:pPr>
        <w:pStyle w:val="a8"/>
      </w:pPr>
      <w:r w:rsidRPr="00E61BC3">
        <w:rPr>
          <w:b/>
        </w:rPr>
        <w:t>Fig. S</w:t>
      </w:r>
      <w:r w:rsidR="006E5EF9">
        <w:rPr>
          <w:b/>
        </w:rPr>
        <w:t>7</w:t>
      </w:r>
      <w:r w:rsidRPr="00E61BC3">
        <w:rPr>
          <w:b/>
        </w:rPr>
        <w:t xml:space="preserve">. </w:t>
      </w:r>
      <w:r w:rsidR="006E5EF9" w:rsidRPr="006E5EF9">
        <w:t xml:space="preserve">Fitting performance of the spherical-form Coherent Potential (CP) model for PANI/PU composites: experimental and fitted values of (a) real and (d) imaginary permittivity; (b, e) </w:t>
      </w:r>
      <w:r w:rsidR="006E5EF9" w:rsidRPr="006E5EF9">
        <w:lastRenderedPageBreak/>
        <w:t>frequency-dependent residuals; and (c, f) residual distributions</w:t>
      </w:r>
      <w:r w:rsidR="00A67C77">
        <w:t>.</w:t>
      </w:r>
    </w:p>
    <w:p w14:paraId="0657C0C8" w14:textId="53405191" w:rsidR="006E5EF9" w:rsidRDefault="006E5EF9" w:rsidP="006E5EF9">
      <w:pPr>
        <w:ind w:firstLine="480"/>
      </w:pPr>
      <w:r w:rsidRPr="006E5EF9">
        <w:t>The spherical CP model reasonably describes the real permittivity, yielding R</w:t>
      </w:r>
      <w:r w:rsidRPr="00065B59">
        <w:rPr>
          <w:vertAlign w:val="superscript"/>
        </w:rPr>
        <w:t>2</w:t>
      </w:r>
      <w:r w:rsidRPr="006E5EF9">
        <w:t xml:space="preserve"> values of 0.9825–0.9979, although composition-dependent residuals remain. In contrast, it fails to reproduce the imaginary permittivity, with markedly low R</w:t>
      </w:r>
      <w:r w:rsidRPr="00065B59">
        <w:rPr>
          <w:vertAlign w:val="superscript"/>
        </w:rPr>
        <w:t>2</w:t>
      </w:r>
      <w:r w:rsidRPr="006E5EF9">
        <w:t xml:space="preserve"> values of 0.0817–0.1681 and residual distributions substantially shifted from zero. These results demonstrate that the spherical CP formulation cannot reliably describe the dielectric-loss response of the PANI/PU system and is clearly inferior to the selected MG model.</w:t>
      </w:r>
    </w:p>
    <w:p w14:paraId="65860A34" w14:textId="7C9750A9" w:rsidR="006E5EF9" w:rsidRDefault="00971D64" w:rsidP="006E5EF9">
      <w:pPr>
        <w:pStyle w:val="a8"/>
      </w:pPr>
      <w:r>
        <w:rPr>
          <w:rFonts w:hint="eastAsia"/>
          <w:noProof/>
        </w:rPr>
        <w:drawing>
          <wp:inline distT="0" distB="0" distL="0" distR="0" wp14:anchorId="01E107FE" wp14:editId="3565DC80">
            <wp:extent cx="5265420" cy="2773680"/>
            <wp:effectExtent l="0" t="0" r="0"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65420" cy="2773680"/>
                    </a:xfrm>
                    <a:prstGeom prst="rect">
                      <a:avLst/>
                    </a:prstGeom>
                    <a:noFill/>
                    <a:ln>
                      <a:noFill/>
                    </a:ln>
                  </pic:spPr>
                </pic:pic>
              </a:graphicData>
            </a:graphic>
          </wp:inline>
        </w:drawing>
      </w:r>
    </w:p>
    <w:p w14:paraId="42801497" w14:textId="61F68BBA" w:rsidR="00971D64" w:rsidRPr="00971D64" w:rsidRDefault="00971D64" w:rsidP="00971D64">
      <w:pPr>
        <w:pStyle w:val="a8"/>
      </w:pPr>
      <w:r w:rsidRPr="00971D64">
        <w:rPr>
          <w:b/>
        </w:rPr>
        <w:t>Fig. S</w:t>
      </w:r>
      <w:r>
        <w:rPr>
          <w:b/>
        </w:rPr>
        <w:t>8</w:t>
      </w:r>
      <w:r w:rsidRPr="00971D64">
        <w:rPr>
          <w:b/>
        </w:rPr>
        <w:t xml:space="preserve">. </w:t>
      </w:r>
      <w:r w:rsidR="00625EED" w:rsidRPr="00625EED">
        <w:t>Fitting performance of the platelet-form Maxwell–Garnett (MG) model for PANI/PU composites: experimental and fitted values of (a) real and (d) imaginary permittivity; (b, e) frequency-dependent residuals; and (c, f) residual distributions</w:t>
      </w:r>
      <w:r w:rsidR="00A67C77">
        <w:t>.</w:t>
      </w:r>
    </w:p>
    <w:p w14:paraId="53FE5DD4" w14:textId="02F099E5" w:rsidR="00971D64" w:rsidRDefault="00625EED" w:rsidP="00971D64">
      <w:pPr>
        <w:ind w:firstLine="480"/>
      </w:pPr>
      <w:r w:rsidRPr="00625EED">
        <w:t>The platelet-form MG model captures the overall dielectric dispersion, with R</w:t>
      </w:r>
      <w:r w:rsidRPr="00065B59">
        <w:rPr>
          <w:vertAlign w:val="superscript"/>
        </w:rPr>
        <w:t>2</w:t>
      </w:r>
      <w:r w:rsidRPr="00625EED">
        <w:t xml:space="preserve"> values of 0.9814–0.9975 for </w:t>
      </w:r>
      <w:r w:rsidR="00065B59" w:rsidRPr="008919A5">
        <w:rPr>
          <w:position w:val="-6"/>
        </w:rPr>
        <w:object w:dxaOrig="260" w:dyaOrig="279" w14:anchorId="7E0EF3EF">
          <v:shape id="_x0000_i1049" type="#_x0000_t75" style="width:13.2pt;height:13.8pt" o:ole="">
            <v:imagedata r:id="rId43" o:title=""/>
          </v:shape>
          <o:OLEObject Type="Embed" ProgID="Equation.DSMT4" ShapeID="_x0000_i1049" DrawAspect="Content" ObjectID="_1849192627" r:id="rId55"/>
        </w:object>
      </w:r>
      <w:r w:rsidRPr="00625EED">
        <w:t xml:space="preserve"> and 0.8841–0.9899 for </w:t>
      </w:r>
      <w:r w:rsidR="00065B59" w:rsidRPr="008919A5">
        <w:rPr>
          <w:position w:val="-6"/>
        </w:rPr>
        <w:object w:dxaOrig="300" w:dyaOrig="279" w14:anchorId="177BC992">
          <v:shape id="_x0000_i1050" type="#_x0000_t75" style="width:15pt;height:13.8pt" o:ole="">
            <v:imagedata r:id="rId45" o:title=""/>
          </v:shape>
          <o:OLEObject Type="Embed" ProgID="Equation.DSMT4" ShapeID="_x0000_i1050" DrawAspect="Content" ObjectID="_1849192628" r:id="rId56"/>
        </w:object>
      </w:r>
      <w:r w:rsidRPr="00625EED">
        <w:t>. However, systematic deviations remain, particularly for the real permittivity of PANI/PU-25 and the imaginary permittivity at low and high filler contents. The shifted residual distributions indicate that this formulation cannot provide consistently accurate fitting across all compositions and is therefore inferior to the optimal MG formulation selected for subsequent analysis.</w:t>
      </w:r>
    </w:p>
    <w:p w14:paraId="0990364E" w14:textId="13797E66" w:rsidR="00625EED" w:rsidRDefault="00625EED" w:rsidP="00625EED">
      <w:pPr>
        <w:pStyle w:val="a8"/>
      </w:pPr>
      <w:r>
        <w:rPr>
          <w:rFonts w:hint="eastAsia"/>
          <w:noProof/>
        </w:rPr>
        <w:lastRenderedPageBreak/>
        <w:drawing>
          <wp:inline distT="0" distB="0" distL="0" distR="0" wp14:anchorId="5FA01A86" wp14:editId="49814D48">
            <wp:extent cx="5265420" cy="275082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65420" cy="2750820"/>
                    </a:xfrm>
                    <a:prstGeom prst="rect">
                      <a:avLst/>
                    </a:prstGeom>
                    <a:noFill/>
                    <a:ln>
                      <a:noFill/>
                    </a:ln>
                  </pic:spPr>
                </pic:pic>
              </a:graphicData>
            </a:graphic>
          </wp:inline>
        </w:drawing>
      </w:r>
    </w:p>
    <w:p w14:paraId="6FC2C0E8" w14:textId="4A5B54E2" w:rsidR="00625EED" w:rsidRPr="00625EED" w:rsidRDefault="00625EED" w:rsidP="00625EED">
      <w:pPr>
        <w:pStyle w:val="a8"/>
      </w:pPr>
      <w:r w:rsidRPr="00625EED">
        <w:rPr>
          <w:b/>
        </w:rPr>
        <w:t>Fig. S</w:t>
      </w:r>
      <w:r>
        <w:rPr>
          <w:b/>
        </w:rPr>
        <w:t>9</w:t>
      </w:r>
      <w:r w:rsidRPr="00625EED">
        <w:rPr>
          <w:b/>
        </w:rPr>
        <w:t xml:space="preserve">. </w:t>
      </w:r>
      <w:r w:rsidRPr="00625EED">
        <w:t>Fitting performance of the spherical-form Maxwell–Garnett (MG) model for PANI/PU composites: experimental and fitted values of (a) real and (d) imaginary permittivity; (b, e) frequency-dependent residuals; and (c, f) residual distributions</w:t>
      </w:r>
      <w:r w:rsidR="00A67C77">
        <w:t>.</w:t>
      </w:r>
    </w:p>
    <w:p w14:paraId="36F2D09E" w14:textId="08DF9742" w:rsidR="00625EED" w:rsidRDefault="00625EED" w:rsidP="00625EED">
      <w:pPr>
        <w:ind w:firstLine="480"/>
      </w:pPr>
      <w:r w:rsidRPr="00625EED">
        <w:t>The spherical MG model provides acceptable fitting for several intermediate PANI contents but exhibits substantially reduced accuracy at the composition boundaries. In particular, the R</w:t>
      </w:r>
      <w:r w:rsidRPr="00065B59">
        <w:rPr>
          <w:vertAlign w:val="superscript"/>
        </w:rPr>
        <w:t>2</w:t>
      </w:r>
      <w:r w:rsidRPr="00625EED">
        <w:t xml:space="preserve"> values for </w:t>
      </w:r>
      <w:r w:rsidR="00065B59" w:rsidRPr="008919A5">
        <w:rPr>
          <w:position w:val="-6"/>
        </w:rPr>
        <w:object w:dxaOrig="260" w:dyaOrig="279" w14:anchorId="55285F5F">
          <v:shape id="_x0000_i1051" type="#_x0000_t75" style="width:13.2pt;height:13.8pt" o:ole="">
            <v:imagedata r:id="rId43" o:title=""/>
          </v:shape>
          <o:OLEObject Type="Embed" ProgID="Equation.DSMT4" ShapeID="_x0000_i1051" DrawAspect="Content" ObjectID="_1849192629" r:id="rId58"/>
        </w:object>
      </w:r>
      <w:r w:rsidRPr="00625EED">
        <w:t xml:space="preserve"> decrease to 0.4141 and 0.8870 for PANI/PU-5 and PANI/PU-25, respectively, while composition-dependent deviations are also evident in the residual distributions. Although the imaginary permittivity is described relatively well, the inconsistent performance across filler contents demonstrates that the spherical MG formulation is unsuitable for subsequent parameter extraction and prediction.</w:t>
      </w:r>
    </w:p>
    <w:p w14:paraId="0C0378C3" w14:textId="1E5EB51C" w:rsidR="00625EED" w:rsidRDefault="001525AC" w:rsidP="001525AC">
      <w:pPr>
        <w:pStyle w:val="a8"/>
      </w:pPr>
      <w:r>
        <w:rPr>
          <w:rFonts w:hint="eastAsia"/>
          <w:noProof/>
        </w:rPr>
        <w:drawing>
          <wp:inline distT="0" distB="0" distL="0" distR="0" wp14:anchorId="3C12166B" wp14:editId="34196B23">
            <wp:extent cx="5265420" cy="210312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65420" cy="2103120"/>
                    </a:xfrm>
                    <a:prstGeom prst="rect">
                      <a:avLst/>
                    </a:prstGeom>
                    <a:noFill/>
                    <a:ln>
                      <a:noFill/>
                    </a:ln>
                  </pic:spPr>
                </pic:pic>
              </a:graphicData>
            </a:graphic>
          </wp:inline>
        </w:drawing>
      </w:r>
    </w:p>
    <w:p w14:paraId="3256B124" w14:textId="2CD434AD" w:rsidR="001525AC" w:rsidRDefault="001525AC" w:rsidP="001525AC">
      <w:pPr>
        <w:pStyle w:val="a8"/>
      </w:pPr>
      <w:r w:rsidRPr="00625EED">
        <w:rPr>
          <w:b/>
        </w:rPr>
        <w:t>Fig. S</w:t>
      </w:r>
      <w:r>
        <w:rPr>
          <w:b/>
        </w:rPr>
        <w:t>10</w:t>
      </w:r>
      <w:r w:rsidRPr="00625EED">
        <w:rPr>
          <w:b/>
        </w:rPr>
        <w:t xml:space="preserve">. </w:t>
      </w:r>
      <w:r w:rsidRPr="001525AC">
        <w:t>Cross-matrix prediction performance of the needle-form Bruggeman (BR) model for PANI/paraffin composites: experimental and predicted values of (a) real and (b) imaginary permittivity</w:t>
      </w:r>
      <w:r w:rsidR="00A67C77">
        <w:t>.</w:t>
      </w:r>
    </w:p>
    <w:p w14:paraId="3F90B6F4" w14:textId="25190332" w:rsidR="001525AC" w:rsidRPr="001525AC" w:rsidRDefault="001525AC" w:rsidP="001525AC">
      <w:pPr>
        <w:ind w:firstLine="480"/>
      </w:pPr>
      <w:r w:rsidRPr="001525AC">
        <w:t xml:space="preserve">The needle-form BR model captures the general dielectric dispersion of the PANI/paraffin composites, particularly at higher PANI contents. However, pronounced </w:t>
      </w:r>
      <w:r w:rsidRPr="001525AC">
        <w:lastRenderedPageBreak/>
        <w:t>deviations occur for the low-loading samples, with R</w:t>
      </w:r>
      <w:r w:rsidRPr="001525AC">
        <w:rPr>
          <w:vertAlign w:val="superscript"/>
        </w:rPr>
        <w:t>2</w:t>
      </w:r>
      <w:r w:rsidRPr="001525AC">
        <w:t xml:space="preserve"> decreasing to 0.8402 for </w:t>
      </w:r>
      <w:r w:rsidR="00065B59" w:rsidRPr="008919A5">
        <w:rPr>
          <w:position w:val="-6"/>
        </w:rPr>
        <w:object w:dxaOrig="260" w:dyaOrig="279" w14:anchorId="7E0DD199">
          <v:shape id="_x0000_i1052" type="#_x0000_t75" style="width:13.2pt;height:13.8pt" o:ole="">
            <v:imagedata r:id="rId43" o:title=""/>
          </v:shape>
          <o:OLEObject Type="Embed" ProgID="Equation.DSMT4" ShapeID="_x0000_i1052" DrawAspect="Content" ObjectID="_1849192630" r:id="rId60"/>
        </w:object>
      </w:r>
      <w:r w:rsidRPr="001525AC">
        <w:t xml:space="preserve"> and 0.5883 for </w:t>
      </w:r>
      <w:r w:rsidR="00065B59" w:rsidRPr="008919A5">
        <w:rPr>
          <w:position w:val="-6"/>
        </w:rPr>
        <w:object w:dxaOrig="300" w:dyaOrig="279" w14:anchorId="0AEF9AF9">
          <v:shape id="_x0000_i1053" type="#_x0000_t75" style="width:15pt;height:13.8pt" o:ole="">
            <v:imagedata r:id="rId45" o:title=""/>
          </v:shape>
          <o:OLEObject Type="Embed" ProgID="Equation.DSMT4" ShapeID="_x0000_i1053" DrawAspect="Content" ObjectID="_1849192631" r:id="rId61"/>
        </w:object>
      </w:r>
      <w:r w:rsidRPr="001525AC">
        <w:t>. The strong composition dependence indicates limited cross-matrix transferability compared with the selected MG model, and therefore the BR model was not adopted for subsequent ternary prediction.</w:t>
      </w:r>
    </w:p>
    <w:p w14:paraId="2DFD316A" w14:textId="4BD6414C" w:rsidR="001525AC" w:rsidRDefault="001F2AD5" w:rsidP="001525AC">
      <w:pPr>
        <w:pStyle w:val="a8"/>
      </w:pPr>
      <w:r>
        <w:rPr>
          <w:rFonts w:hint="eastAsia"/>
          <w:noProof/>
        </w:rPr>
        <w:drawing>
          <wp:inline distT="0" distB="0" distL="0" distR="0" wp14:anchorId="71BABCCB" wp14:editId="1A64BDC0">
            <wp:extent cx="5265420" cy="208026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65420" cy="2080260"/>
                    </a:xfrm>
                    <a:prstGeom prst="rect">
                      <a:avLst/>
                    </a:prstGeom>
                    <a:noFill/>
                    <a:ln>
                      <a:noFill/>
                    </a:ln>
                  </pic:spPr>
                </pic:pic>
              </a:graphicData>
            </a:graphic>
          </wp:inline>
        </w:drawing>
      </w:r>
    </w:p>
    <w:p w14:paraId="7593CB63" w14:textId="63F58AC4" w:rsidR="001F2AD5" w:rsidRDefault="001F2AD5" w:rsidP="001525AC">
      <w:pPr>
        <w:pStyle w:val="a8"/>
      </w:pPr>
      <w:r w:rsidRPr="00625EED">
        <w:rPr>
          <w:b/>
        </w:rPr>
        <w:t>Fig. S</w:t>
      </w:r>
      <w:r w:rsidRPr="001F2AD5">
        <w:rPr>
          <w:b/>
        </w:rPr>
        <w:t>1</w:t>
      </w:r>
      <w:r>
        <w:rPr>
          <w:b/>
        </w:rPr>
        <w:t>1</w:t>
      </w:r>
      <w:r w:rsidRPr="00625EED">
        <w:rPr>
          <w:b/>
        </w:rPr>
        <w:t xml:space="preserve">. </w:t>
      </w:r>
      <w:r w:rsidRPr="001F2AD5">
        <w:t>Cross-matrix prediction performance of the needle-form Coherent Potential (CP) model for PANI/paraffin composites: experimental and predicted values of (a) real and (b) imaginary permittivity</w:t>
      </w:r>
      <w:r w:rsidR="00A67C77">
        <w:t>.</w:t>
      </w:r>
    </w:p>
    <w:p w14:paraId="7374DAEF" w14:textId="3F8D3528" w:rsidR="001F2AD5" w:rsidRPr="001F2AD5" w:rsidRDefault="001F2AD5" w:rsidP="001F2AD5">
      <w:pPr>
        <w:ind w:firstLine="480"/>
      </w:pPr>
      <w:r w:rsidRPr="001F2AD5">
        <w:t>The needle-form CP model reproduces the frequency-dependent permittivity of the composites at relatively high PANI contents. However, substantial deviations are observed at low filler contents, with R</w:t>
      </w:r>
      <w:r w:rsidRPr="001F2AD5">
        <w:rPr>
          <w:vertAlign w:val="superscript"/>
        </w:rPr>
        <w:t>2</w:t>
      </w:r>
      <w:r w:rsidRPr="001F2AD5">
        <w:t xml:space="preserve"> decreasing to 0.5121 for </w:t>
      </w:r>
      <w:r w:rsidR="00065B59" w:rsidRPr="008919A5">
        <w:rPr>
          <w:position w:val="-6"/>
        </w:rPr>
        <w:object w:dxaOrig="260" w:dyaOrig="279" w14:anchorId="72F7B404">
          <v:shape id="_x0000_i1054" type="#_x0000_t75" style="width:13.2pt;height:13.8pt" o:ole="">
            <v:imagedata r:id="rId43" o:title=""/>
          </v:shape>
          <o:OLEObject Type="Embed" ProgID="Equation.DSMT4" ShapeID="_x0000_i1054" DrawAspect="Content" ObjectID="_1849192632" r:id="rId63"/>
        </w:object>
      </w:r>
      <w:r w:rsidRPr="001F2AD5">
        <w:t xml:space="preserve"> and 0.6711 for </w:t>
      </w:r>
      <w:r w:rsidR="00065B59" w:rsidRPr="008919A5">
        <w:rPr>
          <w:position w:val="-6"/>
        </w:rPr>
        <w:object w:dxaOrig="300" w:dyaOrig="279" w14:anchorId="4AFF4F2C">
          <v:shape id="_x0000_i1055" type="#_x0000_t75" style="width:15pt;height:13.8pt" o:ole="">
            <v:imagedata r:id="rId45" o:title=""/>
          </v:shape>
          <o:OLEObject Type="Embed" ProgID="Equation.DSMT4" ShapeID="_x0000_i1055" DrawAspect="Content" ObjectID="_1849192633" r:id="rId64"/>
        </w:object>
      </w:r>
      <w:r w:rsidRPr="001F2AD5">
        <w:t>. The prediction accuracy depends strongly on composition, indicating insufficient cross-matrix transferability compared with the selected MG model. Therefore, the CP model was not used for subsequent ternary prediction.</w:t>
      </w:r>
    </w:p>
    <w:p w14:paraId="541749D6" w14:textId="0D6494D3" w:rsidR="001F2AD5" w:rsidRDefault="00160D78" w:rsidP="00160D78">
      <w:pPr>
        <w:pStyle w:val="a8"/>
      </w:pPr>
      <w:r>
        <w:rPr>
          <w:noProof/>
        </w:rPr>
        <w:drawing>
          <wp:inline distT="0" distB="0" distL="0" distR="0" wp14:anchorId="3CB06545" wp14:editId="6624F8E7">
            <wp:extent cx="5273040" cy="2247900"/>
            <wp:effectExtent l="0" t="0" r="381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73040" cy="2247900"/>
                    </a:xfrm>
                    <a:prstGeom prst="rect">
                      <a:avLst/>
                    </a:prstGeom>
                    <a:noFill/>
                    <a:ln>
                      <a:noFill/>
                    </a:ln>
                  </pic:spPr>
                </pic:pic>
              </a:graphicData>
            </a:graphic>
          </wp:inline>
        </w:drawing>
      </w:r>
    </w:p>
    <w:p w14:paraId="259334F9" w14:textId="64526CB7" w:rsidR="00160D78" w:rsidRDefault="00160D78" w:rsidP="00160D78">
      <w:pPr>
        <w:pStyle w:val="a8"/>
      </w:pPr>
      <w:r w:rsidRPr="00625EED">
        <w:rPr>
          <w:b/>
        </w:rPr>
        <w:t>Fig. S</w:t>
      </w:r>
      <w:r w:rsidRPr="001F2AD5">
        <w:rPr>
          <w:b/>
        </w:rPr>
        <w:t>1</w:t>
      </w:r>
      <w:r>
        <w:rPr>
          <w:b/>
        </w:rPr>
        <w:t>2</w:t>
      </w:r>
      <w:r w:rsidRPr="00625EED">
        <w:rPr>
          <w:b/>
        </w:rPr>
        <w:t xml:space="preserve">. </w:t>
      </w:r>
      <w:r w:rsidRPr="00160D78">
        <w:t xml:space="preserve">XRD patterns of (a) pristine PU and PANI/PU binary composites with different PANI loadings and (b) pristine CIP and representative PANI/CIP/PU ternary composites. The standard diffraction positions of </w:t>
      </w:r>
      <w:r w:rsidRPr="00160D78">
        <w:rPr>
          <w:i/>
          <w:iCs/>
        </w:rPr>
        <w:t>α</w:t>
      </w:r>
      <w:r w:rsidRPr="00160D78">
        <w:t>-Fe are provided according to PDF No. 00-006-0696.</w:t>
      </w:r>
    </w:p>
    <w:p w14:paraId="2D4795AD" w14:textId="76D81983" w:rsidR="00EB7C4C" w:rsidRPr="00EB7C4C" w:rsidRDefault="00EB7C4C" w:rsidP="00EB7C4C">
      <w:pPr>
        <w:ind w:firstLine="480"/>
      </w:pPr>
      <w:r w:rsidRPr="00EB7C4C">
        <w:lastRenderedPageBreak/>
        <w:t>As shown in Fig. S</w:t>
      </w:r>
      <w:r>
        <w:t>12</w:t>
      </w:r>
      <w:r w:rsidRPr="00EB7C4C">
        <w:t>(a), pristine PU exhibits a broad diffraction halo centered at approximately 20</w:t>
      </w:r>
      <w:r w:rsidRPr="00EB7C4C">
        <w:rPr>
          <w:rFonts w:cs="Times New Roman"/>
        </w:rPr>
        <w:t>°</w:t>
      </w:r>
      <w:r w:rsidRPr="00EB7C4C">
        <w:t>, indicating its predominantly amorphous structure. After the incorporation of PANI, the PANI/PU composites retain the broad amorphous feature, accompanied by a weak shoulder at approximately 25°, which is associated with the short-range ordering of PANI chains. The absence of additional sharp diffraction peaks suggests that PANI is incorporated into the PU matrix without generating new crystalline phases. In Fig. S</w:t>
      </w:r>
      <w:r>
        <w:t>12</w:t>
      </w:r>
      <w:r w:rsidRPr="00EB7C4C">
        <w:t>(b), pristine CIP displays characteristic diffraction peaks at approximately 44.7°, 65.0°, and 82.3°, corresponding to the (110), (200), and (211) planes of body-centered cubic α-Fe, respectively, in agreement with PDF No. 00-006-0696. These characteristic reflections remain discernible in the PANI/CIP/PU ternary composites without an evident shift in peak position, whereas their relative intensities vary because of matrix encapsulation and compositional dilution. These results demonstrate that the crystalline structure of CIP is preserved during composite preparation and that no detectable crystalline by-products are formed.</w:t>
      </w:r>
    </w:p>
    <w:p w14:paraId="66AE1839" w14:textId="6468DBFE" w:rsidR="00160D78" w:rsidRDefault="003B7C90" w:rsidP="003B7C90">
      <w:pPr>
        <w:pStyle w:val="a8"/>
      </w:pPr>
      <w:r>
        <w:rPr>
          <w:rFonts w:hint="eastAsia"/>
          <w:noProof/>
        </w:rPr>
        <w:drawing>
          <wp:inline distT="0" distB="0" distL="0" distR="0" wp14:anchorId="524B6F86" wp14:editId="0D693E89">
            <wp:extent cx="5273040" cy="2400300"/>
            <wp:effectExtent l="0" t="0" r="381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73040" cy="2400300"/>
                    </a:xfrm>
                    <a:prstGeom prst="rect">
                      <a:avLst/>
                    </a:prstGeom>
                    <a:noFill/>
                    <a:ln>
                      <a:noFill/>
                    </a:ln>
                  </pic:spPr>
                </pic:pic>
              </a:graphicData>
            </a:graphic>
          </wp:inline>
        </w:drawing>
      </w:r>
    </w:p>
    <w:p w14:paraId="18FE81E0" w14:textId="48407D21" w:rsidR="003B7C90" w:rsidRPr="003B7C90" w:rsidRDefault="003B7C90" w:rsidP="003B7C90">
      <w:pPr>
        <w:pStyle w:val="a8"/>
      </w:pPr>
      <w:r w:rsidRPr="003B7C90">
        <w:rPr>
          <w:b/>
        </w:rPr>
        <w:t>Fig. S1</w:t>
      </w:r>
      <w:r>
        <w:rPr>
          <w:b/>
        </w:rPr>
        <w:t>3</w:t>
      </w:r>
      <w:r w:rsidRPr="003B7C90">
        <w:rPr>
          <w:b/>
        </w:rPr>
        <w:t xml:space="preserve">. </w:t>
      </w:r>
      <w:r w:rsidRPr="003B7C90">
        <w:t>Fracture-surface SEM images of the PANI/CIP/PU ternary composites: (a) P-CIP-1, (b) P-CIP-2, (c) P-CIP-3, (d) P-CIP-4, and (e) P-CIP-5; (f) SEM image of pristine CIP particles. All scale bars represent 2 μm.</w:t>
      </w:r>
    </w:p>
    <w:p w14:paraId="08DFA743" w14:textId="16E1210E" w:rsidR="003B7C90" w:rsidRPr="003B7C90" w:rsidRDefault="003B7C90" w:rsidP="003B7C90">
      <w:pPr>
        <w:ind w:firstLine="480"/>
      </w:pPr>
      <w:r w:rsidRPr="003B7C90">
        <w:t>As shown in Fig. S</w:t>
      </w:r>
      <w:r>
        <w:t>13</w:t>
      </w:r>
      <w:r w:rsidRPr="003B7C90">
        <w:t xml:space="preserve">(a–e), the fillers are predominantly embedded within and covered by the PU matrix, producing relatively compact fracture surfaces without extensive interfacial voids or macroscopic phase separation. Variations in surface roughness and localized particle-rich regions among the samples reflect the changes in composite composition and interparticle spacing. The pristine CIP particles in Fig. </w:t>
      </w:r>
      <w:r w:rsidRPr="003B7C90">
        <w:lastRenderedPageBreak/>
        <w:t>S</w:t>
      </w:r>
      <w:r>
        <w:t>13</w:t>
      </w:r>
      <w:r w:rsidRPr="003B7C90">
        <w:t>(f) exhibit an irregular flattened morphology with distinct platelet-like features, supporting the platelet approximation adopted for CIP in the morphology-dependent ternary MG model. Overall, the microstructural observations support the treatment of PU as the continuous phase and PANI and CIP as dispersed functional phases.</w:t>
      </w:r>
    </w:p>
    <w:p w14:paraId="25CC8A46" w14:textId="77777777" w:rsidR="003B7C90" w:rsidRPr="003B7C90" w:rsidRDefault="003B7C90" w:rsidP="003B7C90">
      <w:pPr>
        <w:ind w:firstLine="480"/>
      </w:pPr>
    </w:p>
    <w:sectPr w:rsidR="003B7C90" w:rsidRPr="003B7C90">
      <w:headerReference w:type="even" r:id="rId67"/>
      <w:headerReference w:type="default" r:id="rId68"/>
      <w:footerReference w:type="even" r:id="rId69"/>
      <w:footerReference w:type="default" r:id="rId70"/>
      <w:headerReference w:type="first" r:id="rId71"/>
      <w:footerReference w:type="first" r:id="rId7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C439E" w14:textId="77777777" w:rsidR="00AC5E2A" w:rsidRDefault="00AC5E2A" w:rsidP="00221AE9">
      <w:pPr>
        <w:ind w:firstLine="480"/>
      </w:pPr>
      <w:r>
        <w:separator/>
      </w:r>
    </w:p>
  </w:endnote>
  <w:endnote w:type="continuationSeparator" w:id="0">
    <w:p w14:paraId="18333F87" w14:textId="77777777" w:rsidR="00AC5E2A" w:rsidRDefault="00AC5E2A" w:rsidP="00221AE9">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C54E2" w14:textId="77777777" w:rsidR="004B18D7" w:rsidRDefault="004B18D7">
    <w:pPr>
      <w:pStyle w:val="a6"/>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19A66" w14:textId="77777777" w:rsidR="004B18D7" w:rsidRDefault="004B18D7">
    <w:pPr>
      <w:pStyle w:val="a6"/>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9D433" w14:textId="77777777" w:rsidR="004B18D7" w:rsidRDefault="004B18D7">
    <w:pPr>
      <w:pStyle w:val="a6"/>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6A364" w14:textId="77777777" w:rsidR="00AC5E2A" w:rsidRDefault="00AC5E2A" w:rsidP="00221AE9">
      <w:pPr>
        <w:ind w:firstLine="480"/>
      </w:pPr>
      <w:r>
        <w:separator/>
      </w:r>
    </w:p>
  </w:footnote>
  <w:footnote w:type="continuationSeparator" w:id="0">
    <w:p w14:paraId="1D771D76" w14:textId="77777777" w:rsidR="00AC5E2A" w:rsidRDefault="00AC5E2A" w:rsidP="00221AE9">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6EB60" w14:textId="77777777" w:rsidR="004B18D7" w:rsidRDefault="004B18D7">
    <w:pPr>
      <w:pStyle w:val="a4"/>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82788" w14:textId="77777777" w:rsidR="004B18D7" w:rsidRDefault="004B18D7" w:rsidP="006B0500">
    <w:pPr>
      <w:pStyle w:val="a4"/>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D7779" w14:textId="77777777" w:rsidR="004B18D7" w:rsidRDefault="004B18D7">
    <w:pPr>
      <w:pStyle w:val="a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33B"/>
    <w:rsid w:val="000055F3"/>
    <w:rsid w:val="0000574C"/>
    <w:rsid w:val="00022079"/>
    <w:rsid w:val="00022F3B"/>
    <w:rsid w:val="00030C8F"/>
    <w:rsid w:val="00040F53"/>
    <w:rsid w:val="00045DF6"/>
    <w:rsid w:val="00046701"/>
    <w:rsid w:val="00050E61"/>
    <w:rsid w:val="00057CCB"/>
    <w:rsid w:val="00060CC0"/>
    <w:rsid w:val="00065B59"/>
    <w:rsid w:val="000747E5"/>
    <w:rsid w:val="000A3300"/>
    <w:rsid w:val="000A680E"/>
    <w:rsid w:val="000B19A5"/>
    <w:rsid w:val="000B2DF3"/>
    <w:rsid w:val="000B40A1"/>
    <w:rsid w:val="000E4415"/>
    <w:rsid w:val="000E53F0"/>
    <w:rsid w:val="0010149B"/>
    <w:rsid w:val="00112503"/>
    <w:rsid w:val="00126ACA"/>
    <w:rsid w:val="00146C0E"/>
    <w:rsid w:val="001525AC"/>
    <w:rsid w:val="0015593D"/>
    <w:rsid w:val="00160D78"/>
    <w:rsid w:val="00172453"/>
    <w:rsid w:val="00183B6B"/>
    <w:rsid w:val="00185B23"/>
    <w:rsid w:val="00196946"/>
    <w:rsid w:val="001B5036"/>
    <w:rsid w:val="001C0B7A"/>
    <w:rsid w:val="001E0565"/>
    <w:rsid w:val="001F0748"/>
    <w:rsid w:val="001F2AD5"/>
    <w:rsid w:val="001F7F7F"/>
    <w:rsid w:val="0021550F"/>
    <w:rsid w:val="00216191"/>
    <w:rsid w:val="00220E50"/>
    <w:rsid w:val="0022107A"/>
    <w:rsid w:val="00221AE9"/>
    <w:rsid w:val="00222136"/>
    <w:rsid w:val="00230115"/>
    <w:rsid w:val="00243B2B"/>
    <w:rsid w:val="002565AD"/>
    <w:rsid w:val="002631E3"/>
    <w:rsid w:val="0027150F"/>
    <w:rsid w:val="002B3E73"/>
    <w:rsid w:val="002C4199"/>
    <w:rsid w:val="002D7E00"/>
    <w:rsid w:val="0030365C"/>
    <w:rsid w:val="00317CA9"/>
    <w:rsid w:val="00341DF9"/>
    <w:rsid w:val="0034772C"/>
    <w:rsid w:val="00350BDA"/>
    <w:rsid w:val="003546E1"/>
    <w:rsid w:val="003579FE"/>
    <w:rsid w:val="00386A08"/>
    <w:rsid w:val="00397152"/>
    <w:rsid w:val="003A0C1C"/>
    <w:rsid w:val="003A23B3"/>
    <w:rsid w:val="003B7C90"/>
    <w:rsid w:val="003C2D99"/>
    <w:rsid w:val="003D5838"/>
    <w:rsid w:val="003F7479"/>
    <w:rsid w:val="00405EFC"/>
    <w:rsid w:val="0041264B"/>
    <w:rsid w:val="00414038"/>
    <w:rsid w:val="00420ABE"/>
    <w:rsid w:val="00443CEE"/>
    <w:rsid w:val="004473C2"/>
    <w:rsid w:val="00452418"/>
    <w:rsid w:val="004601F3"/>
    <w:rsid w:val="00470276"/>
    <w:rsid w:val="00471846"/>
    <w:rsid w:val="004A2458"/>
    <w:rsid w:val="004B18D7"/>
    <w:rsid w:val="004D1623"/>
    <w:rsid w:val="004D2E5B"/>
    <w:rsid w:val="004E0629"/>
    <w:rsid w:val="004E1681"/>
    <w:rsid w:val="004E4B37"/>
    <w:rsid w:val="00504750"/>
    <w:rsid w:val="00505B56"/>
    <w:rsid w:val="005175D5"/>
    <w:rsid w:val="005231E9"/>
    <w:rsid w:val="005409C8"/>
    <w:rsid w:val="00547404"/>
    <w:rsid w:val="0055630C"/>
    <w:rsid w:val="0056137D"/>
    <w:rsid w:val="0056233E"/>
    <w:rsid w:val="00587F9F"/>
    <w:rsid w:val="005A3A45"/>
    <w:rsid w:val="005A7FD0"/>
    <w:rsid w:val="005D73EF"/>
    <w:rsid w:val="005E55CB"/>
    <w:rsid w:val="005E6B39"/>
    <w:rsid w:val="006037BE"/>
    <w:rsid w:val="00605772"/>
    <w:rsid w:val="00625EED"/>
    <w:rsid w:val="0063799B"/>
    <w:rsid w:val="006428C6"/>
    <w:rsid w:val="00643328"/>
    <w:rsid w:val="00645FC8"/>
    <w:rsid w:val="00691561"/>
    <w:rsid w:val="00693BB1"/>
    <w:rsid w:val="006B0500"/>
    <w:rsid w:val="006C7B38"/>
    <w:rsid w:val="006E020F"/>
    <w:rsid w:val="006E5EF9"/>
    <w:rsid w:val="006E77DC"/>
    <w:rsid w:val="00724913"/>
    <w:rsid w:val="007279FB"/>
    <w:rsid w:val="00733C39"/>
    <w:rsid w:val="00743160"/>
    <w:rsid w:val="00764CED"/>
    <w:rsid w:val="00770631"/>
    <w:rsid w:val="00775120"/>
    <w:rsid w:val="007841B1"/>
    <w:rsid w:val="00790276"/>
    <w:rsid w:val="007956F2"/>
    <w:rsid w:val="007A1AB3"/>
    <w:rsid w:val="007C5F0D"/>
    <w:rsid w:val="007F13EE"/>
    <w:rsid w:val="007F1DFB"/>
    <w:rsid w:val="008036F1"/>
    <w:rsid w:val="00813005"/>
    <w:rsid w:val="0083757C"/>
    <w:rsid w:val="00856DC8"/>
    <w:rsid w:val="00887C2D"/>
    <w:rsid w:val="008A0886"/>
    <w:rsid w:val="008A521E"/>
    <w:rsid w:val="008B0E7B"/>
    <w:rsid w:val="008D411F"/>
    <w:rsid w:val="0092756B"/>
    <w:rsid w:val="00953C79"/>
    <w:rsid w:val="00971D64"/>
    <w:rsid w:val="0097733D"/>
    <w:rsid w:val="0098430D"/>
    <w:rsid w:val="009C1C4E"/>
    <w:rsid w:val="009C53A5"/>
    <w:rsid w:val="009E02F4"/>
    <w:rsid w:val="009F09C5"/>
    <w:rsid w:val="00A336A8"/>
    <w:rsid w:val="00A408F6"/>
    <w:rsid w:val="00A5433B"/>
    <w:rsid w:val="00A67C77"/>
    <w:rsid w:val="00A70B36"/>
    <w:rsid w:val="00A81EFE"/>
    <w:rsid w:val="00A84268"/>
    <w:rsid w:val="00AA0F1C"/>
    <w:rsid w:val="00AA6528"/>
    <w:rsid w:val="00AB2A2C"/>
    <w:rsid w:val="00AB6237"/>
    <w:rsid w:val="00AB79C4"/>
    <w:rsid w:val="00AC02FB"/>
    <w:rsid w:val="00AC5E2A"/>
    <w:rsid w:val="00AD5FBB"/>
    <w:rsid w:val="00AE6E6C"/>
    <w:rsid w:val="00AE741D"/>
    <w:rsid w:val="00B015A8"/>
    <w:rsid w:val="00B01F54"/>
    <w:rsid w:val="00B335A0"/>
    <w:rsid w:val="00B34CED"/>
    <w:rsid w:val="00B46F42"/>
    <w:rsid w:val="00B50CB4"/>
    <w:rsid w:val="00B6512E"/>
    <w:rsid w:val="00B6779F"/>
    <w:rsid w:val="00B74C82"/>
    <w:rsid w:val="00BB1CF6"/>
    <w:rsid w:val="00BB567A"/>
    <w:rsid w:val="00BC65B0"/>
    <w:rsid w:val="00BE2B18"/>
    <w:rsid w:val="00BF7CAF"/>
    <w:rsid w:val="00C054C6"/>
    <w:rsid w:val="00C36925"/>
    <w:rsid w:val="00C52247"/>
    <w:rsid w:val="00C56DCE"/>
    <w:rsid w:val="00C60A04"/>
    <w:rsid w:val="00C64CAE"/>
    <w:rsid w:val="00C71A6D"/>
    <w:rsid w:val="00C71B27"/>
    <w:rsid w:val="00C953A5"/>
    <w:rsid w:val="00C97416"/>
    <w:rsid w:val="00CA148D"/>
    <w:rsid w:val="00CA2AB5"/>
    <w:rsid w:val="00CC3CB5"/>
    <w:rsid w:val="00CD7ABF"/>
    <w:rsid w:val="00CF501C"/>
    <w:rsid w:val="00CF77BB"/>
    <w:rsid w:val="00D03A48"/>
    <w:rsid w:val="00D10E8D"/>
    <w:rsid w:val="00D44C4B"/>
    <w:rsid w:val="00D45104"/>
    <w:rsid w:val="00D829AF"/>
    <w:rsid w:val="00D94C56"/>
    <w:rsid w:val="00DC0ABD"/>
    <w:rsid w:val="00DC15CB"/>
    <w:rsid w:val="00DD79EB"/>
    <w:rsid w:val="00DE2091"/>
    <w:rsid w:val="00DE6E36"/>
    <w:rsid w:val="00E1512F"/>
    <w:rsid w:val="00E61BC3"/>
    <w:rsid w:val="00E67438"/>
    <w:rsid w:val="00E755D5"/>
    <w:rsid w:val="00EB7C4C"/>
    <w:rsid w:val="00EC149E"/>
    <w:rsid w:val="00ED6246"/>
    <w:rsid w:val="00EE74D9"/>
    <w:rsid w:val="00F126D4"/>
    <w:rsid w:val="00F1586F"/>
    <w:rsid w:val="00F23F21"/>
    <w:rsid w:val="00F53226"/>
    <w:rsid w:val="00F532A5"/>
    <w:rsid w:val="00F634CC"/>
    <w:rsid w:val="00FA0963"/>
    <w:rsid w:val="00FA120F"/>
    <w:rsid w:val="00FD2CBA"/>
    <w:rsid w:val="00FD5173"/>
    <w:rsid w:val="00FE44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ABC4D2"/>
  <w14:discardImageEditingData/>
  <w14:defaultImageDpi w14:val="32767"/>
  <w15:chartTrackingRefBased/>
  <w15:docId w15:val="{5D27B2C4-717E-4C25-A0C0-32EE2E5DD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7B38"/>
    <w:pPr>
      <w:widowControl w:val="0"/>
      <w:spacing w:line="460" w:lineRule="exact"/>
      <w:ind w:firstLineChars="200" w:firstLine="200"/>
      <w:jc w:val="both"/>
    </w:pPr>
    <w:rPr>
      <w:rFonts w:ascii="Times New Roman" w:eastAsia="宋体" w:hAnsi="Times New Roman"/>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43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21AE9"/>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221AE9"/>
    <w:rPr>
      <w:sz w:val="18"/>
      <w:szCs w:val="18"/>
    </w:rPr>
  </w:style>
  <w:style w:type="paragraph" w:styleId="a6">
    <w:name w:val="footer"/>
    <w:basedOn w:val="a"/>
    <w:link w:val="a7"/>
    <w:uiPriority w:val="99"/>
    <w:unhideWhenUsed/>
    <w:rsid w:val="00221AE9"/>
    <w:pPr>
      <w:tabs>
        <w:tab w:val="center" w:pos="4153"/>
        <w:tab w:val="right" w:pos="8306"/>
      </w:tabs>
      <w:snapToGrid w:val="0"/>
      <w:jc w:val="left"/>
    </w:pPr>
    <w:rPr>
      <w:sz w:val="18"/>
      <w:szCs w:val="18"/>
    </w:rPr>
  </w:style>
  <w:style w:type="character" w:customStyle="1" w:styleId="a7">
    <w:name w:val="页脚 字符"/>
    <w:basedOn w:val="a0"/>
    <w:link w:val="a6"/>
    <w:uiPriority w:val="99"/>
    <w:rsid w:val="00221AE9"/>
    <w:rPr>
      <w:sz w:val="18"/>
      <w:szCs w:val="18"/>
    </w:rPr>
  </w:style>
  <w:style w:type="paragraph" w:styleId="a8">
    <w:name w:val="No Spacing"/>
    <w:aliases w:val="图片"/>
    <w:link w:val="a9"/>
    <w:uiPriority w:val="1"/>
    <w:qFormat/>
    <w:rsid w:val="008A521E"/>
    <w:pPr>
      <w:widowControl w:val="0"/>
      <w:jc w:val="center"/>
    </w:pPr>
    <w:rPr>
      <w:rFonts w:ascii="Times New Roman" w:eastAsia="宋体" w:hAnsi="Times New Roman"/>
    </w:rPr>
  </w:style>
  <w:style w:type="paragraph" w:customStyle="1" w:styleId="aa">
    <w:name w:val="公式"/>
    <w:basedOn w:val="a8"/>
    <w:link w:val="ab"/>
    <w:qFormat/>
    <w:rsid w:val="00341DF9"/>
    <w:pPr>
      <w:tabs>
        <w:tab w:val="center" w:pos="4536"/>
        <w:tab w:val="right" w:pos="9072"/>
      </w:tabs>
    </w:pPr>
  </w:style>
  <w:style w:type="character" w:customStyle="1" w:styleId="a9">
    <w:name w:val="无间隔 字符"/>
    <w:aliases w:val="图片 字符"/>
    <w:basedOn w:val="a0"/>
    <w:link w:val="a8"/>
    <w:uiPriority w:val="1"/>
    <w:rsid w:val="008A521E"/>
    <w:rPr>
      <w:rFonts w:ascii="Times New Roman" w:eastAsia="宋体" w:hAnsi="Times New Roman"/>
    </w:rPr>
  </w:style>
  <w:style w:type="character" w:customStyle="1" w:styleId="ab">
    <w:name w:val="公式 字符"/>
    <w:basedOn w:val="a9"/>
    <w:link w:val="aa"/>
    <w:rsid w:val="00341DF9"/>
    <w:rPr>
      <w:rFonts w:ascii="Times New Roman" w:eastAsia="宋体" w:hAnsi="Times New Roman"/>
      <w:sz w:val="24"/>
    </w:rPr>
  </w:style>
  <w:style w:type="table" w:customStyle="1" w:styleId="5">
    <w:name w:val="网格型5"/>
    <w:basedOn w:val="a1"/>
    <w:next w:val="a3"/>
    <w:uiPriority w:val="39"/>
    <w:rsid w:val="004718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浅色底纹16"/>
    <w:basedOn w:val="a1"/>
    <w:uiPriority w:val="60"/>
    <w:rsid w:val="00856DC8"/>
    <w:rPr>
      <w:rFonts w:ascii="等线" w:eastAsia="等线" w:hAnsi="等线" w:cs="Times New Roman"/>
      <w:color w:val="000000"/>
      <w:kern w:val="0"/>
      <w:sz w:val="20"/>
      <w:szCs w:val="20"/>
    </w:rPr>
    <w:tblPr>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445393596">
      <w:bodyDiv w:val="1"/>
      <w:marLeft w:val="0"/>
      <w:marRight w:val="0"/>
      <w:marTop w:val="0"/>
      <w:marBottom w:val="0"/>
      <w:divBdr>
        <w:top w:val="none" w:sz="0" w:space="0" w:color="auto"/>
        <w:left w:val="none" w:sz="0" w:space="0" w:color="auto"/>
        <w:bottom w:val="none" w:sz="0" w:space="0" w:color="auto"/>
        <w:right w:val="none" w:sz="0" w:space="0" w:color="auto"/>
      </w:divBdr>
      <w:divsChild>
        <w:div w:id="1006983612">
          <w:marLeft w:val="0"/>
          <w:marRight w:val="0"/>
          <w:marTop w:val="0"/>
          <w:marBottom w:val="0"/>
          <w:divBdr>
            <w:top w:val="none" w:sz="0" w:space="0" w:color="auto"/>
            <w:left w:val="none" w:sz="0" w:space="0" w:color="auto"/>
            <w:bottom w:val="none" w:sz="0" w:space="0" w:color="auto"/>
            <w:right w:val="none" w:sz="0" w:space="0" w:color="auto"/>
          </w:divBdr>
          <w:divsChild>
            <w:div w:id="335036916">
              <w:marLeft w:val="0"/>
              <w:marRight w:val="0"/>
              <w:marTop w:val="0"/>
              <w:marBottom w:val="0"/>
              <w:divBdr>
                <w:top w:val="none" w:sz="0" w:space="0" w:color="auto"/>
                <w:left w:val="none" w:sz="0" w:space="0" w:color="auto"/>
                <w:bottom w:val="none" w:sz="0" w:space="0" w:color="auto"/>
                <w:right w:val="none" w:sz="0" w:space="0" w:color="auto"/>
              </w:divBdr>
              <w:divsChild>
                <w:div w:id="625352633">
                  <w:marLeft w:val="0"/>
                  <w:marRight w:val="0"/>
                  <w:marTop w:val="0"/>
                  <w:marBottom w:val="0"/>
                  <w:divBdr>
                    <w:top w:val="none" w:sz="0" w:space="0" w:color="auto"/>
                    <w:left w:val="none" w:sz="0" w:space="0" w:color="auto"/>
                    <w:bottom w:val="none" w:sz="0" w:space="0" w:color="auto"/>
                    <w:right w:val="none" w:sz="0" w:space="0" w:color="auto"/>
                  </w:divBdr>
                  <w:divsChild>
                    <w:div w:id="1725369482">
                      <w:marLeft w:val="0"/>
                      <w:marRight w:val="0"/>
                      <w:marTop w:val="0"/>
                      <w:marBottom w:val="0"/>
                      <w:divBdr>
                        <w:top w:val="none" w:sz="0" w:space="0" w:color="auto"/>
                        <w:left w:val="none" w:sz="0" w:space="0" w:color="auto"/>
                        <w:bottom w:val="none" w:sz="0" w:space="0" w:color="auto"/>
                        <w:right w:val="none" w:sz="0" w:space="0" w:color="auto"/>
                      </w:divBdr>
                      <w:divsChild>
                        <w:div w:id="1089085051">
                          <w:marLeft w:val="0"/>
                          <w:marRight w:val="0"/>
                          <w:marTop w:val="0"/>
                          <w:marBottom w:val="0"/>
                          <w:divBdr>
                            <w:top w:val="none" w:sz="0" w:space="0" w:color="auto"/>
                            <w:left w:val="none" w:sz="0" w:space="0" w:color="auto"/>
                            <w:bottom w:val="none" w:sz="0" w:space="0" w:color="auto"/>
                            <w:right w:val="none" w:sz="0" w:space="0" w:color="auto"/>
                          </w:divBdr>
                          <w:divsChild>
                            <w:div w:id="41289673">
                              <w:marLeft w:val="0"/>
                              <w:marRight w:val="0"/>
                              <w:marTop w:val="0"/>
                              <w:marBottom w:val="0"/>
                              <w:divBdr>
                                <w:top w:val="none" w:sz="0" w:space="0" w:color="auto"/>
                                <w:left w:val="none" w:sz="0" w:space="0" w:color="auto"/>
                                <w:bottom w:val="none" w:sz="0" w:space="0" w:color="auto"/>
                                <w:right w:val="none" w:sz="0" w:space="0" w:color="auto"/>
                              </w:divBdr>
                              <w:divsChild>
                                <w:div w:id="1237742133">
                                  <w:marLeft w:val="0"/>
                                  <w:marRight w:val="0"/>
                                  <w:marTop w:val="0"/>
                                  <w:marBottom w:val="0"/>
                                  <w:divBdr>
                                    <w:top w:val="none" w:sz="0" w:space="0" w:color="auto"/>
                                    <w:left w:val="none" w:sz="0" w:space="0" w:color="auto"/>
                                    <w:bottom w:val="none" w:sz="0" w:space="0" w:color="auto"/>
                                    <w:right w:val="none" w:sz="0" w:space="0" w:color="auto"/>
                                  </w:divBdr>
                                  <w:divsChild>
                                    <w:div w:id="191269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0599821">
      <w:bodyDiv w:val="1"/>
      <w:marLeft w:val="0"/>
      <w:marRight w:val="0"/>
      <w:marTop w:val="0"/>
      <w:marBottom w:val="0"/>
      <w:divBdr>
        <w:top w:val="none" w:sz="0" w:space="0" w:color="auto"/>
        <w:left w:val="none" w:sz="0" w:space="0" w:color="auto"/>
        <w:bottom w:val="none" w:sz="0" w:space="0" w:color="auto"/>
        <w:right w:val="none" w:sz="0" w:space="0" w:color="auto"/>
      </w:divBdr>
      <w:divsChild>
        <w:div w:id="974598966">
          <w:marLeft w:val="0"/>
          <w:marRight w:val="0"/>
          <w:marTop w:val="0"/>
          <w:marBottom w:val="0"/>
          <w:divBdr>
            <w:top w:val="none" w:sz="0" w:space="0" w:color="auto"/>
            <w:left w:val="none" w:sz="0" w:space="0" w:color="auto"/>
            <w:bottom w:val="none" w:sz="0" w:space="0" w:color="auto"/>
            <w:right w:val="none" w:sz="0" w:space="0" w:color="auto"/>
          </w:divBdr>
          <w:divsChild>
            <w:div w:id="1171481148">
              <w:marLeft w:val="0"/>
              <w:marRight w:val="0"/>
              <w:marTop w:val="0"/>
              <w:marBottom w:val="0"/>
              <w:divBdr>
                <w:top w:val="none" w:sz="0" w:space="0" w:color="auto"/>
                <w:left w:val="none" w:sz="0" w:space="0" w:color="auto"/>
                <w:bottom w:val="none" w:sz="0" w:space="0" w:color="auto"/>
                <w:right w:val="none" w:sz="0" w:space="0" w:color="auto"/>
              </w:divBdr>
              <w:divsChild>
                <w:div w:id="1691759568">
                  <w:marLeft w:val="0"/>
                  <w:marRight w:val="0"/>
                  <w:marTop w:val="0"/>
                  <w:marBottom w:val="0"/>
                  <w:divBdr>
                    <w:top w:val="none" w:sz="0" w:space="0" w:color="auto"/>
                    <w:left w:val="none" w:sz="0" w:space="0" w:color="auto"/>
                    <w:bottom w:val="none" w:sz="0" w:space="0" w:color="auto"/>
                    <w:right w:val="none" w:sz="0" w:space="0" w:color="auto"/>
                  </w:divBdr>
                  <w:divsChild>
                    <w:div w:id="1896623066">
                      <w:marLeft w:val="0"/>
                      <w:marRight w:val="0"/>
                      <w:marTop w:val="0"/>
                      <w:marBottom w:val="0"/>
                      <w:divBdr>
                        <w:top w:val="none" w:sz="0" w:space="0" w:color="auto"/>
                        <w:left w:val="none" w:sz="0" w:space="0" w:color="auto"/>
                        <w:bottom w:val="none" w:sz="0" w:space="0" w:color="auto"/>
                        <w:right w:val="none" w:sz="0" w:space="0" w:color="auto"/>
                      </w:divBdr>
                      <w:divsChild>
                        <w:div w:id="199898582">
                          <w:marLeft w:val="0"/>
                          <w:marRight w:val="0"/>
                          <w:marTop w:val="0"/>
                          <w:marBottom w:val="0"/>
                          <w:divBdr>
                            <w:top w:val="none" w:sz="0" w:space="0" w:color="auto"/>
                            <w:left w:val="none" w:sz="0" w:space="0" w:color="auto"/>
                            <w:bottom w:val="none" w:sz="0" w:space="0" w:color="auto"/>
                            <w:right w:val="none" w:sz="0" w:space="0" w:color="auto"/>
                          </w:divBdr>
                          <w:divsChild>
                            <w:div w:id="331374132">
                              <w:marLeft w:val="0"/>
                              <w:marRight w:val="0"/>
                              <w:marTop w:val="0"/>
                              <w:marBottom w:val="0"/>
                              <w:divBdr>
                                <w:top w:val="none" w:sz="0" w:space="0" w:color="auto"/>
                                <w:left w:val="none" w:sz="0" w:space="0" w:color="auto"/>
                                <w:bottom w:val="none" w:sz="0" w:space="0" w:color="auto"/>
                                <w:right w:val="none" w:sz="0" w:space="0" w:color="auto"/>
                              </w:divBdr>
                              <w:divsChild>
                                <w:div w:id="429475749">
                                  <w:marLeft w:val="0"/>
                                  <w:marRight w:val="0"/>
                                  <w:marTop w:val="0"/>
                                  <w:marBottom w:val="0"/>
                                  <w:divBdr>
                                    <w:top w:val="none" w:sz="0" w:space="0" w:color="auto"/>
                                    <w:left w:val="none" w:sz="0" w:space="0" w:color="auto"/>
                                    <w:bottom w:val="none" w:sz="0" w:space="0" w:color="auto"/>
                                    <w:right w:val="none" w:sz="0" w:space="0" w:color="auto"/>
                                  </w:divBdr>
                                  <w:divsChild>
                                    <w:div w:id="211231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6073299">
      <w:bodyDiv w:val="1"/>
      <w:marLeft w:val="0"/>
      <w:marRight w:val="0"/>
      <w:marTop w:val="0"/>
      <w:marBottom w:val="0"/>
      <w:divBdr>
        <w:top w:val="none" w:sz="0" w:space="0" w:color="auto"/>
        <w:left w:val="none" w:sz="0" w:space="0" w:color="auto"/>
        <w:bottom w:val="none" w:sz="0" w:space="0" w:color="auto"/>
        <w:right w:val="none" w:sz="0" w:space="0" w:color="auto"/>
      </w:divBdr>
    </w:div>
    <w:div w:id="1350834636">
      <w:bodyDiv w:val="1"/>
      <w:marLeft w:val="0"/>
      <w:marRight w:val="0"/>
      <w:marTop w:val="0"/>
      <w:marBottom w:val="0"/>
      <w:divBdr>
        <w:top w:val="none" w:sz="0" w:space="0" w:color="auto"/>
        <w:left w:val="none" w:sz="0" w:space="0" w:color="auto"/>
        <w:bottom w:val="none" w:sz="0" w:space="0" w:color="auto"/>
        <w:right w:val="none" w:sz="0" w:space="0" w:color="auto"/>
      </w:divBdr>
      <w:divsChild>
        <w:div w:id="32123145">
          <w:marLeft w:val="0"/>
          <w:marRight w:val="0"/>
          <w:marTop w:val="0"/>
          <w:marBottom w:val="0"/>
          <w:divBdr>
            <w:top w:val="none" w:sz="0" w:space="0" w:color="auto"/>
            <w:left w:val="none" w:sz="0" w:space="0" w:color="auto"/>
            <w:bottom w:val="none" w:sz="0" w:space="0" w:color="auto"/>
            <w:right w:val="none" w:sz="0" w:space="0" w:color="auto"/>
          </w:divBdr>
          <w:divsChild>
            <w:div w:id="932474674">
              <w:marLeft w:val="0"/>
              <w:marRight w:val="0"/>
              <w:marTop w:val="0"/>
              <w:marBottom w:val="0"/>
              <w:divBdr>
                <w:top w:val="none" w:sz="0" w:space="0" w:color="auto"/>
                <w:left w:val="none" w:sz="0" w:space="0" w:color="auto"/>
                <w:bottom w:val="none" w:sz="0" w:space="0" w:color="auto"/>
                <w:right w:val="none" w:sz="0" w:space="0" w:color="auto"/>
              </w:divBdr>
              <w:divsChild>
                <w:div w:id="1423645676">
                  <w:marLeft w:val="0"/>
                  <w:marRight w:val="0"/>
                  <w:marTop w:val="0"/>
                  <w:marBottom w:val="0"/>
                  <w:divBdr>
                    <w:top w:val="none" w:sz="0" w:space="0" w:color="auto"/>
                    <w:left w:val="none" w:sz="0" w:space="0" w:color="auto"/>
                    <w:bottom w:val="none" w:sz="0" w:space="0" w:color="auto"/>
                    <w:right w:val="none" w:sz="0" w:space="0" w:color="auto"/>
                  </w:divBdr>
                  <w:divsChild>
                    <w:div w:id="1889607948">
                      <w:marLeft w:val="0"/>
                      <w:marRight w:val="0"/>
                      <w:marTop w:val="0"/>
                      <w:marBottom w:val="0"/>
                      <w:divBdr>
                        <w:top w:val="none" w:sz="0" w:space="0" w:color="auto"/>
                        <w:left w:val="none" w:sz="0" w:space="0" w:color="auto"/>
                        <w:bottom w:val="none" w:sz="0" w:space="0" w:color="auto"/>
                        <w:right w:val="none" w:sz="0" w:space="0" w:color="auto"/>
                      </w:divBdr>
                      <w:divsChild>
                        <w:div w:id="1544976028">
                          <w:marLeft w:val="0"/>
                          <w:marRight w:val="0"/>
                          <w:marTop w:val="0"/>
                          <w:marBottom w:val="0"/>
                          <w:divBdr>
                            <w:top w:val="none" w:sz="0" w:space="0" w:color="auto"/>
                            <w:left w:val="none" w:sz="0" w:space="0" w:color="auto"/>
                            <w:bottom w:val="none" w:sz="0" w:space="0" w:color="auto"/>
                            <w:right w:val="none" w:sz="0" w:space="0" w:color="auto"/>
                          </w:divBdr>
                          <w:divsChild>
                            <w:div w:id="59790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640262">
      <w:bodyDiv w:val="1"/>
      <w:marLeft w:val="0"/>
      <w:marRight w:val="0"/>
      <w:marTop w:val="0"/>
      <w:marBottom w:val="0"/>
      <w:divBdr>
        <w:top w:val="none" w:sz="0" w:space="0" w:color="auto"/>
        <w:left w:val="none" w:sz="0" w:space="0" w:color="auto"/>
        <w:bottom w:val="none" w:sz="0" w:space="0" w:color="auto"/>
        <w:right w:val="none" w:sz="0" w:space="0" w:color="auto"/>
      </w:divBdr>
    </w:div>
    <w:div w:id="1613168844">
      <w:bodyDiv w:val="1"/>
      <w:marLeft w:val="0"/>
      <w:marRight w:val="0"/>
      <w:marTop w:val="0"/>
      <w:marBottom w:val="0"/>
      <w:divBdr>
        <w:top w:val="none" w:sz="0" w:space="0" w:color="auto"/>
        <w:left w:val="none" w:sz="0" w:space="0" w:color="auto"/>
        <w:bottom w:val="none" w:sz="0" w:space="0" w:color="auto"/>
        <w:right w:val="none" w:sz="0" w:space="0" w:color="auto"/>
      </w:divBdr>
    </w:div>
    <w:div w:id="1676037290">
      <w:bodyDiv w:val="1"/>
      <w:marLeft w:val="0"/>
      <w:marRight w:val="0"/>
      <w:marTop w:val="0"/>
      <w:marBottom w:val="0"/>
      <w:divBdr>
        <w:top w:val="none" w:sz="0" w:space="0" w:color="auto"/>
        <w:left w:val="none" w:sz="0" w:space="0" w:color="auto"/>
        <w:bottom w:val="none" w:sz="0" w:space="0" w:color="auto"/>
        <w:right w:val="none" w:sz="0" w:space="0" w:color="auto"/>
      </w:divBdr>
    </w:div>
    <w:div w:id="1683970680">
      <w:bodyDiv w:val="1"/>
      <w:marLeft w:val="0"/>
      <w:marRight w:val="0"/>
      <w:marTop w:val="0"/>
      <w:marBottom w:val="0"/>
      <w:divBdr>
        <w:top w:val="none" w:sz="0" w:space="0" w:color="auto"/>
        <w:left w:val="none" w:sz="0" w:space="0" w:color="auto"/>
        <w:bottom w:val="none" w:sz="0" w:space="0" w:color="auto"/>
        <w:right w:val="none" w:sz="0" w:space="0" w:color="auto"/>
      </w:divBdr>
    </w:div>
    <w:div w:id="1811243913">
      <w:bodyDiv w:val="1"/>
      <w:marLeft w:val="0"/>
      <w:marRight w:val="0"/>
      <w:marTop w:val="0"/>
      <w:marBottom w:val="0"/>
      <w:divBdr>
        <w:top w:val="none" w:sz="0" w:space="0" w:color="auto"/>
        <w:left w:val="none" w:sz="0" w:space="0" w:color="auto"/>
        <w:bottom w:val="none" w:sz="0" w:space="0" w:color="auto"/>
        <w:right w:val="none" w:sz="0" w:space="0" w:color="auto"/>
      </w:divBdr>
    </w:div>
    <w:div w:id="1844978436">
      <w:bodyDiv w:val="1"/>
      <w:marLeft w:val="0"/>
      <w:marRight w:val="0"/>
      <w:marTop w:val="0"/>
      <w:marBottom w:val="0"/>
      <w:divBdr>
        <w:top w:val="none" w:sz="0" w:space="0" w:color="auto"/>
        <w:left w:val="none" w:sz="0" w:space="0" w:color="auto"/>
        <w:bottom w:val="none" w:sz="0" w:space="0" w:color="auto"/>
        <w:right w:val="none" w:sz="0" w:space="0" w:color="auto"/>
      </w:divBdr>
      <w:divsChild>
        <w:div w:id="1472745577">
          <w:marLeft w:val="0"/>
          <w:marRight w:val="0"/>
          <w:marTop w:val="0"/>
          <w:marBottom w:val="0"/>
          <w:divBdr>
            <w:top w:val="none" w:sz="0" w:space="0" w:color="auto"/>
            <w:left w:val="none" w:sz="0" w:space="0" w:color="auto"/>
            <w:bottom w:val="none" w:sz="0" w:space="0" w:color="auto"/>
            <w:right w:val="none" w:sz="0" w:space="0" w:color="auto"/>
          </w:divBdr>
          <w:divsChild>
            <w:div w:id="463735270">
              <w:marLeft w:val="0"/>
              <w:marRight w:val="0"/>
              <w:marTop w:val="0"/>
              <w:marBottom w:val="0"/>
              <w:divBdr>
                <w:top w:val="none" w:sz="0" w:space="0" w:color="auto"/>
                <w:left w:val="none" w:sz="0" w:space="0" w:color="auto"/>
                <w:bottom w:val="none" w:sz="0" w:space="0" w:color="auto"/>
                <w:right w:val="none" w:sz="0" w:space="0" w:color="auto"/>
              </w:divBdr>
              <w:divsChild>
                <w:div w:id="1808620024">
                  <w:marLeft w:val="0"/>
                  <w:marRight w:val="0"/>
                  <w:marTop w:val="0"/>
                  <w:marBottom w:val="0"/>
                  <w:divBdr>
                    <w:top w:val="none" w:sz="0" w:space="0" w:color="auto"/>
                    <w:left w:val="none" w:sz="0" w:space="0" w:color="auto"/>
                    <w:bottom w:val="none" w:sz="0" w:space="0" w:color="auto"/>
                    <w:right w:val="none" w:sz="0" w:space="0" w:color="auto"/>
                  </w:divBdr>
                  <w:divsChild>
                    <w:div w:id="1632250849">
                      <w:marLeft w:val="0"/>
                      <w:marRight w:val="0"/>
                      <w:marTop w:val="0"/>
                      <w:marBottom w:val="0"/>
                      <w:divBdr>
                        <w:top w:val="none" w:sz="0" w:space="0" w:color="auto"/>
                        <w:left w:val="none" w:sz="0" w:space="0" w:color="auto"/>
                        <w:bottom w:val="none" w:sz="0" w:space="0" w:color="auto"/>
                        <w:right w:val="none" w:sz="0" w:space="0" w:color="auto"/>
                      </w:divBdr>
                      <w:divsChild>
                        <w:div w:id="726689091">
                          <w:marLeft w:val="0"/>
                          <w:marRight w:val="0"/>
                          <w:marTop w:val="0"/>
                          <w:marBottom w:val="0"/>
                          <w:divBdr>
                            <w:top w:val="none" w:sz="0" w:space="0" w:color="auto"/>
                            <w:left w:val="none" w:sz="0" w:space="0" w:color="auto"/>
                            <w:bottom w:val="none" w:sz="0" w:space="0" w:color="auto"/>
                            <w:right w:val="none" w:sz="0" w:space="0" w:color="auto"/>
                          </w:divBdr>
                          <w:divsChild>
                            <w:div w:id="39073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966920">
      <w:bodyDiv w:val="1"/>
      <w:marLeft w:val="0"/>
      <w:marRight w:val="0"/>
      <w:marTop w:val="0"/>
      <w:marBottom w:val="0"/>
      <w:divBdr>
        <w:top w:val="none" w:sz="0" w:space="0" w:color="auto"/>
        <w:left w:val="none" w:sz="0" w:space="0" w:color="auto"/>
        <w:bottom w:val="none" w:sz="0" w:space="0" w:color="auto"/>
        <w:right w:val="none" w:sz="0" w:space="0" w:color="auto"/>
      </w:divBdr>
      <w:divsChild>
        <w:div w:id="290863605">
          <w:marLeft w:val="0"/>
          <w:marRight w:val="0"/>
          <w:marTop w:val="0"/>
          <w:marBottom w:val="0"/>
          <w:divBdr>
            <w:top w:val="none" w:sz="0" w:space="0" w:color="auto"/>
            <w:left w:val="none" w:sz="0" w:space="0" w:color="auto"/>
            <w:bottom w:val="none" w:sz="0" w:space="0" w:color="auto"/>
            <w:right w:val="none" w:sz="0" w:space="0" w:color="auto"/>
          </w:divBdr>
          <w:divsChild>
            <w:div w:id="2055888800">
              <w:marLeft w:val="0"/>
              <w:marRight w:val="0"/>
              <w:marTop w:val="0"/>
              <w:marBottom w:val="0"/>
              <w:divBdr>
                <w:top w:val="none" w:sz="0" w:space="0" w:color="auto"/>
                <w:left w:val="none" w:sz="0" w:space="0" w:color="auto"/>
                <w:bottom w:val="none" w:sz="0" w:space="0" w:color="auto"/>
                <w:right w:val="none" w:sz="0" w:space="0" w:color="auto"/>
              </w:divBdr>
              <w:divsChild>
                <w:div w:id="903104593">
                  <w:marLeft w:val="0"/>
                  <w:marRight w:val="0"/>
                  <w:marTop w:val="0"/>
                  <w:marBottom w:val="0"/>
                  <w:divBdr>
                    <w:top w:val="none" w:sz="0" w:space="0" w:color="auto"/>
                    <w:left w:val="none" w:sz="0" w:space="0" w:color="auto"/>
                    <w:bottom w:val="none" w:sz="0" w:space="0" w:color="auto"/>
                    <w:right w:val="none" w:sz="0" w:space="0" w:color="auto"/>
                  </w:divBdr>
                  <w:divsChild>
                    <w:div w:id="1924875016">
                      <w:marLeft w:val="0"/>
                      <w:marRight w:val="0"/>
                      <w:marTop w:val="0"/>
                      <w:marBottom w:val="0"/>
                      <w:divBdr>
                        <w:top w:val="none" w:sz="0" w:space="0" w:color="auto"/>
                        <w:left w:val="none" w:sz="0" w:space="0" w:color="auto"/>
                        <w:bottom w:val="none" w:sz="0" w:space="0" w:color="auto"/>
                        <w:right w:val="none" w:sz="0" w:space="0" w:color="auto"/>
                      </w:divBdr>
                      <w:divsChild>
                        <w:div w:id="889537223">
                          <w:marLeft w:val="0"/>
                          <w:marRight w:val="0"/>
                          <w:marTop w:val="0"/>
                          <w:marBottom w:val="0"/>
                          <w:divBdr>
                            <w:top w:val="none" w:sz="0" w:space="0" w:color="auto"/>
                            <w:left w:val="none" w:sz="0" w:space="0" w:color="auto"/>
                            <w:bottom w:val="none" w:sz="0" w:space="0" w:color="auto"/>
                            <w:right w:val="none" w:sz="0" w:space="0" w:color="auto"/>
                          </w:divBdr>
                          <w:divsChild>
                            <w:div w:id="2074110685">
                              <w:marLeft w:val="0"/>
                              <w:marRight w:val="0"/>
                              <w:marTop w:val="0"/>
                              <w:marBottom w:val="0"/>
                              <w:divBdr>
                                <w:top w:val="none" w:sz="0" w:space="0" w:color="auto"/>
                                <w:left w:val="none" w:sz="0" w:space="0" w:color="auto"/>
                                <w:bottom w:val="none" w:sz="0" w:space="0" w:color="auto"/>
                                <w:right w:val="none" w:sz="0" w:space="0" w:color="auto"/>
                              </w:divBdr>
                              <w:divsChild>
                                <w:div w:id="1438138946">
                                  <w:marLeft w:val="0"/>
                                  <w:marRight w:val="0"/>
                                  <w:marTop w:val="0"/>
                                  <w:marBottom w:val="0"/>
                                  <w:divBdr>
                                    <w:top w:val="none" w:sz="0" w:space="0" w:color="auto"/>
                                    <w:left w:val="none" w:sz="0" w:space="0" w:color="auto"/>
                                    <w:bottom w:val="none" w:sz="0" w:space="0" w:color="auto"/>
                                    <w:right w:val="none" w:sz="0" w:space="0" w:color="auto"/>
                                  </w:divBdr>
                                  <w:divsChild>
                                    <w:div w:id="38556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843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image" Target="media/image9.wmf"/><Relationship Id="rId42" Type="http://schemas.openxmlformats.org/officeDocument/2006/relationships/image" Target="media/image18.png"/><Relationship Id="rId47" Type="http://schemas.openxmlformats.org/officeDocument/2006/relationships/image" Target="media/image21.png"/><Relationship Id="rId63" Type="http://schemas.openxmlformats.org/officeDocument/2006/relationships/oleObject" Target="embeddings/oleObject30.bin"/><Relationship Id="rId68" Type="http://schemas.openxmlformats.org/officeDocument/2006/relationships/header" Target="header2.xml"/><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oleObject" Target="embeddings/oleObject11.bin"/><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oleObject" Target="embeddings/oleObject14.bin"/><Relationship Id="rId37" Type="http://schemas.openxmlformats.org/officeDocument/2006/relationships/image" Target="media/image15.wmf"/><Relationship Id="rId40" Type="http://schemas.openxmlformats.org/officeDocument/2006/relationships/oleObject" Target="embeddings/oleObject18.bin"/><Relationship Id="rId45" Type="http://schemas.openxmlformats.org/officeDocument/2006/relationships/image" Target="media/image20.wmf"/><Relationship Id="rId53" Type="http://schemas.openxmlformats.org/officeDocument/2006/relationships/image" Target="media/image23.png"/><Relationship Id="rId58" Type="http://schemas.openxmlformats.org/officeDocument/2006/relationships/oleObject" Target="embeddings/oleObject27.bin"/><Relationship Id="rId66" Type="http://schemas.openxmlformats.org/officeDocument/2006/relationships/image" Target="media/image29.png"/><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oleObject" Target="embeddings/oleObject29.bin"/><Relationship Id="rId19" Type="http://schemas.openxmlformats.org/officeDocument/2006/relationships/image" Target="media/image7.png"/><Relationship Id="rId14" Type="http://schemas.openxmlformats.org/officeDocument/2006/relationships/oleObject" Target="embeddings/oleObject4.bin"/><Relationship Id="rId22" Type="http://schemas.openxmlformats.org/officeDocument/2006/relationships/oleObject" Target="embeddings/oleObject7.bin"/><Relationship Id="rId27" Type="http://schemas.openxmlformats.org/officeDocument/2006/relationships/image" Target="media/image12.wmf"/><Relationship Id="rId30" Type="http://schemas.openxmlformats.org/officeDocument/2006/relationships/oleObject" Target="embeddings/oleObject12.bin"/><Relationship Id="rId35" Type="http://schemas.openxmlformats.org/officeDocument/2006/relationships/image" Target="media/image14.wmf"/><Relationship Id="rId43" Type="http://schemas.openxmlformats.org/officeDocument/2006/relationships/image" Target="media/image19.wmf"/><Relationship Id="rId48" Type="http://schemas.openxmlformats.org/officeDocument/2006/relationships/oleObject" Target="embeddings/oleObject21.bin"/><Relationship Id="rId56" Type="http://schemas.openxmlformats.org/officeDocument/2006/relationships/oleObject" Target="embeddings/oleObject26.bin"/><Relationship Id="rId64" Type="http://schemas.openxmlformats.org/officeDocument/2006/relationships/oleObject" Target="embeddings/oleObject31.bin"/><Relationship Id="rId69" Type="http://schemas.openxmlformats.org/officeDocument/2006/relationships/footer" Target="footer1.xml"/><Relationship Id="rId8" Type="http://schemas.openxmlformats.org/officeDocument/2006/relationships/oleObject" Target="embeddings/oleObject1.bin"/><Relationship Id="rId51" Type="http://schemas.openxmlformats.org/officeDocument/2006/relationships/oleObject" Target="embeddings/oleObject23.bin"/><Relationship Id="rId72"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1.wmf"/><Relationship Id="rId33" Type="http://schemas.openxmlformats.org/officeDocument/2006/relationships/image" Target="media/image13.wmf"/><Relationship Id="rId38" Type="http://schemas.openxmlformats.org/officeDocument/2006/relationships/oleObject" Target="embeddings/oleObject17.bin"/><Relationship Id="rId46" Type="http://schemas.openxmlformats.org/officeDocument/2006/relationships/oleObject" Target="embeddings/oleObject20.bin"/><Relationship Id="rId59" Type="http://schemas.openxmlformats.org/officeDocument/2006/relationships/image" Target="media/image26.png"/><Relationship Id="rId67" Type="http://schemas.openxmlformats.org/officeDocument/2006/relationships/header" Target="header1.xml"/><Relationship Id="rId20" Type="http://schemas.openxmlformats.org/officeDocument/2006/relationships/image" Target="media/image8.png"/><Relationship Id="rId41" Type="http://schemas.openxmlformats.org/officeDocument/2006/relationships/image" Target="media/image17.png"/><Relationship Id="rId54" Type="http://schemas.openxmlformats.org/officeDocument/2006/relationships/image" Target="media/image24.png"/><Relationship Id="rId62" Type="http://schemas.openxmlformats.org/officeDocument/2006/relationships/image" Target="media/image27.png"/><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10.wmf"/><Relationship Id="rId28" Type="http://schemas.openxmlformats.org/officeDocument/2006/relationships/oleObject" Target="embeddings/oleObject10.bin"/><Relationship Id="rId36" Type="http://schemas.openxmlformats.org/officeDocument/2006/relationships/oleObject" Target="embeddings/oleObject16.bin"/><Relationship Id="rId49" Type="http://schemas.openxmlformats.org/officeDocument/2006/relationships/oleObject" Target="embeddings/oleObject22.bin"/><Relationship Id="rId57" Type="http://schemas.openxmlformats.org/officeDocument/2006/relationships/image" Target="media/image25.png"/><Relationship Id="rId10" Type="http://schemas.openxmlformats.org/officeDocument/2006/relationships/oleObject" Target="embeddings/oleObject2.bin"/><Relationship Id="rId31" Type="http://schemas.openxmlformats.org/officeDocument/2006/relationships/oleObject" Target="embeddings/oleObject13.bin"/><Relationship Id="rId44" Type="http://schemas.openxmlformats.org/officeDocument/2006/relationships/oleObject" Target="embeddings/oleObject19.bin"/><Relationship Id="rId52" Type="http://schemas.openxmlformats.org/officeDocument/2006/relationships/oleObject" Target="embeddings/oleObject24.bin"/><Relationship Id="rId60" Type="http://schemas.openxmlformats.org/officeDocument/2006/relationships/oleObject" Target="embeddings/oleObject28.bin"/><Relationship Id="rId65" Type="http://schemas.openxmlformats.org/officeDocument/2006/relationships/image" Target="media/image28.png"/><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6.wmf"/><Relationship Id="rId34" Type="http://schemas.openxmlformats.org/officeDocument/2006/relationships/oleObject" Target="embeddings/oleObject15.bin"/><Relationship Id="rId50" Type="http://schemas.openxmlformats.org/officeDocument/2006/relationships/image" Target="media/image22.png"/><Relationship Id="rId55" Type="http://schemas.openxmlformats.org/officeDocument/2006/relationships/oleObject" Target="embeddings/oleObject25.bin"/><Relationship Id="rId7" Type="http://schemas.openxmlformats.org/officeDocument/2006/relationships/image" Target="media/image1.wmf"/><Relationship Id="rId71"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AFFB5-9ADB-4332-80F2-5C1B818C8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1951</TotalTime>
  <Pages>13</Pages>
  <Words>2349</Words>
  <Characters>13394</Characters>
  <Application>Microsoft Office Word</Application>
  <DocSecurity>0</DocSecurity>
  <Lines>111</Lines>
  <Paragraphs>31</Paragraphs>
  <ScaleCrop>false</ScaleCrop>
  <Company/>
  <LinksUpToDate>false</LinksUpToDate>
  <CharactersWithSpaces>15712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2710439912@qq.com</cp:lastModifiedBy>
  <cp:revision>52</cp:revision>
  <dcterms:created xsi:type="dcterms:W3CDTF">2026-08-16T06:22:00Z</dcterms:created>
  <dcterms:modified xsi:type="dcterms:W3CDTF">2026-08-25T11:49:00Z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