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8A792E" w14:textId="3567EDDF" w:rsidR="00A06642" w:rsidRPr="00CD160D" w:rsidRDefault="00000000">
      <w:pPr>
        <w:rPr>
          <w:b/>
          <w:bCs/>
        </w:rPr>
      </w:pPr>
      <w:r w:rsidRPr="00CD160D">
        <w:rPr>
          <w:b/>
          <w:bCs/>
        </w:rPr>
        <w:t>Supplementary Material</w:t>
      </w:r>
    </w:p>
    <w:p w14:paraId="7D57A097" w14:textId="77777777" w:rsidR="00A06642" w:rsidRDefault="00A06642"/>
    <w:p w14:paraId="25B8BA9E" w14:textId="77777777" w:rsidR="00A06642" w:rsidRDefault="00000000">
      <w:pPr>
        <w:pStyle w:val="1"/>
      </w:pPr>
      <w:r>
        <w:t>S1. Model parameters</w:t>
      </w:r>
    </w:p>
    <w:p w14:paraId="3ADBF952" w14:textId="77777777" w:rsidR="00A06642" w:rsidRDefault="00A06642"/>
    <w:p w14:paraId="23F881ED" w14:textId="77777777" w:rsidR="00A06642" w:rsidRDefault="00000000">
      <w:pPr>
        <w:pStyle w:val="21"/>
      </w:pPr>
      <w:r>
        <w:t>S1.1 Weather forcing</w:t>
      </w:r>
    </w:p>
    <w:p w14:paraId="0F9D3159" w14:textId="77777777" w:rsidR="00A06642" w:rsidRDefault="00000000">
      <w:r>
        <w:t>- Domain: 10 square grid cells covering Guangzhou.</w:t>
      </w:r>
    </w:p>
    <w:p w14:paraId="1C7AEB6A" w14:textId="77777777" w:rsidR="00A06642" w:rsidRDefault="00000000">
      <w:r>
        <w:t>- Simulation span: 416 weeks (2015 to 2022).</w:t>
      </w:r>
    </w:p>
    <w:p w14:paraId="32A6114F" w14:textId="77777777" w:rsidR="00A06642" w:rsidRDefault="00000000">
      <w:r>
        <w:t>- Temperature: mean annual 22.4 °C, seasonal amplitude 7.1 °C, cosine annual cycle with AR(1) diurnal noise (sigma = 1.4 °C).</w:t>
      </w:r>
    </w:p>
    <w:p w14:paraId="27F2C856" w14:textId="77777777" w:rsidR="00A06642" w:rsidRDefault="00000000">
      <w:r>
        <w:t>- Precipitation: monsoon-weighted wet-day probability (peak in boreal summer), Gamma-distributed daily amounts.</w:t>
      </w:r>
    </w:p>
    <w:p w14:paraId="27FC4D68" w14:textId="77777777" w:rsidR="00A06642" w:rsidRDefault="00000000">
      <w:r>
        <w:t>- Extreme precipitation events (EPE): 3 events per year, each 1 to 3 days, 90 to 135 mm/day, confined to May to September; 25 to 34 EPE days per grid across the 8 years.</w:t>
      </w:r>
    </w:p>
    <w:p w14:paraId="1532512C" w14:textId="77777777" w:rsidR="00A06642" w:rsidRDefault="00A06642"/>
    <w:p w14:paraId="4660B5EA" w14:textId="77777777" w:rsidR="00A06642" w:rsidRDefault="00000000">
      <w:pPr>
        <w:pStyle w:val="21"/>
      </w:pPr>
      <w:r>
        <w:t>S1.2 Culex PFI-X abundance model</w:t>
      </w:r>
    </w:p>
    <w:p w14:paraId="072F9CF1" w14:textId="77777777" w:rsidR="00A06642" w:rsidRDefault="00000000">
      <w:r>
        <w:t>- Development (Briere): lower threshold 9 °C, upper threshold 40 °C, coefficient a = 1.13 x 10^-4, normalised to a peak of 1.</w:t>
      </w:r>
    </w:p>
    <w:p w14:paraId="48A46F3D" w14:textId="77777777" w:rsidR="00A06642" w:rsidRDefault="00000000">
      <w:r>
        <w:t>- Survival (Gaussian): centre Tc = 27 °C, spread sigma = 7 °C, maximum Smax = 0.95.</w:t>
      </w:r>
    </w:p>
    <w:p w14:paraId="674C5F02" w14:textId="77777777" w:rsidR="00A06642" w:rsidRDefault="00000000">
      <w:r>
        <w:t>- Baseline rainfall term: f_R = 1 + 2.5(1 - exp(-(R - 5)/15)), where R is weekly rainfall in mm.</w:t>
      </w:r>
    </w:p>
    <w:p w14:paraId="77E5C67C" w14:textId="77777777" w:rsidR="00A06642" w:rsidRDefault="00000000">
      <w:r>
        <w:t>- Habitat: 0.6 + 0.4 x (R / 90th percentile of R), clipped to 0 to 1.2.</w:t>
      </w:r>
    </w:p>
    <w:p w14:paraId="44FC7F6E" w14:textId="77777777" w:rsidR="00A06642" w:rsidRDefault="00000000">
      <w:r>
        <w:t>- Flushing factor: flush = 1 - 0.6 x I(EPE).</w:t>
      </w:r>
    </w:p>
    <w:p w14:paraId="25B16685" w14:textId="77777777" w:rsidR="00A06642" w:rsidRDefault="00000000">
      <w:r>
        <w:t>- Rebound: rebound_t = 1 + 0.5 x sum_{s in EPE weeks within 3 weeks} exp(-(t - s)/1.4).</w:t>
      </w:r>
    </w:p>
    <w:p w14:paraId="21B6C1B4" w14:textId="77777777" w:rsidR="00A06642" w:rsidRDefault="00000000">
      <w:r>
        <w:t>- PFI-X reduces exactly to the standard Potential Fecundity Index when no extreme event occurs.</w:t>
      </w:r>
    </w:p>
    <w:p w14:paraId="7B31D181" w14:textId="77777777" w:rsidR="00A06642" w:rsidRDefault="00A06642"/>
    <w:p w14:paraId="413F4E21" w14:textId="77777777" w:rsidR="00A06642" w:rsidRDefault="00000000">
      <w:pPr>
        <w:pStyle w:val="21"/>
      </w:pPr>
      <w:r>
        <w:t>S1.3 Three-host SEIR transmission</w:t>
      </w:r>
    </w:p>
    <w:p w14:paraId="34A52307" w14:textId="77777777" w:rsidR="00A06642" w:rsidRDefault="00000000">
      <w:r>
        <w:t>- Host populations: mosquito (S, E, I), pig (S, E, I), human (S, E, I, R).</w:t>
      </w:r>
    </w:p>
    <w:p w14:paraId="3E3D919E" w14:textId="77777777" w:rsidR="00A06642" w:rsidRDefault="00000000">
      <w:r>
        <w:t>- Human population H = 100,000; pig population P = 1500 x (0.5 + vuln); initial mosquito emergence em0 = 600.</w:t>
      </w:r>
    </w:p>
    <w:p w14:paraId="5B083E94" w14:textId="77777777" w:rsidR="00A06642" w:rsidRDefault="00000000">
      <w:r>
        <w:t>- Adult mosquito mortality muM = 0.30 per week.</w:t>
      </w:r>
    </w:p>
    <w:p w14:paraId="665587FC" w14:textId="77777777" w:rsidR="00A06642" w:rsidRDefault="00000000">
      <w:r>
        <w:lastRenderedPageBreak/>
        <w:t>- Transmission scalars: host to mosquito psi = 0.25; mosquito to human phi_h = 0.10; mosquito to pig phi_p = 0.22.</w:t>
      </w:r>
    </w:p>
    <w:p w14:paraId="7A4EAEAD" w14:textId="77777777" w:rsidR="00A06642" w:rsidRDefault="00000000">
      <w:r>
        <w:t>- Vaccine coverage per grid: clip(0.65 - 0.45 x vuln, 0.05, 0.95).</w:t>
      </w:r>
    </w:p>
    <w:p w14:paraId="379024C6" w14:textId="77777777" w:rsidR="00A06642" w:rsidRDefault="00000000">
      <w:r>
        <w:t>- Extrinsic incubation period: EIP = max(1, 2 / rT) weeks, where rT is the Briere development rate.</w:t>
      </w:r>
    </w:p>
    <w:p w14:paraId="2FDF986C" w14:textId="77777777" w:rsidR="00A06642" w:rsidRDefault="00000000">
      <w:r>
        <w:t>- Weekly importation pressure seeds the pig population (import_p = 0.004 x P).</w:t>
      </w:r>
    </w:p>
    <w:p w14:paraId="2FE72E91" w14:textId="77777777" w:rsidR="00A06642" w:rsidRDefault="00A06642"/>
    <w:p w14:paraId="52F24784" w14:textId="77777777" w:rsidR="00A06642" w:rsidRDefault="00000000">
      <w:pPr>
        <w:pStyle w:val="21"/>
      </w:pPr>
      <w:r>
        <w:t>S1.4 Vulnerability index</w:t>
      </w:r>
    </w:p>
    <w:p w14:paraId="33AE80CD" w14:textId="77777777" w:rsidR="00A06642" w:rsidRDefault="00000000">
      <w:r>
        <w:t>- Built from proxies: pig-keeping intensity, poor drainage or impervious surface, population mobility, and limited care access.</w:t>
      </w:r>
    </w:p>
    <w:p w14:paraId="488FF6E3" w14:textId="77777777" w:rsidR="00A06642" w:rsidRDefault="00000000">
      <w:r>
        <w:t>- Standardised to run from 0.06 to 1.00 across the 10 grids.</w:t>
      </w:r>
    </w:p>
    <w:p w14:paraId="55FF4811" w14:textId="77777777" w:rsidR="00A06642" w:rsidRDefault="00000000">
      <w:r>
        <w:t>- Attack rates are pooled into five equal quintiles ordered by vulnerability (Q1 = least vulnerable, Q5 = most vulnerable).</w:t>
      </w:r>
    </w:p>
    <w:p w14:paraId="3D7C99B4" w14:textId="77777777" w:rsidR="00A06642" w:rsidRDefault="00A06642"/>
    <w:p w14:paraId="70216CF3" w14:textId="77777777" w:rsidR="00A06642" w:rsidRDefault="00000000">
      <w:pPr>
        <w:pStyle w:val="1"/>
      </w:pPr>
      <w:r>
        <w:t>S2. Distributed-lag results (full)</w:t>
      </w:r>
    </w:p>
    <w:p w14:paraId="4D5D88F5" w14:textId="77777777" w:rsidR="00A06642" w:rsidRDefault="00A06642"/>
    <w:p w14:paraId="185C0163" w14:textId="77777777" w:rsidR="00A06642" w:rsidRDefault="00000000">
      <w:r>
        <w:t>Season-partialled distributed-lag coefficients (mean +/- SD across the 10 grids) for three regressions: the event anomaly D (event index minus smooth index), the full event index, and the smooth no-event control. The smooth control shows a strong positive lag-0 association (the seasonal confounder), because the injected events fall in the high-Culex summer. The dip-and-rebound signature is visible only after subtracting the smooth baseline (anomaly D).</w:t>
      </w:r>
    </w:p>
    <w:p w14:paraId="1CADF966" w14:textId="77777777" w:rsidR="00A06642" w:rsidRDefault="00A06642"/>
    <w:p w14:paraId="59458E01" w14:textId="77777777" w:rsidR="00A06642" w:rsidRDefault="00000000">
      <w:r>
        <w:t>Table S1. Distributed-lag coefficients by lag (mean +/- SD).</w:t>
      </w:r>
    </w:p>
    <w:p w14:paraId="5C658EEF" w14:textId="77777777" w:rsidR="00A06642" w:rsidRDefault="00A06642"/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06642" w14:paraId="5E4ED938" w14:textId="77777777" w:rsidTr="00A066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F29471C" w14:textId="77777777" w:rsidR="00A06642" w:rsidRDefault="00000000">
            <w:r>
              <w:t>Lag (weeks)</w:t>
            </w:r>
          </w:p>
        </w:tc>
        <w:tc>
          <w:tcPr>
            <w:tcW w:w="2160" w:type="dxa"/>
          </w:tcPr>
          <w:p w14:paraId="2D99C04F" w14:textId="77777777" w:rsidR="00A0664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anomaly D</w:t>
            </w:r>
          </w:p>
        </w:tc>
        <w:tc>
          <w:tcPr>
            <w:tcW w:w="2160" w:type="dxa"/>
          </w:tcPr>
          <w:p w14:paraId="7E7366F2" w14:textId="77777777" w:rsidR="00A0664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Full event index</w:t>
            </w:r>
          </w:p>
        </w:tc>
        <w:tc>
          <w:tcPr>
            <w:tcW w:w="2160" w:type="dxa"/>
          </w:tcPr>
          <w:p w14:paraId="2C41405C" w14:textId="77777777" w:rsidR="00A0664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Smooth no-event control</w:t>
            </w:r>
          </w:p>
        </w:tc>
      </w:tr>
      <w:tr w:rsidR="00A06642" w14:paraId="304C8892" w14:textId="77777777" w:rsidTr="00A06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1F02458" w14:textId="77777777" w:rsidR="00A06642" w:rsidRDefault="00000000">
            <w:r>
              <w:t>0</w:t>
            </w:r>
          </w:p>
        </w:tc>
        <w:tc>
          <w:tcPr>
            <w:tcW w:w="2160" w:type="dxa"/>
          </w:tcPr>
          <w:p w14:paraId="44AF0621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-1.74 +/- 0.04</w:t>
            </w:r>
          </w:p>
        </w:tc>
        <w:tc>
          <w:tcPr>
            <w:tcW w:w="2160" w:type="dxa"/>
          </w:tcPr>
          <w:p w14:paraId="098B08BE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+0.81 +/- 0.04</w:t>
            </w:r>
          </w:p>
        </w:tc>
        <w:tc>
          <w:tcPr>
            <w:tcW w:w="2160" w:type="dxa"/>
          </w:tcPr>
          <w:p w14:paraId="35DB11F4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+2.66 +/- 0.07</w:t>
            </w:r>
          </w:p>
        </w:tc>
      </w:tr>
      <w:tr w:rsidR="00A06642" w14:paraId="4010C252" w14:textId="77777777" w:rsidTr="00A066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3201518" w14:textId="77777777" w:rsidR="00A06642" w:rsidRDefault="00000000">
            <w:r>
              <w:t>1</w:t>
            </w:r>
          </w:p>
        </w:tc>
        <w:tc>
          <w:tcPr>
            <w:tcW w:w="2160" w:type="dxa"/>
          </w:tcPr>
          <w:p w14:paraId="00D5FB36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-0.01 +/- 0.12</w:t>
            </w:r>
          </w:p>
        </w:tc>
        <w:tc>
          <w:tcPr>
            <w:tcW w:w="2160" w:type="dxa"/>
          </w:tcPr>
          <w:p w14:paraId="2C12F0A8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+1.52 +/- 0.18</w:t>
            </w:r>
          </w:p>
        </w:tc>
        <w:tc>
          <w:tcPr>
            <w:tcW w:w="2160" w:type="dxa"/>
          </w:tcPr>
          <w:p w14:paraId="6DA723AE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+1.40 +/- 0.16</w:t>
            </w:r>
          </w:p>
        </w:tc>
      </w:tr>
      <w:tr w:rsidR="00A06642" w14:paraId="7B15CE9C" w14:textId="77777777" w:rsidTr="00A06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DFBA438" w14:textId="77777777" w:rsidR="00A06642" w:rsidRDefault="00000000">
            <w:r>
              <w:t>2</w:t>
            </w:r>
          </w:p>
        </w:tc>
        <w:tc>
          <w:tcPr>
            <w:tcW w:w="2160" w:type="dxa"/>
          </w:tcPr>
          <w:p w14:paraId="19D7EFC8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+0.26 +/- 0.10</w:t>
            </w:r>
          </w:p>
        </w:tc>
        <w:tc>
          <w:tcPr>
            <w:tcW w:w="2160" w:type="dxa"/>
          </w:tcPr>
          <w:p w14:paraId="0C1693AA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+1.50 +/- 0.14</w:t>
            </w:r>
          </w:p>
        </w:tc>
        <w:tc>
          <w:tcPr>
            <w:tcW w:w="2160" w:type="dxa"/>
          </w:tcPr>
          <w:p w14:paraId="592BA996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+1.07 +/- 0.16</w:t>
            </w:r>
          </w:p>
        </w:tc>
      </w:tr>
      <w:tr w:rsidR="00A06642" w14:paraId="22CB2E21" w14:textId="77777777" w:rsidTr="00A066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EA41ED3" w14:textId="77777777" w:rsidR="00A06642" w:rsidRDefault="00000000">
            <w:r>
              <w:t>3</w:t>
            </w:r>
          </w:p>
        </w:tc>
        <w:tc>
          <w:tcPr>
            <w:tcW w:w="2160" w:type="dxa"/>
          </w:tcPr>
          <w:p w14:paraId="493F4A8F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+0.06 +/- 0.10</w:t>
            </w:r>
          </w:p>
        </w:tc>
        <w:tc>
          <w:tcPr>
            <w:tcW w:w="2160" w:type="dxa"/>
          </w:tcPr>
          <w:p w14:paraId="1C1C3BD9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+1.18 +/- 0.13</w:t>
            </w:r>
          </w:p>
        </w:tc>
        <w:tc>
          <w:tcPr>
            <w:tcW w:w="2160" w:type="dxa"/>
          </w:tcPr>
          <w:p w14:paraId="0230BCE4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+1.01 +/- 0.17</w:t>
            </w:r>
          </w:p>
        </w:tc>
      </w:tr>
      <w:tr w:rsidR="00A06642" w14:paraId="366AE9C5" w14:textId="77777777" w:rsidTr="00A06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7B55D6A" w14:textId="77777777" w:rsidR="00A06642" w:rsidRDefault="00000000">
            <w:r>
              <w:t>4</w:t>
            </w:r>
          </w:p>
        </w:tc>
        <w:tc>
          <w:tcPr>
            <w:tcW w:w="2160" w:type="dxa"/>
          </w:tcPr>
          <w:p w14:paraId="33CD898B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-0.12 +/- 0.13</w:t>
            </w:r>
          </w:p>
        </w:tc>
        <w:tc>
          <w:tcPr>
            <w:tcW w:w="2160" w:type="dxa"/>
          </w:tcPr>
          <w:p w14:paraId="6F2271C2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+1.14 +/- 0.13</w:t>
            </w:r>
          </w:p>
        </w:tc>
        <w:tc>
          <w:tcPr>
            <w:tcW w:w="2160" w:type="dxa"/>
          </w:tcPr>
          <w:p w14:paraId="17731EA2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+1.16 +/- 0.13</w:t>
            </w:r>
          </w:p>
        </w:tc>
      </w:tr>
      <w:tr w:rsidR="00A06642" w14:paraId="2A7840FC" w14:textId="77777777" w:rsidTr="00A066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E96F7E5" w14:textId="77777777" w:rsidR="00A06642" w:rsidRDefault="00000000">
            <w:r>
              <w:t>5</w:t>
            </w:r>
          </w:p>
        </w:tc>
        <w:tc>
          <w:tcPr>
            <w:tcW w:w="2160" w:type="dxa"/>
          </w:tcPr>
          <w:p w14:paraId="40B0D10D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-0.00 +/- 0.11</w:t>
            </w:r>
          </w:p>
        </w:tc>
        <w:tc>
          <w:tcPr>
            <w:tcW w:w="2160" w:type="dxa"/>
          </w:tcPr>
          <w:p w14:paraId="5A50B6CA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+1.16 +/- 0.17</w:t>
            </w:r>
          </w:p>
        </w:tc>
        <w:tc>
          <w:tcPr>
            <w:tcW w:w="2160" w:type="dxa"/>
          </w:tcPr>
          <w:p w14:paraId="65813FC4" w14:textId="77777777" w:rsidR="00A06642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+1.06 +/- 0.21</w:t>
            </w:r>
          </w:p>
        </w:tc>
      </w:tr>
      <w:tr w:rsidR="00A06642" w14:paraId="2A8ED811" w14:textId="77777777" w:rsidTr="00A06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261C3E9" w14:textId="77777777" w:rsidR="00A06642" w:rsidRDefault="00000000">
            <w:r>
              <w:t>6</w:t>
            </w:r>
          </w:p>
        </w:tc>
        <w:tc>
          <w:tcPr>
            <w:tcW w:w="2160" w:type="dxa"/>
          </w:tcPr>
          <w:p w14:paraId="5BA59C9B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+0.02 +/- 0.12</w:t>
            </w:r>
          </w:p>
        </w:tc>
        <w:tc>
          <w:tcPr>
            <w:tcW w:w="2160" w:type="dxa"/>
          </w:tcPr>
          <w:p w14:paraId="7B75D3C7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+1.15 +/- 0.19</w:t>
            </w:r>
          </w:p>
        </w:tc>
        <w:tc>
          <w:tcPr>
            <w:tcW w:w="2160" w:type="dxa"/>
          </w:tcPr>
          <w:p w14:paraId="724A6197" w14:textId="77777777" w:rsidR="00A0664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+1.03 +/- 0.23</w:t>
            </w:r>
          </w:p>
        </w:tc>
      </w:tr>
    </w:tbl>
    <w:p w14:paraId="4503C18B" w14:textId="77777777" w:rsidR="00A06642" w:rsidRDefault="00A06642"/>
    <w:p w14:paraId="3C24C245" w14:textId="77777777" w:rsidR="00A06642" w:rsidRDefault="00000000">
      <w:pPr>
        <w:pStyle w:val="1"/>
      </w:pPr>
      <w:r>
        <w:t>S3. Sensitivity analysis</w:t>
      </w:r>
    </w:p>
    <w:p w14:paraId="693DA38F" w14:textId="77777777" w:rsidR="00A06642" w:rsidRDefault="00000000">
      <w:r>
        <w:t>Latin-hypercube sampling over the flushing depth, rebound magnitude, and the three transmission scalars (psi, phi_h, phi_p) confirmed that the qualitative conclusions (the dip-then-rebound signature, the 5.7-fold equity gradient, and incidence tracking the rebound) remained stable across the sampled range. The structural results reported in the main text sit at the literature-calibrated central point.</w:t>
      </w:r>
    </w:p>
    <w:p w14:paraId="7CB8A4A0" w14:textId="77777777" w:rsidR="00A06642" w:rsidRDefault="00A06642"/>
    <w:p w14:paraId="52907BBF" w14:textId="77777777" w:rsidR="00A06642" w:rsidRDefault="00000000">
      <w:pPr>
        <w:pStyle w:val="1"/>
      </w:pPr>
      <w:r>
        <w:t>S4. Data availability</w:t>
      </w:r>
    </w:p>
    <w:p w14:paraId="0BE81E57" w14:textId="77777777" w:rsidR="00A06642" w:rsidRDefault="00000000">
      <w:r>
        <w:t>Weather forcing is synthetic and fully reproducible from je_sim_code.pdf. Real ERA5 reanalysis can be substituted without code changes. The generated results are provided in je_results.xlsx. The engine and all scripts are in the supplementary files of this submission.</w:t>
      </w:r>
    </w:p>
    <w:p w14:paraId="62E09BD0" w14:textId="77777777" w:rsidR="00A06642" w:rsidRDefault="00A06642"/>
    <w:p w14:paraId="5DC65AD8" w14:textId="77777777" w:rsidR="00A06642" w:rsidRDefault="00000000">
      <w:pPr>
        <w:pStyle w:val="1"/>
      </w:pPr>
      <w:r>
        <w:t>S5. Declarations</w:t>
      </w:r>
    </w:p>
    <w:p w14:paraId="1D97F9F8" w14:textId="77777777" w:rsidR="00A06642" w:rsidRDefault="00000000">
      <w:r>
        <w:t>Ethics approval and consent to participate: not applicable. Consent for publication: not applicable. Competing interests: none. Funding: no specific funding was received for this work. Authors' contributions: Tian-Yu Wang conceived and designed the study, built the simulation engine, performed the analysis, interpreted the results, and wrote the manuscript.</w:t>
      </w:r>
    </w:p>
    <w:p w14:paraId="6A5D6F57" w14:textId="77777777" w:rsidR="00A06642" w:rsidRDefault="00A06642"/>
    <w:sectPr w:rsidR="00A0664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7247670">
    <w:abstractNumId w:val="8"/>
  </w:num>
  <w:num w:numId="2" w16cid:durableId="767577853">
    <w:abstractNumId w:val="6"/>
  </w:num>
  <w:num w:numId="3" w16cid:durableId="1767454514">
    <w:abstractNumId w:val="5"/>
  </w:num>
  <w:num w:numId="4" w16cid:durableId="2020353239">
    <w:abstractNumId w:val="4"/>
  </w:num>
  <w:num w:numId="5" w16cid:durableId="1038162017">
    <w:abstractNumId w:val="7"/>
  </w:num>
  <w:num w:numId="6" w16cid:durableId="1486824477">
    <w:abstractNumId w:val="3"/>
  </w:num>
  <w:num w:numId="7" w16cid:durableId="590819947">
    <w:abstractNumId w:val="2"/>
  </w:num>
  <w:num w:numId="8" w16cid:durableId="864948255">
    <w:abstractNumId w:val="1"/>
  </w:num>
  <w:num w:numId="9" w16cid:durableId="18751483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21B2"/>
    <w:rsid w:val="00A06642"/>
    <w:rsid w:val="00AA1D8D"/>
    <w:rsid w:val="00B47730"/>
    <w:rsid w:val="00CB0664"/>
    <w:rsid w:val="00CD16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00F3D1"/>
  <w14:defaultImageDpi w14:val="300"/>
  <w15:docId w15:val="{AB7D5AD4-8805-0E40-B41D-9B800B2C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TianYu Wang</cp:lastModifiedBy>
  <cp:revision>2</cp:revision>
  <dcterms:created xsi:type="dcterms:W3CDTF">2013-12-23T23:15:00Z</dcterms:created>
  <dcterms:modified xsi:type="dcterms:W3CDTF">2026-08-21T13:43:00Z</dcterms:modified>
  <cp:category/>
</cp:coreProperties>
</file>