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7903DC" w14:textId="77777777" w:rsidR="00B77F6E" w:rsidRPr="00D957D5" w:rsidRDefault="00B77F6E" w:rsidP="00B77F6E">
      <w:pPr>
        <w:rPr>
          <w:rFonts w:ascii="Times New Roman" w:hAnsi="Times New Roman" w:cs="Times New Roman"/>
          <w:b/>
          <w:bCs/>
          <w:sz w:val="32"/>
          <w:szCs w:val="32"/>
        </w:rPr>
      </w:pPr>
      <w:r w:rsidRPr="00D957D5">
        <w:rPr>
          <w:rFonts w:ascii="Times New Roman" w:hAnsi="Times New Roman" w:cs="Times New Roman"/>
          <w:b/>
          <w:bCs/>
          <w:sz w:val="32"/>
          <w:szCs w:val="32"/>
        </w:rPr>
        <w:t>Supplementary Materials</w:t>
      </w:r>
    </w:p>
    <w:p w14:paraId="4E4B5173" w14:textId="77777777" w:rsidR="00717787" w:rsidRPr="00301D6B" w:rsidRDefault="00717787" w:rsidP="00717787">
      <w:pPr>
        <w:rPr>
          <w:rStyle w:val="notion-enable-hover"/>
          <w:rFonts w:ascii="Times New Roman" w:hAnsi="Times New Roman" w:cs="Times New Roman"/>
          <w:b/>
          <w:bCs/>
          <w:color w:val="000000" w:themeColor="text1"/>
          <w:sz w:val="28"/>
          <w:szCs w:val="28"/>
        </w:rPr>
      </w:pPr>
      <w:r w:rsidRPr="00301D6B">
        <w:rPr>
          <w:rStyle w:val="notion-enable-hover"/>
          <w:rFonts w:ascii="Times New Roman" w:hAnsi="Times New Roman" w:cs="Times New Roman"/>
          <w:b/>
          <w:bCs/>
          <w:color w:val="000000" w:themeColor="text1"/>
          <w:sz w:val="28"/>
          <w:szCs w:val="28"/>
        </w:rPr>
        <w:t>Molecule encoding methods</w:t>
      </w:r>
    </w:p>
    <w:p w14:paraId="3A8093B3" w14:textId="77777777" w:rsidR="00717787" w:rsidRPr="00301D6B" w:rsidRDefault="00717787" w:rsidP="00717787">
      <w:pPr>
        <w:rPr>
          <w:rFonts w:ascii="Times New Roman" w:hAnsi="Times New Roman" w:cs="Times New Roman"/>
          <w:b/>
          <w:bCs/>
          <w:color w:val="000000" w:themeColor="text1"/>
        </w:rPr>
      </w:pPr>
      <w:r w:rsidRPr="00301D6B">
        <w:rPr>
          <w:rFonts w:ascii="Times New Roman" w:hAnsi="Times New Roman" w:cs="Times New Roman"/>
          <w:b/>
          <w:bCs/>
          <w:color w:val="000000" w:themeColor="text1"/>
        </w:rPr>
        <w:t>Extended-connectivity fingerprints (ECFPs)</w:t>
      </w:r>
    </w:p>
    <w:p w14:paraId="71AF1B95" w14:textId="77777777" w:rsidR="00717787" w:rsidRPr="00301D6B" w:rsidRDefault="00717787" w:rsidP="00717787">
      <w:pPr>
        <w:ind w:firstLineChars="100" w:firstLine="240"/>
        <w:jc w:val="both"/>
        <w:rPr>
          <w:rFonts w:ascii="Times New Roman" w:hAnsi="Times New Roman" w:cs="Times New Roman"/>
          <w:color w:val="000000" w:themeColor="text1"/>
        </w:rPr>
      </w:pPr>
      <w:r w:rsidRPr="00301D6B">
        <w:rPr>
          <w:rFonts w:ascii="Times New Roman" w:hAnsi="Times New Roman" w:cs="Times New Roman"/>
          <w:color w:val="000000" w:themeColor="text1"/>
        </w:rPr>
        <w:t xml:space="preserve">ECFPs </w:t>
      </w:r>
      <w:r w:rsidRPr="00301D6B">
        <w:rPr>
          <w:rFonts w:ascii="Times New Roman" w:hAnsi="Times New Roman" w:cs="Times New Roman"/>
          <w:color w:val="000000" w:themeColor="text1"/>
        </w:rPr>
        <w:fldChar w:fldCharType="begin"/>
      </w:r>
      <w:r>
        <w:rPr>
          <w:rFonts w:ascii="Times New Roman" w:hAnsi="Times New Roman" w:cs="Times New Roman"/>
          <w:color w:val="000000" w:themeColor="text1"/>
        </w:rPr>
        <w:instrText xml:space="preserve"> ADDIN EN.CITE &lt;EndNote&gt;&lt;Cite&gt;&lt;Author&gt;Rogers&lt;/Author&gt;&lt;Year&gt;2010&lt;/Year&gt;&lt;RecNum&gt;23&lt;/RecNum&gt;&lt;DisplayText&gt;[1]&lt;/DisplayText&gt;&lt;record&gt;&lt;rec-number&gt;23&lt;/rec-number&gt;&lt;foreign-keys&gt;&lt;key app="EN" db-id="r5s22w5rd0devle050v55zrfasde5xaxfzae" timestamp="1756433013"&gt;23&lt;/key&gt;&lt;/foreign-keys&gt;&lt;ref-type name="Journal Article"&gt;17&lt;/ref-type&gt;&lt;contributors&gt;&lt;authors&gt;&lt;author&gt;Rogers, David&lt;/author&gt;&lt;author&gt;Hahn, Mathew&lt;/author&gt;&lt;/authors&gt;&lt;/contributors&gt;&lt;titles&gt;&lt;title&gt;Extended-connectivity fingerprints&lt;/title&gt;&lt;secondary-title&gt;Journal of chemical information and modeling&lt;/secondary-title&gt;&lt;/titles&gt;&lt;periodical&gt;&lt;full-title&gt;Journal of chemical information and modeling&lt;/full-title&gt;&lt;/periodical&gt;&lt;pages&gt;742-754&lt;/pages&gt;&lt;volume&gt;50&lt;/volume&gt;&lt;number&gt;5&lt;/number&gt;&lt;dates&gt;&lt;year&gt;2010&lt;/year&gt;&lt;/dates&gt;&lt;isbn&gt;1549-9596&lt;/isbn&gt;&lt;urls&gt;&lt;/urls&gt;&lt;/record&gt;&lt;/Cite&gt;&lt;/EndNote&gt;</w:instrText>
      </w:r>
      <w:r w:rsidRPr="00301D6B">
        <w:rPr>
          <w:rFonts w:ascii="Times New Roman" w:hAnsi="Times New Roman" w:cs="Times New Roman"/>
          <w:color w:val="000000" w:themeColor="text1"/>
        </w:rPr>
        <w:fldChar w:fldCharType="separate"/>
      </w:r>
      <w:r>
        <w:rPr>
          <w:rFonts w:ascii="Times New Roman" w:hAnsi="Times New Roman" w:cs="Times New Roman"/>
          <w:noProof/>
          <w:color w:val="000000" w:themeColor="text1"/>
        </w:rPr>
        <w:t>[1]</w:t>
      </w:r>
      <w:r w:rsidRPr="00301D6B">
        <w:rPr>
          <w:rFonts w:ascii="Times New Roman" w:hAnsi="Times New Roman" w:cs="Times New Roman"/>
          <w:color w:val="000000" w:themeColor="text1"/>
        </w:rPr>
        <w:fldChar w:fldCharType="end"/>
      </w:r>
      <w:r w:rsidRPr="00301D6B">
        <w:rPr>
          <w:rFonts w:ascii="Times New Roman" w:hAnsi="Times New Roman" w:cs="Times New Roman"/>
          <w:color w:val="000000" w:themeColor="text1"/>
        </w:rPr>
        <w:t xml:space="preserve"> are circular topological fingerprints that represent molecular structures as a variable-length binary vector. Generated using the Morgan algorithm, ECFPs iteratively encode atomic environments and their connections, capturing detailed molecular features, including stereochemistry. ECFPs are highly flexible and are widely used in structure-activity relationship modeling, virtual screening, and compound library analysis. Their detailed nature makes them computationally intensive, and their high dimensionality can sometimes lead to overfitting in predictive models.</w:t>
      </w:r>
    </w:p>
    <w:p w14:paraId="65C20FFF" w14:textId="77777777" w:rsidR="00717787" w:rsidRPr="00301D6B" w:rsidRDefault="00717787" w:rsidP="00717787">
      <w:pPr>
        <w:jc w:val="both"/>
        <w:rPr>
          <w:rFonts w:ascii="Times New Roman" w:hAnsi="Times New Roman" w:cs="Times New Roman"/>
          <w:color w:val="000000" w:themeColor="text1"/>
          <w:sz w:val="20"/>
          <w:szCs w:val="20"/>
        </w:rPr>
      </w:pPr>
    </w:p>
    <w:p w14:paraId="60ECA6FD" w14:textId="77777777" w:rsidR="00717787" w:rsidRPr="00301D6B" w:rsidRDefault="00717787" w:rsidP="00717787">
      <w:pPr>
        <w:jc w:val="both"/>
        <w:rPr>
          <w:rFonts w:ascii="Times New Roman" w:hAnsi="Times New Roman" w:cs="Times New Roman"/>
          <w:b/>
          <w:bCs/>
        </w:rPr>
      </w:pPr>
      <w:r w:rsidRPr="00301D6B">
        <w:rPr>
          <w:rFonts w:ascii="Times New Roman" w:hAnsi="Times New Roman" w:cs="Times New Roman"/>
          <w:b/>
          <w:bCs/>
          <w:color w:val="000000" w:themeColor="text1"/>
        </w:rPr>
        <w:t>Functional-connectivity fingerprints (FCFP</w:t>
      </w:r>
      <w:r w:rsidRPr="00301D6B">
        <w:rPr>
          <w:rFonts w:ascii="Times New Roman" w:hAnsi="Times New Roman" w:cs="Times New Roman"/>
          <w:b/>
          <w:bCs/>
        </w:rPr>
        <w:t xml:space="preserve">s) </w:t>
      </w:r>
    </w:p>
    <w:p w14:paraId="71CF33B0" w14:textId="77777777" w:rsidR="00717787" w:rsidRPr="00301D6B" w:rsidRDefault="00717787" w:rsidP="00717787">
      <w:pPr>
        <w:ind w:firstLineChars="100" w:firstLine="240"/>
        <w:jc w:val="both"/>
        <w:rPr>
          <w:rFonts w:ascii="Times New Roman" w:hAnsi="Times New Roman" w:cs="Times New Roman"/>
        </w:rPr>
      </w:pPr>
      <w:r w:rsidRPr="00301D6B">
        <w:rPr>
          <w:rFonts w:ascii="Times New Roman" w:hAnsi="Times New Roman" w:cs="Times New Roman"/>
        </w:rPr>
        <w:t xml:space="preserve">FCFPs </w:t>
      </w:r>
      <w:r w:rsidRPr="00301D6B">
        <w:rPr>
          <w:rFonts w:ascii="Times New Roman" w:hAnsi="Times New Roman" w:cs="Times New Roman"/>
        </w:rPr>
        <w:fldChar w:fldCharType="begin"/>
      </w:r>
      <w:r>
        <w:rPr>
          <w:rFonts w:ascii="Times New Roman" w:hAnsi="Times New Roman" w:cs="Times New Roman"/>
        </w:rPr>
        <w:instrText xml:space="preserve"> ADDIN EN.CITE &lt;EndNote&gt;&lt;Cite&gt;&lt;Author&gt;Rogers&lt;/Author&gt;&lt;Year&gt;2010&lt;/Year&gt;&lt;RecNum&gt;23&lt;/RecNum&gt;&lt;DisplayText&gt;[1]&lt;/DisplayText&gt;&lt;record&gt;&lt;rec-number&gt;23&lt;/rec-number&gt;&lt;foreign-keys&gt;&lt;key app="EN" db-id="r5s22w5rd0devle050v55zrfasde5xaxfzae" timestamp="1756433013"&gt;23&lt;/key&gt;&lt;/foreign-keys&gt;&lt;ref-type name="Journal Article"&gt;17&lt;/ref-type&gt;&lt;contributors&gt;&lt;authors&gt;&lt;author&gt;Rogers, David&lt;/author&gt;&lt;author&gt;Hahn, Mathew&lt;/author&gt;&lt;/authors&gt;&lt;/contributors&gt;&lt;titles&gt;&lt;title&gt;Extended-connectivity fingerprints&lt;/title&gt;&lt;secondary-title&gt;Journal of chemical information and modeling&lt;/secondary-title&gt;&lt;/titles&gt;&lt;periodical&gt;&lt;full-title&gt;Journal of chemical information and modeling&lt;/full-title&gt;&lt;/periodical&gt;&lt;pages&gt;742-754&lt;/pages&gt;&lt;volume&gt;50&lt;/volume&gt;&lt;number&gt;5&lt;/number&gt;&lt;dates&gt;&lt;year&gt;2010&lt;/year&gt;&lt;/dates&gt;&lt;isbn&gt;1549-9596&lt;/isbn&gt;&lt;urls&gt;&lt;/urls&gt;&lt;/record&gt;&lt;/Cite&gt;&lt;/EndNote&gt;</w:instrText>
      </w:r>
      <w:r w:rsidRPr="00301D6B">
        <w:rPr>
          <w:rFonts w:ascii="Times New Roman" w:hAnsi="Times New Roman" w:cs="Times New Roman"/>
        </w:rPr>
        <w:fldChar w:fldCharType="separate"/>
      </w:r>
      <w:r>
        <w:rPr>
          <w:rFonts w:ascii="Times New Roman" w:hAnsi="Times New Roman" w:cs="Times New Roman"/>
          <w:noProof/>
        </w:rPr>
        <w:t>[1]</w:t>
      </w:r>
      <w:r w:rsidRPr="00301D6B">
        <w:rPr>
          <w:rFonts w:ascii="Times New Roman" w:hAnsi="Times New Roman" w:cs="Times New Roman"/>
        </w:rPr>
        <w:fldChar w:fldCharType="end"/>
      </w:r>
      <w:r w:rsidRPr="00301D6B">
        <w:rPr>
          <w:rFonts w:ascii="Times New Roman" w:hAnsi="Times New Roman" w:cs="Times New Roman"/>
        </w:rPr>
        <w:t xml:space="preserve"> are like ECFPs but specifically focus on encoding functional groups within molecules. Like ECFPs, FCFPs are generated using a circular topological approach, creating a variable-length binary vector that highlights functional group environments. This focus on functional groups enhances their utility in modeling biochemical activity and predicting molecular interactions. FCFPs share the advantages of ECFPs in ter</w:t>
      </w:r>
      <w:r w:rsidRPr="00301D6B">
        <w:rPr>
          <w:rFonts w:ascii="Times New Roman" w:hAnsi="Times New Roman" w:cs="Times New Roman"/>
          <w:color w:val="000000" w:themeColor="text1"/>
        </w:rPr>
        <w:t>ms of flexibility and detailed feature capture, but they also share similar computational demands and potential problems for h</w:t>
      </w:r>
      <w:r w:rsidRPr="00301D6B">
        <w:rPr>
          <w:rFonts w:ascii="Times New Roman" w:hAnsi="Times New Roman" w:cs="Times New Roman"/>
        </w:rPr>
        <w:t>igh dimensionality.</w:t>
      </w:r>
    </w:p>
    <w:p w14:paraId="34FEE9D7" w14:textId="77777777" w:rsidR="00717787" w:rsidRPr="00301D6B" w:rsidRDefault="00717787" w:rsidP="00717787">
      <w:pPr>
        <w:rPr>
          <w:rFonts w:ascii="Times New Roman" w:hAnsi="Times New Roman" w:cs="Times New Roman"/>
          <w:sz w:val="20"/>
          <w:szCs w:val="20"/>
        </w:rPr>
      </w:pPr>
    </w:p>
    <w:p w14:paraId="325D9D2C" w14:textId="77777777" w:rsidR="00717787" w:rsidRPr="00301D6B" w:rsidRDefault="00717787" w:rsidP="00717787">
      <w:pPr>
        <w:rPr>
          <w:rFonts w:ascii="Times New Roman" w:hAnsi="Times New Roman" w:cs="Times New Roman"/>
          <w:b/>
          <w:bCs/>
          <w:color w:val="000000" w:themeColor="text1"/>
        </w:rPr>
      </w:pPr>
      <w:r w:rsidRPr="00301D6B">
        <w:rPr>
          <w:rFonts w:ascii="Times New Roman" w:hAnsi="Times New Roman" w:cs="Times New Roman"/>
          <w:b/>
          <w:bCs/>
          <w:color w:val="000000" w:themeColor="text1"/>
        </w:rPr>
        <w:t xml:space="preserve">The international chemical identifier (InChI) </w:t>
      </w:r>
    </w:p>
    <w:p w14:paraId="4C636013" w14:textId="77777777" w:rsidR="00717787" w:rsidRPr="00301D6B" w:rsidRDefault="00717787" w:rsidP="00717787">
      <w:pPr>
        <w:ind w:firstLineChars="100" w:firstLine="240"/>
        <w:jc w:val="both"/>
        <w:rPr>
          <w:rFonts w:ascii="Times New Roman" w:hAnsi="Times New Roman" w:cs="Times New Roman"/>
          <w:color w:val="000000" w:themeColor="text1"/>
        </w:rPr>
      </w:pPr>
      <w:r w:rsidRPr="00301D6B">
        <w:rPr>
          <w:rFonts w:ascii="Times New Roman" w:hAnsi="Times New Roman" w:cs="Times New Roman"/>
          <w:color w:val="000000" w:themeColor="text1"/>
        </w:rPr>
        <w:t>The international chemical identifier (InC</w:t>
      </w:r>
      <w:r w:rsidRPr="00301D6B">
        <w:rPr>
          <w:rFonts w:ascii="Times New Roman" w:hAnsi="Times New Roman" w:cs="Times New Roman"/>
        </w:rPr>
        <w:t xml:space="preserve">hI) </w:t>
      </w:r>
      <w:r>
        <w:rPr>
          <w:rFonts w:ascii="Times New Roman" w:hAnsi="Times New Roman" w:cs="Times New Roman"/>
        </w:rPr>
        <w:fldChar w:fldCharType="begin"/>
      </w:r>
      <w:r>
        <w:rPr>
          <w:rFonts w:ascii="Times New Roman" w:hAnsi="Times New Roman" w:cs="Times New Roman"/>
        </w:rPr>
        <w:instrText xml:space="preserve"> ADDIN EN.CITE &lt;EndNote&gt;&lt;Cite&gt;&lt;Author&gt;Heller&lt;/Author&gt;&lt;Year&gt;2015&lt;/Year&gt;&lt;RecNum&gt;79&lt;/RecNum&gt;&lt;DisplayText&gt;[2]&lt;/DisplayText&gt;&lt;record&gt;&lt;rec-number&gt;79&lt;/rec-number&gt;&lt;foreign-keys&gt;&lt;key app="EN" db-id="r5s22w5rd0devle050v55zrfasde5xaxfzae" timestamp="1773760235"&gt;79&lt;/key&gt;&lt;/foreign-keys&gt;&lt;ref-type name="Journal Article"&gt;17&lt;/ref-type&gt;&lt;contributors&gt;&lt;authors&gt;&lt;author&gt;Heller, Stephen R&lt;/author&gt;&lt;author&gt;McNaught, Alan&lt;/author&gt;&lt;author&gt;Pletnev, Igor&lt;/author&gt;&lt;author&gt;Stein, Stephen&lt;/author&gt;&lt;author&gt;Tchekhovskoi, Dmitrii&lt;/author&gt;&lt;/authors&gt;&lt;/contributors&gt;&lt;titles&gt;&lt;title&gt;InChI, the IUPAC international chemical identifier&lt;/title&gt;&lt;secondary-title&gt;Journal of cheminformatics&lt;/secondary-title&gt;&lt;/titles&gt;&lt;periodical&gt;&lt;full-title&gt;Journal of cheminformatics&lt;/full-title&gt;&lt;/periodical&gt;&lt;pages&gt;23&lt;/pages&gt;&lt;volume&gt;7&lt;/volume&gt;&lt;number&gt;1&lt;/number&gt;&lt;dates&gt;&lt;year&gt;2015&lt;/year&gt;&lt;/dates&gt;&lt;isbn&gt;1758-2946&lt;/isbn&gt;&lt;urls&gt;&lt;/urls&gt;&lt;/record&gt;&lt;/Cite&gt;&lt;/EndNote&gt;</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t xml:space="preserve"> </w:t>
      </w:r>
      <w:r w:rsidRPr="00301D6B">
        <w:rPr>
          <w:rFonts w:ascii="Times New Roman" w:hAnsi="Times New Roman" w:cs="Times New Roman"/>
        </w:rPr>
        <w:t xml:space="preserve">is a textual encoding system designed to provide a unique and standardized identifier for chemical substances. Generated by a specific algorithm, InChI </w:t>
      </w:r>
      <w:r w:rsidRPr="00301D6B">
        <w:rPr>
          <w:rFonts w:ascii="Times New Roman" w:hAnsi="Times New Roman" w:cs="Times New Roman"/>
          <w:color w:val="000000" w:themeColor="text1"/>
        </w:rPr>
        <w:t>encodes molecular structures into a text string that uniquely represents the substance. InChI is</w:t>
      </w:r>
      <w:r w:rsidRPr="00301D6B">
        <w:rPr>
          <w:rFonts w:ascii="Times New Roman" w:hAnsi="Times New Roman" w:cs="Times New Roman"/>
          <w:color w:val="C00000"/>
        </w:rPr>
        <w:t xml:space="preserve"> </w:t>
      </w:r>
      <w:r w:rsidRPr="00301D6B">
        <w:rPr>
          <w:rFonts w:ascii="Times New Roman" w:hAnsi="Times New Roman" w:cs="Times New Roman"/>
        </w:rPr>
        <w:t xml:space="preserve">primarily used for the unique identification and retrieval of chemical substances in databases, ensuring consistency and interoperability across different platforms. </w:t>
      </w:r>
      <w:r w:rsidRPr="00301D6B">
        <w:rPr>
          <w:rFonts w:ascii="Times New Roman" w:hAnsi="Times New Roman" w:cs="Times New Roman"/>
          <w:color w:val="000000" w:themeColor="text1"/>
        </w:rPr>
        <w:t>However, InChI is unsuitable for similarity searching or structure-activity relationship modeling since it is not represented as binary or integer vectors that encode the presence or absence of certain structural features.</w:t>
      </w:r>
    </w:p>
    <w:p w14:paraId="1B69907F" w14:textId="77777777" w:rsidR="00717787" w:rsidRPr="00301D6B" w:rsidRDefault="00717787" w:rsidP="00717787">
      <w:pPr>
        <w:jc w:val="both"/>
        <w:rPr>
          <w:rFonts w:ascii="Times New Roman" w:hAnsi="Times New Roman" w:cs="Times New Roman"/>
        </w:rPr>
      </w:pPr>
    </w:p>
    <w:p w14:paraId="3BD91893" w14:textId="77777777" w:rsidR="00717787" w:rsidRPr="00301D6B" w:rsidRDefault="00717787" w:rsidP="00717787">
      <w:pPr>
        <w:jc w:val="both"/>
        <w:rPr>
          <w:rFonts w:ascii="Times New Roman" w:hAnsi="Times New Roman" w:cs="Times New Roman"/>
          <w:b/>
          <w:bCs/>
          <w:color w:val="000000" w:themeColor="text1"/>
        </w:rPr>
      </w:pPr>
      <w:r w:rsidRPr="00301D6B">
        <w:rPr>
          <w:rFonts w:ascii="Times New Roman" w:hAnsi="Times New Roman" w:cs="Times New Roman"/>
          <w:b/>
          <w:bCs/>
          <w:color w:val="000000" w:themeColor="text1"/>
        </w:rPr>
        <w:t xml:space="preserve">Molecular </w:t>
      </w:r>
      <w:proofErr w:type="spellStart"/>
      <w:r w:rsidRPr="00301D6B">
        <w:rPr>
          <w:rFonts w:ascii="Times New Roman" w:hAnsi="Times New Roman" w:cs="Times New Roman"/>
          <w:b/>
          <w:bCs/>
          <w:color w:val="000000" w:themeColor="text1"/>
        </w:rPr>
        <w:t>ACCess</w:t>
      </w:r>
      <w:proofErr w:type="spellEnd"/>
      <w:r w:rsidRPr="00301D6B">
        <w:rPr>
          <w:rFonts w:ascii="Times New Roman" w:hAnsi="Times New Roman" w:cs="Times New Roman"/>
          <w:b/>
          <w:bCs/>
          <w:color w:val="000000" w:themeColor="text1"/>
        </w:rPr>
        <w:t xml:space="preserve"> System Keys (MACCS Keys)</w:t>
      </w:r>
    </w:p>
    <w:p w14:paraId="1290A156" w14:textId="77777777" w:rsidR="00717787" w:rsidRPr="00301D6B" w:rsidRDefault="00717787" w:rsidP="00717787">
      <w:pPr>
        <w:ind w:firstLineChars="100" w:firstLine="240"/>
        <w:jc w:val="both"/>
        <w:rPr>
          <w:rFonts w:ascii="Times New Roman" w:hAnsi="Times New Roman" w:cs="Times New Roman"/>
        </w:rPr>
      </w:pPr>
      <w:r w:rsidRPr="00301D6B">
        <w:rPr>
          <w:rFonts w:ascii="Times New Roman" w:hAnsi="Times New Roman" w:cs="Times New Roman"/>
        </w:rPr>
        <w:t xml:space="preserve">MACCS Keys </w:t>
      </w:r>
      <w:r w:rsidRPr="00301D6B">
        <w:rPr>
          <w:rFonts w:ascii="Times New Roman" w:hAnsi="Times New Roman" w:cs="Times New Roman"/>
        </w:rPr>
        <w:fldChar w:fldCharType="begin"/>
      </w:r>
      <w:r>
        <w:rPr>
          <w:rFonts w:ascii="Times New Roman" w:hAnsi="Times New Roman" w:cs="Times New Roman"/>
        </w:rPr>
        <w:instrText xml:space="preserve"> ADDIN EN.CITE &lt;EndNote&gt;&lt;Cite&gt;&lt;Author&gt;Durant&lt;/Author&gt;&lt;Year&gt;2002&lt;/Year&gt;&lt;RecNum&gt;26&lt;/RecNum&gt;&lt;DisplayText&gt;[3]&lt;/DisplayText&gt;&lt;record&gt;&lt;rec-number&gt;26&lt;/rec-number&gt;&lt;foreign-keys&gt;&lt;key app="EN" db-id="r5s22w5rd0devle050v55zrfasde5xaxfzae" timestamp="1756433018"&gt;26&lt;/key&gt;&lt;/foreign-keys&gt;&lt;ref-type name="Journal Article"&gt;17&lt;/ref-type&gt;&lt;contributors&gt;&lt;authors&gt;&lt;author&gt;Durant, Joseph L&lt;/author&gt;&lt;author&gt;Leland, Burton A&lt;/author&gt;&lt;author&gt;Henry, Douglas R&lt;/author&gt;&lt;author&gt;Nourse, James G&lt;/author&gt;&lt;/authors&gt;&lt;/contributors&gt;&lt;titles&gt;&lt;title&gt;Reoptimization of MDL keys for use in drug discovery&lt;/title&gt;&lt;secondary-title&gt;Journal of chemical information and computer sciences&lt;/secondary-title&gt;&lt;/titles&gt;&lt;periodical&gt;&lt;full-title&gt;Journal of chemical information and computer sciences&lt;/full-title&gt;&lt;/periodical&gt;&lt;pages&gt;1273-1280&lt;/pages&gt;&lt;volume&gt;42&lt;/volume&gt;&lt;number&gt;6&lt;/number&gt;&lt;dates&gt;&lt;year&gt;2002&lt;/year&gt;&lt;/dates&gt;&lt;isbn&gt;0095-2338&lt;/isbn&gt;&lt;urls&gt;&lt;/urls&gt;&lt;/record&gt;&lt;/Cite&gt;&lt;/EndNote&gt;</w:instrText>
      </w:r>
      <w:r w:rsidRPr="00301D6B">
        <w:rPr>
          <w:rFonts w:ascii="Times New Roman" w:hAnsi="Times New Roman" w:cs="Times New Roman"/>
        </w:rPr>
        <w:fldChar w:fldCharType="separate"/>
      </w:r>
      <w:r>
        <w:rPr>
          <w:rFonts w:ascii="Times New Roman" w:hAnsi="Times New Roman" w:cs="Times New Roman"/>
          <w:noProof/>
        </w:rPr>
        <w:t>[3]</w:t>
      </w:r>
      <w:r w:rsidRPr="00301D6B">
        <w:rPr>
          <w:rFonts w:ascii="Times New Roman" w:hAnsi="Times New Roman" w:cs="Times New Roman"/>
        </w:rPr>
        <w:fldChar w:fldCharType="end"/>
      </w:r>
      <w:r w:rsidRPr="00301D6B">
        <w:rPr>
          <w:rFonts w:ascii="Times New Roman" w:hAnsi="Times New Roman" w:cs="Times New Roman"/>
        </w:rPr>
        <w:t xml:space="preserve"> are a type of fixed-length fingerprint commonly used in cheminformatics. They consist of a binary vector, typically 16</w:t>
      </w:r>
      <w:r>
        <w:rPr>
          <w:rFonts w:ascii="Times New Roman" w:hAnsi="Times New Roman" w:cs="Times New Roman"/>
        </w:rPr>
        <w:t>7</w:t>
      </w:r>
      <w:r w:rsidRPr="00301D6B">
        <w:rPr>
          <w:rFonts w:ascii="Times New Roman" w:hAnsi="Times New Roman" w:cs="Times New Roman"/>
        </w:rPr>
        <w:t xml:space="preserve"> bits long, where each bit represents the presence or absence of predefined substructures within a molecule. MACCS Keys are valued for their simplicity and speed in computing, making them ideal for similarity searching and clustering in chemical databases. However, their effectiveness is limited by the predefined set of substructures, which may not capture all relevant features for specific applications.</w:t>
      </w:r>
    </w:p>
    <w:p w14:paraId="518A233A" w14:textId="77777777" w:rsidR="00717787" w:rsidRPr="00301D6B" w:rsidRDefault="00717787" w:rsidP="00717787">
      <w:pPr>
        <w:rPr>
          <w:rFonts w:ascii="Times New Roman" w:hAnsi="Times New Roman" w:cs="Times New Roman"/>
          <w:b/>
          <w:bCs/>
          <w:color w:val="000000"/>
          <w:sz w:val="20"/>
          <w:szCs w:val="20"/>
        </w:rPr>
      </w:pPr>
    </w:p>
    <w:p w14:paraId="3B7650BF" w14:textId="77777777" w:rsidR="00717787" w:rsidRPr="00301D6B" w:rsidRDefault="00717787" w:rsidP="00717787">
      <w:pPr>
        <w:jc w:val="both"/>
        <w:rPr>
          <w:rFonts w:ascii="Times New Roman" w:hAnsi="Times New Roman" w:cs="Times New Roman"/>
          <w:b/>
          <w:bCs/>
          <w:color w:val="000000"/>
        </w:rPr>
      </w:pPr>
      <w:r w:rsidRPr="00301D6B">
        <w:rPr>
          <w:rFonts w:ascii="Times New Roman" w:hAnsi="Times New Roman" w:cs="Times New Roman"/>
          <w:b/>
          <w:bCs/>
          <w:color w:val="000000"/>
        </w:rPr>
        <w:t>The PubChem fingerprint</w:t>
      </w:r>
    </w:p>
    <w:p w14:paraId="45047FB6" w14:textId="77777777" w:rsidR="00717787" w:rsidRPr="00301D6B" w:rsidRDefault="00717787" w:rsidP="00717787">
      <w:pPr>
        <w:ind w:firstLineChars="100" w:firstLine="240"/>
        <w:jc w:val="both"/>
        <w:rPr>
          <w:rFonts w:ascii="Times New Roman" w:hAnsi="Times New Roman" w:cs="Times New Roman"/>
          <w:color w:val="000000"/>
        </w:rPr>
      </w:pPr>
      <w:r w:rsidRPr="00301D6B">
        <w:rPr>
          <w:rFonts w:ascii="Times New Roman" w:hAnsi="Times New Roman" w:cs="Times New Roman"/>
          <w:color w:val="000000"/>
        </w:rPr>
        <w:t xml:space="preserve">The PubChem fingerprint is a fixed-length binary vector, consisting of 881 bits, used to represent molecular structures based on predefined substructural features. Each bit in the PubChem fingerprint indicates the presence or absence of a specific substructure, as defined by the PubChem project. These fingerprints are used for similarity searching, clustering, and virtual screening within the PubChem database. The standardized </w:t>
      </w:r>
      <w:r w:rsidRPr="00301D6B">
        <w:rPr>
          <w:rFonts w:ascii="Times New Roman" w:hAnsi="Times New Roman" w:cs="Times New Roman"/>
          <w:color w:val="000000"/>
        </w:rPr>
        <w:lastRenderedPageBreak/>
        <w:t>nature of PubChem fingerprints ensures consistency in chemical informatics applications, although their utility is limited by the predefined set of substructures they encompass.</w:t>
      </w:r>
    </w:p>
    <w:p w14:paraId="58A4382A" w14:textId="77777777" w:rsidR="00717787" w:rsidRPr="00301D6B" w:rsidRDefault="00717787" w:rsidP="00717787">
      <w:pPr>
        <w:jc w:val="both"/>
        <w:rPr>
          <w:rFonts w:ascii="Times New Roman" w:hAnsi="Times New Roman" w:cs="Times New Roman"/>
          <w:sz w:val="20"/>
          <w:szCs w:val="20"/>
        </w:rPr>
      </w:pPr>
    </w:p>
    <w:p w14:paraId="2F0B954D" w14:textId="77777777" w:rsidR="00717787" w:rsidRPr="00301D6B" w:rsidRDefault="00717787" w:rsidP="00717787">
      <w:pPr>
        <w:rPr>
          <w:rFonts w:ascii="Times New Roman" w:hAnsi="Times New Roman" w:cs="Times New Roman"/>
          <w:b/>
          <w:bCs/>
        </w:rPr>
      </w:pPr>
      <w:r w:rsidRPr="00301D6B">
        <w:rPr>
          <w:rFonts w:ascii="Times New Roman" w:hAnsi="Times New Roman" w:cs="Times New Roman"/>
          <w:b/>
          <w:bCs/>
        </w:rPr>
        <w:t xml:space="preserve">The </w:t>
      </w:r>
      <w:proofErr w:type="spellStart"/>
      <w:r w:rsidRPr="00301D6B">
        <w:rPr>
          <w:rFonts w:ascii="Times New Roman" w:hAnsi="Times New Roman" w:cs="Times New Roman"/>
          <w:b/>
          <w:bCs/>
        </w:rPr>
        <w:t>RDKit</w:t>
      </w:r>
      <w:proofErr w:type="spellEnd"/>
      <w:r w:rsidRPr="00301D6B">
        <w:rPr>
          <w:rFonts w:ascii="Times New Roman" w:hAnsi="Times New Roman" w:cs="Times New Roman"/>
          <w:b/>
          <w:bCs/>
        </w:rPr>
        <w:t xml:space="preserve"> fingerprint</w:t>
      </w:r>
    </w:p>
    <w:p w14:paraId="6A6B6FFB" w14:textId="77777777" w:rsidR="00717787" w:rsidRPr="00301D6B" w:rsidRDefault="00717787" w:rsidP="00717787">
      <w:pPr>
        <w:ind w:firstLineChars="100" w:firstLine="240"/>
        <w:jc w:val="both"/>
        <w:rPr>
          <w:rFonts w:ascii="Times New Roman" w:hAnsi="Times New Roman" w:cs="Times New Roman"/>
          <w:color w:val="000000" w:themeColor="text1"/>
        </w:rPr>
      </w:pPr>
      <w:proofErr w:type="spellStart"/>
      <w:r w:rsidRPr="00301D6B">
        <w:rPr>
          <w:rFonts w:ascii="Times New Roman" w:hAnsi="Times New Roman" w:cs="Times New Roman"/>
        </w:rPr>
        <w:t>RDKit</w:t>
      </w:r>
      <w:proofErr w:type="spellEnd"/>
      <w:r w:rsidRPr="00301D6B">
        <w:rPr>
          <w:rFonts w:ascii="Times New Roman" w:hAnsi="Times New Roman" w:cs="Times New Roman"/>
        </w:rPr>
        <w:t xml:space="preserve"> fingerprint is a widely used tool in cheminformatics for representing molecular structures as fixed-length bit vectors, typically 1024 bits. These fingerprints capture the presence or absence of various substructures within a molecule, allowing for efficient comparison and similarity searching. Generated using the open-source </w:t>
      </w:r>
      <w:proofErr w:type="spellStart"/>
      <w:r w:rsidRPr="00301D6B">
        <w:rPr>
          <w:rFonts w:ascii="Times New Roman" w:hAnsi="Times New Roman" w:cs="Times New Roman"/>
        </w:rPr>
        <w:t>RDKit</w:t>
      </w:r>
      <w:proofErr w:type="spellEnd"/>
      <w:r w:rsidRPr="00301D6B">
        <w:rPr>
          <w:rFonts w:ascii="Times New Roman" w:hAnsi="Times New Roman" w:cs="Times New Roman"/>
        </w:rPr>
        <w:t xml:space="preserve"> library, these fingerprints are customizable in terms of size and substructure definitions, making them versatile for different applications. They are known for their speed and ease of integration with other tools, although they can suffer from information loss due to hash collisions and may not capt</w:t>
      </w:r>
      <w:r w:rsidRPr="00301D6B">
        <w:rPr>
          <w:rFonts w:ascii="Times New Roman" w:hAnsi="Times New Roman" w:cs="Times New Roman"/>
          <w:color w:val="000000" w:themeColor="text1"/>
        </w:rPr>
        <w:t xml:space="preserve">ure all molecular features with high specificity. Despite these limitations, </w:t>
      </w:r>
      <w:proofErr w:type="spellStart"/>
      <w:r w:rsidRPr="00301D6B">
        <w:rPr>
          <w:rFonts w:ascii="Times New Roman" w:hAnsi="Times New Roman" w:cs="Times New Roman"/>
          <w:color w:val="000000" w:themeColor="text1"/>
        </w:rPr>
        <w:t>RDKit</w:t>
      </w:r>
      <w:proofErr w:type="spellEnd"/>
      <w:r w:rsidRPr="00301D6B">
        <w:rPr>
          <w:rFonts w:ascii="Times New Roman" w:hAnsi="Times New Roman" w:cs="Times New Roman"/>
          <w:color w:val="000000" w:themeColor="text1"/>
        </w:rPr>
        <w:t xml:space="preserve"> fingerprints are a robust choice for many large-scale virtual screening and molecular analysis tasks.</w:t>
      </w:r>
    </w:p>
    <w:p w14:paraId="36B3D530" w14:textId="77777777" w:rsidR="00717787" w:rsidRPr="00301D6B" w:rsidRDefault="00717787" w:rsidP="00717787">
      <w:pPr>
        <w:rPr>
          <w:rFonts w:ascii="Times New Roman" w:hAnsi="Times New Roman" w:cs="Times New Roman"/>
          <w:b/>
          <w:bCs/>
          <w:sz w:val="20"/>
          <w:szCs w:val="20"/>
        </w:rPr>
      </w:pPr>
    </w:p>
    <w:p w14:paraId="2C066695" w14:textId="77777777" w:rsidR="00717787" w:rsidRPr="00301D6B" w:rsidRDefault="00717787" w:rsidP="00717787">
      <w:pPr>
        <w:jc w:val="both"/>
        <w:rPr>
          <w:rFonts w:ascii="Times New Roman" w:hAnsi="Times New Roman" w:cs="Times New Roman"/>
          <w:b/>
          <w:bCs/>
          <w:color w:val="000000" w:themeColor="text1"/>
        </w:rPr>
      </w:pPr>
      <w:r w:rsidRPr="00301D6B">
        <w:rPr>
          <w:rFonts w:ascii="Times New Roman" w:hAnsi="Times New Roman" w:cs="Times New Roman"/>
          <w:b/>
          <w:bCs/>
          <w:color w:val="000000" w:themeColor="text1"/>
        </w:rPr>
        <w:t>SMILES arbitrary target specification (SMARTS)</w:t>
      </w:r>
    </w:p>
    <w:p w14:paraId="0C9A3B4C" w14:textId="77777777" w:rsidR="00717787" w:rsidRPr="00301D6B" w:rsidRDefault="00717787" w:rsidP="00717787">
      <w:pPr>
        <w:ind w:firstLineChars="100" w:firstLine="240"/>
        <w:jc w:val="both"/>
        <w:rPr>
          <w:rFonts w:ascii="Times New Roman" w:hAnsi="Times New Roman" w:cs="Times New Roman"/>
          <w:color w:val="000000" w:themeColor="text1"/>
        </w:rPr>
      </w:pPr>
      <w:r w:rsidRPr="00301D6B">
        <w:rPr>
          <w:rFonts w:ascii="Times New Roman" w:hAnsi="Times New Roman" w:cs="Times New Roman"/>
          <w:color w:val="000000" w:themeColor="text1"/>
        </w:rPr>
        <w:t>SMILES arbitrary target specification (SMARTS) is an</w:t>
      </w:r>
      <w:r w:rsidRPr="00301D6B">
        <w:rPr>
          <w:rFonts w:ascii="Times New Roman" w:hAnsi="Times New Roman" w:cs="Times New Roman"/>
        </w:rPr>
        <w:t xml:space="preserve"> extension of the SMILES </w:t>
      </w:r>
      <w:r w:rsidRPr="00301D6B">
        <w:rPr>
          <w:rFonts w:ascii="Times New Roman" w:hAnsi="Times New Roman" w:cs="Times New Roman"/>
        </w:rPr>
        <w:fldChar w:fldCharType="begin"/>
      </w:r>
      <w:r>
        <w:rPr>
          <w:rFonts w:ascii="Times New Roman" w:hAnsi="Times New Roman" w:cs="Times New Roman"/>
        </w:rPr>
        <w:instrText xml:space="preserve"> ADDIN EN.CITE &lt;EndNote&gt;&lt;Cite&gt;&lt;Author&gt;Weininger&lt;/Author&gt;&lt;Year&gt;1988&lt;/Year&gt;&lt;RecNum&gt;4&lt;/RecNum&gt;&lt;DisplayText&gt;[4]&lt;/DisplayText&gt;&lt;record&gt;&lt;rec-number&gt;4&lt;/rec-number&gt;&lt;foreign-keys&gt;&lt;key app="EN" db-id="xs529ea0upe0rbezpxp5aaw5f5xattxfpa5p" timestamp="1720533875"&gt;4&lt;/key&gt;&lt;/foreign-keys&gt;&lt;ref-type name="Journal Article"&gt;17&lt;/ref-type&gt;&lt;contributors&gt;&lt;authors&gt;&lt;author&gt;Weininger, David&lt;/author&gt;&lt;/authors&gt;&lt;/contributors&gt;&lt;titles&gt;&lt;title&gt;SMILES, a chemical language and information system. 1. Introduction to methodology and encoding rules&lt;/title&gt;&lt;secondary-title&gt;Journal of chemical information and computer sciences&lt;/secondary-title&gt;&lt;/titles&gt;&lt;periodical&gt;&lt;full-title&gt;Journal of chemical information and computer sciences&lt;/full-title&gt;&lt;/periodical&gt;&lt;pages&gt;31-36&lt;/pages&gt;&lt;volume&gt;28&lt;/volume&gt;&lt;number&gt;1&lt;/number&gt;&lt;dates&gt;&lt;year&gt;1988&lt;/year&gt;&lt;/dates&gt;&lt;isbn&gt;0095-2338&lt;/isbn&gt;&lt;urls&gt;&lt;/urls&gt;&lt;/record&gt;&lt;/Cite&gt;&lt;/EndNote&gt;</w:instrText>
      </w:r>
      <w:r w:rsidRPr="00301D6B">
        <w:rPr>
          <w:rFonts w:ascii="Times New Roman" w:hAnsi="Times New Roman" w:cs="Times New Roman"/>
        </w:rPr>
        <w:fldChar w:fldCharType="separate"/>
      </w:r>
      <w:r>
        <w:rPr>
          <w:rFonts w:ascii="Times New Roman" w:hAnsi="Times New Roman" w:cs="Times New Roman"/>
          <w:noProof/>
        </w:rPr>
        <w:t>[4]</w:t>
      </w:r>
      <w:r w:rsidRPr="00301D6B">
        <w:rPr>
          <w:rFonts w:ascii="Times New Roman" w:hAnsi="Times New Roman" w:cs="Times New Roman"/>
        </w:rPr>
        <w:fldChar w:fldCharType="end"/>
      </w:r>
      <w:r w:rsidRPr="00301D6B">
        <w:rPr>
          <w:rFonts w:ascii="Times New Roman" w:hAnsi="Times New Roman" w:cs="Times New Roman"/>
        </w:rPr>
        <w:t xml:space="preserve"> notation, designed for defining molecular substructure patterns and queries. It is a highly flexible and expressive language that allows chemists to specify complex substructures and perform substructure searching within chemical databases. SMARTS is invaluable for tasks requiring precise pattern matching and molecular query definitions. However, constructing accurate SMARTS queries requires expert knowledge, and SMARTS is not typically used for generating fingerprints or for similarity searching.</w:t>
      </w:r>
      <w:r w:rsidRPr="00301D6B">
        <w:rPr>
          <w:rFonts w:ascii="Times New Roman" w:hAnsi="Times New Roman" w:cs="Times New Roman"/>
          <w:color w:val="000000" w:themeColor="text1"/>
        </w:rPr>
        <w:t xml:space="preserve"> </w:t>
      </w:r>
    </w:p>
    <w:p w14:paraId="13E18BEF" w14:textId="77777777" w:rsidR="00717787" w:rsidRPr="00301D6B" w:rsidRDefault="00717787" w:rsidP="00717787">
      <w:pPr>
        <w:jc w:val="both"/>
        <w:rPr>
          <w:rFonts w:ascii="Times New Roman" w:hAnsi="Times New Roman" w:cs="Times New Roman"/>
          <w:color w:val="000000" w:themeColor="text1"/>
        </w:rPr>
      </w:pPr>
    </w:p>
    <w:p w14:paraId="4EC20193" w14:textId="1441FD93" w:rsidR="00717787" w:rsidRPr="00301D6B" w:rsidRDefault="00717787" w:rsidP="00717787">
      <w:pPr>
        <w:ind w:firstLineChars="100" w:firstLine="240"/>
        <w:jc w:val="both"/>
        <w:rPr>
          <w:rFonts w:ascii="Times New Roman" w:hAnsi="Times New Roman" w:cs="Times New Roman"/>
          <w:color w:val="000000" w:themeColor="text1"/>
        </w:rPr>
      </w:pPr>
      <w:r w:rsidRPr="00301D6B">
        <w:rPr>
          <w:rFonts w:ascii="Times New Roman" w:hAnsi="Times New Roman" w:cs="Times New Roman"/>
          <w:color w:val="000000" w:themeColor="text1"/>
        </w:rPr>
        <w:t>In</w:t>
      </w:r>
      <w:r>
        <w:rPr>
          <w:rFonts w:ascii="Times New Roman" w:hAnsi="Times New Roman" w:cs="Times New Roman"/>
          <w:color w:val="000000" w:themeColor="text1"/>
        </w:rPr>
        <w:t xml:space="preserve"> Table S2, we selected Aspirin as our sample molecule due to its three characteristics, which are shown below. These characteristics could help us understand</w:t>
      </w:r>
      <w:r w:rsidRPr="00301D6B">
        <w:rPr>
          <w:rFonts w:ascii="Times New Roman" w:hAnsi="Times New Roman" w:cs="Times New Roman"/>
          <w:color w:val="000000" w:themeColor="text1"/>
        </w:rPr>
        <w:t xml:space="preserve"> the variations among the seven molecule embedding methods.</w:t>
      </w:r>
    </w:p>
    <w:p w14:paraId="03C3559F" w14:textId="77777777" w:rsidR="00717787" w:rsidRPr="00301D6B" w:rsidRDefault="00717787" w:rsidP="00717787">
      <w:pPr>
        <w:numPr>
          <w:ilvl w:val="0"/>
          <w:numId w:val="6"/>
        </w:numPr>
        <w:spacing w:before="100" w:beforeAutospacing="1" w:after="100" w:afterAutospacing="1"/>
        <w:jc w:val="both"/>
        <w:rPr>
          <w:rFonts w:ascii="Times New Roman" w:hAnsi="Times New Roman" w:cs="Times New Roman"/>
        </w:rPr>
      </w:pPr>
      <w:r w:rsidRPr="00301D6B">
        <w:rPr>
          <w:rFonts w:ascii="Times New Roman" w:hAnsi="Times New Roman" w:cs="Times New Roman"/>
          <w:b/>
          <w:bCs/>
          <w:color w:val="000000" w:themeColor="text1"/>
        </w:rPr>
        <w:t>Structural Diversity:</w:t>
      </w:r>
      <w:r w:rsidRPr="00301D6B">
        <w:rPr>
          <w:rFonts w:ascii="Times New Roman" w:hAnsi="Times New Roman" w:cs="Times New Roman"/>
          <w:color w:val="000000" w:themeColor="text1"/>
        </w:rPr>
        <w:t> The combination of aromatic and aliphatic structures, along with functional grou</w:t>
      </w:r>
      <w:r w:rsidRPr="00301D6B">
        <w:rPr>
          <w:rFonts w:ascii="Times New Roman" w:hAnsi="Times New Roman" w:cs="Times New Roman"/>
        </w:rPr>
        <w:t>ps like the acetyl and carboxylic acid groups, allows us to see how different encoding methods capture various aspects of the molecule.</w:t>
      </w:r>
    </w:p>
    <w:p w14:paraId="77B879D8" w14:textId="77777777" w:rsidR="00717787" w:rsidRPr="00301D6B" w:rsidRDefault="00717787" w:rsidP="00717787">
      <w:pPr>
        <w:numPr>
          <w:ilvl w:val="0"/>
          <w:numId w:val="6"/>
        </w:numPr>
        <w:spacing w:before="100" w:beforeAutospacing="1" w:after="100" w:afterAutospacing="1"/>
        <w:jc w:val="both"/>
        <w:rPr>
          <w:rFonts w:ascii="Times New Roman" w:hAnsi="Times New Roman" w:cs="Times New Roman"/>
        </w:rPr>
      </w:pPr>
      <w:r w:rsidRPr="00301D6B">
        <w:rPr>
          <w:rFonts w:ascii="Times New Roman" w:hAnsi="Times New Roman" w:cs="Times New Roman"/>
          <w:b/>
          <w:bCs/>
        </w:rPr>
        <w:t>Common Usage:</w:t>
      </w:r>
      <w:r w:rsidRPr="00301D6B">
        <w:rPr>
          <w:rFonts w:ascii="Times New Roman" w:hAnsi="Times New Roman" w:cs="Times New Roman"/>
        </w:rPr>
        <w:t> Aspirin is a well-known and widely studied molecule, making it easy to reference and understand the encoded representations.</w:t>
      </w:r>
    </w:p>
    <w:p w14:paraId="030E0082" w14:textId="5BCD2D5D" w:rsidR="00717787" w:rsidRPr="00D914C6" w:rsidRDefault="00717787" w:rsidP="00D12993">
      <w:pPr>
        <w:numPr>
          <w:ilvl w:val="0"/>
          <w:numId w:val="6"/>
        </w:numPr>
        <w:spacing w:before="100" w:beforeAutospacing="1" w:after="100" w:afterAutospacing="1"/>
        <w:jc w:val="both"/>
        <w:rPr>
          <w:rFonts w:ascii="Times New Roman" w:hAnsi="Times New Roman" w:cs="Times New Roman"/>
        </w:rPr>
      </w:pPr>
      <w:r w:rsidRPr="00301D6B">
        <w:rPr>
          <w:rFonts w:ascii="Times New Roman" w:hAnsi="Times New Roman" w:cs="Times New Roman"/>
          <w:b/>
          <w:bCs/>
        </w:rPr>
        <w:t>Functional Groups:</w:t>
      </w:r>
      <w:r w:rsidRPr="00301D6B">
        <w:rPr>
          <w:rFonts w:ascii="Times New Roman" w:hAnsi="Times New Roman" w:cs="Times New Roman"/>
        </w:rPr>
        <w:t> The presence of functional groups like acetyl and carboxylic acid groups will highlight how methods like FCFPs and SMARTS handle functional group identification and matching.</w:t>
      </w:r>
    </w:p>
    <w:p w14:paraId="2D20C818" w14:textId="674FFF9C" w:rsidR="00D12993" w:rsidRPr="00F87E5E" w:rsidRDefault="00F87E5E" w:rsidP="00D12993">
      <w:pPr>
        <w:spacing w:before="100" w:beforeAutospacing="1" w:after="100" w:afterAutospacing="1"/>
        <w:jc w:val="both"/>
        <w:rPr>
          <w:rFonts w:ascii="Times New Roman" w:hAnsi="Times New Roman" w:cs="Times New Roman"/>
          <w:b/>
          <w:bCs/>
          <w:sz w:val="28"/>
          <w:szCs w:val="28"/>
        </w:rPr>
      </w:pPr>
      <w:r w:rsidRPr="00DF7431">
        <w:rPr>
          <w:rFonts w:ascii="Times New Roman" w:eastAsia="標楷體" w:hAnsi="Times New Roman" w:cs="Times New Roman"/>
          <w:b/>
          <w:bCs/>
          <w:color w:val="000000"/>
          <w:sz w:val="28"/>
          <w:szCs w:val="28"/>
        </w:rPr>
        <w:t>Five major steps</w:t>
      </w:r>
      <w:r w:rsidRPr="00F87E5E">
        <w:rPr>
          <w:rFonts w:ascii="Times New Roman" w:hAnsi="Times New Roman" w:cs="Times New Roman"/>
          <w:b/>
          <w:bCs/>
          <w:sz w:val="28"/>
          <w:szCs w:val="28"/>
        </w:rPr>
        <w:t xml:space="preserve"> of workflow</w:t>
      </w:r>
    </w:p>
    <w:p w14:paraId="186A6A97" w14:textId="120EE3E8" w:rsidR="00F87E5E" w:rsidRDefault="00F87E5E" w:rsidP="002C5D20">
      <w:pPr>
        <w:autoSpaceDE w:val="0"/>
        <w:autoSpaceDN w:val="0"/>
        <w:adjustRightInd w:val="0"/>
        <w:ind w:firstLine="480"/>
        <w:jc w:val="both"/>
        <w:rPr>
          <w:rFonts w:ascii="Times New Roman" w:hAnsi="Times New Roman" w:cs="Times New Roman"/>
          <w:color w:val="000000"/>
        </w:rPr>
      </w:pPr>
      <w:r w:rsidRPr="00DF7431">
        <w:rPr>
          <w:rFonts w:ascii="Times New Roman" w:eastAsia="標楷體" w:hAnsi="Times New Roman" w:cs="Times New Roman"/>
          <w:color w:val="000000"/>
        </w:rPr>
        <w:t>Our experimental workflow consist</w:t>
      </w:r>
      <w:r w:rsidR="006A74D3">
        <w:rPr>
          <w:rFonts w:ascii="Times New Roman" w:eastAsia="標楷體" w:hAnsi="Times New Roman" w:cs="Times New Roman"/>
          <w:color w:val="000000"/>
        </w:rPr>
        <w:t>ed</w:t>
      </w:r>
      <w:r w:rsidRPr="00DF7431">
        <w:rPr>
          <w:rFonts w:ascii="Times New Roman" w:eastAsia="標楷體" w:hAnsi="Times New Roman" w:cs="Times New Roman"/>
          <w:color w:val="000000"/>
        </w:rPr>
        <w:t xml:space="preserve"> of five major steps: (1) data preprocessing and fingerprint standardization, (2) input format processing, (3) data resampling and splitting, (4) model training, and (5) performance evaluating (Figure</w:t>
      </w:r>
      <w:r w:rsidR="00203FA8">
        <w:rPr>
          <w:rFonts w:ascii="Times New Roman" w:eastAsia="標楷體" w:hAnsi="Times New Roman" w:cs="Times New Roman"/>
          <w:color w:val="000000"/>
        </w:rPr>
        <w:t xml:space="preserve">s </w:t>
      </w:r>
      <w:r w:rsidRPr="00DF7431">
        <w:rPr>
          <w:rFonts w:ascii="Times New Roman" w:eastAsia="標楷體" w:hAnsi="Times New Roman" w:cs="Times New Roman"/>
          <w:color w:val="000000"/>
        </w:rPr>
        <w:t>2</w:t>
      </w:r>
      <w:r w:rsidR="00D57F4F">
        <w:rPr>
          <w:rFonts w:ascii="Times New Roman" w:eastAsia="標楷體" w:hAnsi="Times New Roman" w:cs="Times New Roman"/>
          <w:color w:val="000000"/>
        </w:rPr>
        <w:t>-</w:t>
      </w:r>
      <w:r w:rsidRPr="00DF7431">
        <w:rPr>
          <w:rFonts w:ascii="Times New Roman" w:eastAsia="標楷體" w:hAnsi="Times New Roman" w:cs="Times New Roman"/>
          <w:color w:val="000000"/>
        </w:rPr>
        <w:t xml:space="preserve">3). </w:t>
      </w:r>
      <w:r w:rsidRPr="00DF7431">
        <w:rPr>
          <w:rFonts w:ascii="Times New Roman" w:hAnsi="Times New Roman" w:cs="Times New Roman"/>
          <w:color w:val="000000"/>
        </w:rPr>
        <w:t>First, in the data preprocessing stage, molecular data were standardized and prepared to ensure consistency across datasets. Different molecular encoding</w:t>
      </w:r>
      <w:r w:rsidR="00203FA8">
        <w:rPr>
          <w:rFonts w:ascii="Times New Roman" w:hAnsi="Times New Roman" w:cs="Times New Roman"/>
          <w:color w:val="000000"/>
        </w:rPr>
        <w:t xml:space="preserve"> methods</w:t>
      </w:r>
      <w:r w:rsidRPr="00DF7431">
        <w:rPr>
          <w:rFonts w:ascii="Times New Roman" w:hAnsi="Times New Roman" w:cs="Times New Roman"/>
          <w:color w:val="000000"/>
        </w:rPr>
        <w:t xml:space="preserve"> were then generated or precomputed as required before being used as model inputs. Meanwhile, data cleaning and standardization were performed to ensure consistency and quality across datasets. Second, in the input </w:t>
      </w:r>
      <w:r w:rsidR="00203FA8" w:rsidRPr="00D5766D">
        <w:rPr>
          <w:rFonts w:ascii="Times New Roman" w:eastAsia="標楷體" w:hAnsi="Times New Roman" w:cs="Times New Roman"/>
          <w:color w:val="000000"/>
        </w:rPr>
        <w:t>format</w:t>
      </w:r>
      <w:r w:rsidRPr="00DF7431">
        <w:rPr>
          <w:rFonts w:ascii="Times New Roman" w:hAnsi="Times New Roman" w:cs="Times New Roman"/>
          <w:color w:val="000000"/>
        </w:rPr>
        <w:t xml:space="preserve"> processing stage, we examined whether the original molecular </w:t>
      </w:r>
      <w:r w:rsidR="00203FA8" w:rsidRPr="00D5766D">
        <w:rPr>
          <w:rFonts w:ascii="Times New Roman" w:hAnsi="Times New Roman" w:cs="Times New Roman"/>
          <w:color w:val="000000"/>
        </w:rPr>
        <w:t>encoding</w:t>
      </w:r>
      <w:r w:rsidR="00203FA8">
        <w:rPr>
          <w:rFonts w:ascii="Times New Roman" w:hAnsi="Times New Roman" w:cs="Times New Roman"/>
          <w:color w:val="000000"/>
        </w:rPr>
        <w:t xml:space="preserve"> methods</w:t>
      </w:r>
      <w:r w:rsidRPr="00DF7431">
        <w:rPr>
          <w:rFonts w:ascii="Times New Roman" w:hAnsi="Times New Roman" w:cs="Times New Roman"/>
          <w:color w:val="000000"/>
        </w:rPr>
        <w:t xml:space="preserve"> should be used directly or </w:t>
      </w:r>
      <w:r w:rsidRPr="00DF7431">
        <w:rPr>
          <w:rFonts w:ascii="Times New Roman" w:hAnsi="Times New Roman" w:cs="Times New Roman"/>
          <w:color w:val="000000"/>
        </w:rPr>
        <w:lastRenderedPageBreak/>
        <w:t xml:space="preserve">transformed before model training. This step included checking for missing values and, when appropriate, applying imputation-based approach, Feature Net (FN) </w:t>
      </w:r>
      <w:r w:rsidRPr="00DF7431">
        <w:rPr>
          <w:rFonts w:ascii="Times New Roman" w:hAnsi="Times New Roman" w:cs="Times New Roman"/>
          <w:color w:val="000000"/>
        </w:rPr>
        <w:fldChar w:fldCharType="begin">
          <w:fldData xml:space="preserve">PEVuZE5vdGU+PENpdGU+PEF1dGhvcj5WYXJuZWs8L0F1dGhvcj48WWVhcj4yMDA5PC9ZZWFyPjxS
ZWNOdW0+MTIwPC9SZWNOdW0+PERpc3BsYXlUZXh0Pls1LTddPC9EaXNwbGF5VGV4dD48cmVjb3Jk
PjxyZWMtbnVtYmVyPjEyMDwvcmVjLW51bWJlcj48Zm9yZWlnbi1rZXlzPjxrZXkgYXBwPSJFTiIg
ZGItaWQ9InI1czIydzVyZDBkZXZsZTA1MHY1NXpyZmFzZGU1eGF4ZnphZSIgdGltZXN0YW1wPSIx
Nzc0NzUyMzcxIj4xMjA8L2tleT48L2ZvcmVpZ24ta2V5cz48cmVmLXR5cGUgbmFtZT0iSm91cm5h
bCBBcnRpY2xlIj4xNzwvcmVmLXR5cGU+PGNvbnRyaWJ1dG9ycz48YXV0aG9ycz48YXV0aG9yPlZh
cm5laywgQWxleGFuZHJlPC9hdXRob3I+PGF1dGhvcj5HYXVkaW4sIENlZHJpYzwvYXV0aG9yPjxh
dXRob3I+TWFyY291LCBHaWxsZXM8L2F1dGhvcj48YXV0aG9yPkJhc2tpbiwgSWdvcjwvYXV0aG9y
PjxhdXRob3I+UGFuZGV5LCBBbmlsIEt1bWFyPC9hdXRob3I+PGF1dGhvcj5UZXRrbywgSWdvciBW
PC9hdXRob3I+PC9hdXRob3JzPjwvY29udHJpYnV0b3JzPjx0aXRsZXM+PHRpdGxlPkluZHVjdGl2
ZSB0cmFuc2ZlciBvZiBrbm93bGVkZ2U6IGFwcGxpY2F0aW9uIG9mIG11bHRpLXRhc2sgbGVhcm5p
bmcgYW5kIGZlYXR1cmUgbmV0IGFwcHJvYWNoZXMgdG8gbW9kZWwgdGlzc3VlLWFpciBwYXJ0aXRp
b24gY29lZmZpY2llbnRzPC90aXRsZT48c2Vjb25kYXJ5LXRpdGxlPkpvdXJuYWwgb2YgY2hlbWlj
YWwgaW5mb3JtYXRpb24gYW5kIG1vZGVsaW5nPC9zZWNvbmRhcnktdGl0bGU+PC90aXRsZXM+PHBl
cmlvZGljYWw+PGZ1bGwtdGl0bGU+Sm91cm5hbCBvZiBjaGVtaWNhbCBpbmZvcm1hdGlvbiBhbmQg
bW9kZWxpbmc8L2Z1bGwtdGl0bGU+PC9wZXJpb2RpY2FsPjxwYWdlcz4xMzMtMTQ0PC9wYWdlcz48
dm9sdW1lPjQ5PC92b2x1bWU+PG51bWJlcj4xPC9udW1iZXI+PGRhdGVzPjx5ZWFyPjIwMDk8L3ll
YXI+PC9kYXRlcz48aXNibj4xNTQ5LTk1OTY8L2lzYm4+PHVybHM+PC91cmxzPjwvcmVjb3JkPjwv
Q2l0ZT48Q2l0ZT48QXV0aG9yPkRhdmlzPC9BdXRob3I+PFllYXI+MTk5NTwvWWVhcj48UmVjTnVt
PjExOTwvUmVjTnVtPjxyZWNvcmQ+PHJlYy1udW1iZXI+MTE5PC9yZWMtbnVtYmVyPjxmb3JlaWdu
LWtleXM+PGtleSBhcHA9IkVOIiBkYi1pZD0icjVzMjJ3NXJkMGRldmxlMDUwdjU1enJmYXNkZTV4
YXhmemFlIiB0aW1lc3RhbXA9IjE3NzQ3NTIzNjUiPjExOTwva2V5PjwvZm9yZWlnbi1rZXlzPjxy
ZWYtdHlwZSBuYW1lPSJDb25mZXJlbmNlIFByb2NlZWRpbmdzIj4xMDwvcmVmLXR5cGU+PGNvbnRy
aWJ1dG9ycz48YXV0aG9ycz48YXV0aG9yPkRhdmlzLCBJYW4gTGFuZTwvYXV0aG9yPjxhdXRob3I+
U3RlbnR6LCBBbnRob255PC9hdXRob3I+PC9hdXRob3JzPjwvY29udHJpYnV0b3JzPjx0aXRsZXM+
PHRpdGxlPlNlbnNvciBmdXNpb24gZm9yIGF1dG9ub21vdXMgb3V0ZG9vciBuYXZpZ2F0aW9uIHVz
aW5nIG5ldXJhbCBuZXR3b3JrczwvdGl0bGU+PHNlY29uZGFyeS10aXRsZT5Qcm9jZWVkaW5ncyAx
OTk1IElFRUUvUlNKIEludGVybmF0aW9uYWwgQ29uZmVyZW5jZSBvbiBJbnRlbGxpZ2VudCBSb2Jv
dHMgYW5kIFN5c3RlbXMuIEh1bWFuIFJvYm90IEludGVyYWN0aW9uIGFuZCBDb29wZXJhdGl2ZSBS
b2JvdHM8L3NlY29uZGFyeS10aXRsZT48L3RpdGxlcz48cGFnZXM+MzM4LTM0MzwvcGFnZXM+PHZv
bHVtZT4zPC92b2x1bWU+PGRhdGVzPjx5ZWFyPjE5OTU8L3llYXI+PC9kYXRlcz48cHVibGlzaGVy
PklFRUU8L3B1Ymxpc2hlcj48aXNibj4wODE4NjcxMDg0PC9pc2JuPjx1cmxzPjwvdXJscz48L3Jl
Y29yZD48L0NpdGU+PENpdGU+PEF1dGhvcj5XYWx0ZXI8L0F1dGhvcj48WWVhcj4yMDIyPC9ZZWFy
PjxSZWNOdW0+NTk8L1JlY051bT48cmVjb3JkPjxyZWMtbnVtYmVyPjU5PC9yZWMtbnVtYmVyPjxm
b3JlaWduLWtleXM+PGtleSBhcHA9IkVOIiBkYi1pZD0icjVzMjJ3NXJkMGRldmxlMDUwdjU1enJm
YXNkZTV4YXhmemFlIiB0aW1lc3RhbXA9IjE3NTY0MzQ1MTAiPjU5PC9rZXk+PC9mb3JlaWduLWtl
eXM+PHJlZi10eXBlIG5hbWU9IkpvdXJuYWwgQXJ0aWNsZSI+MTc8L3JlZi10eXBlPjxjb250cmli
dXRvcnM+PGF1dGhvcnM+PGF1dGhvcj5XYWx0ZXIsIE1vcml0ejwvYXV0aG9yPjxhdXRob3I+QWxs
ZW4sIEx1a2UgTjwvYXV0aG9yPjxhdXRob3I+ZGUgbGEgVmVnYSBkZSBMZW9uLCBBbnRvbmlvPC9h
dXRob3I+PGF1dGhvcj5XZWJiLCBTYW11ZWwgSjwvYXV0aG9yPjxhdXRob3I+R2lsbGV0LCBWYWxl
cmllIEo8L2F1dGhvcj48L2F1dGhvcnM+PC9jb250cmlidXRvcnM+PHRpdGxlcz48dGl0bGU+QW5h
bHlzaXMgb2YgdGhlIGJlbmVmaXRzIG9mIGltcHV0YXRpb24gbW9kZWxzIG92ZXIgdHJhZGl0aW9u
YWwgUVNBUiBtb2RlbHMgZm9yIHRveGljaXR5IHByZWRpY3Rpb248L3RpdGxlPjxzZWNvbmRhcnkt
dGl0bGU+Sm91cm5hbCBvZiBDaGVtaW5mb3JtYXRpY3M8L3NlY29uZGFyeS10aXRsZT48L3RpdGxl
cz48cGVyaW9kaWNhbD48ZnVsbC10aXRsZT5Kb3VybmFsIG9mIGNoZW1pbmZvcm1hdGljczwvZnVs
bC10aXRsZT48L3BlcmlvZGljYWw+PHBhZ2VzPjMyPC9wYWdlcz48dm9sdW1lPjE0PC92b2x1bWU+
PG51bWJlcj4xPC9udW1iZXI+PGRhdGVzPjx5ZWFyPjIwMjI8L3llYXI+PC9kYXRlcz48aXNibj4x
NzU4LTI5NDY8L2lzYm4+PHVybHM+PC91cmxzPjwvcmVjb3JkPjwvQ2l0ZT48L0VuZE5vdGU+AG==
</w:fldData>
        </w:fldChar>
      </w:r>
      <w:r w:rsidR="00710919">
        <w:rPr>
          <w:rFonts w:ascii="Times New Roman" w:hAnsi="Times New Roman" w:cs="Times New Roman"/>
          <w:color w:val="000000"/>
        </w:rPr>
        <w:instrText xml:space="preserve"> ADDIN EN.CITE </w:instrText>
      </w:r>
      <w:r w:rsidR="00710919">
        <w:rPr>
          <w:rFonts w:ascii="Times New Roman" w:hAnsi="Times New Roman" w:cs="Times New Roman"/>
          <w:color w:val="000000"/>
        </w:rPr>
        <w:fldChar w:fldCharType="begin">
          <w:fldData xml:space="preserve">PEVuZE5vdGU+PENpdGU+PEF1dGhvcj5WYXJuZWs8L0F1dGhvcj48WWVhcj4yMDA5PC9ZZWFyPjxS
ZWNOdW0+MTIwPC9SZWNOdW0+PERpc3BsYXlUZXh0Pls1LTddPC9EaXNwbGF5VGV4dD48cmVjb3Jk
PjxyZWMtbnVtYmVyPjEyMDwvcmVjLW51bWJlcj48Zm9yZWlnbi1rZXlzPjxrZXkgYXBwPSJFTiIg
ZGItaWQ9InI1czIydzVyZDBkZXZsZTA1MHY1NXpyZmFzZGU1eGF4ZnphZSIgdGltZXN0YW1wPSIx
Nzc0NzUyMzcxIj4xMjA8L2tleT48L2ZvcmVpZ24ta2V5cz48cmVmLXR5cGUgbmFtZT0iSm91cm5h
bCBBcnRpY2xlIj4xNzwvcmVmLXR5cGU+PGNvbnRyaWJ1dG9ycz48YXV0aG9ycz48YXV0aG9yPlZh
cm5laywgQWxleGFuZHJlPC9hdXRob3I+PGF1dGhvcj5HYXVkaW4sIENlZHJpYzwvYXV0aG9yPjxh
dXRob3I+TWFyY291LCBHaWxsZXM8L2F1dGhvcj48YXV0aG9yPkJhc2tpbiwgSWdvcjwvYXV0aG9y
PjxhdXRob3I+UGFuZGV5LCBBbmlsIEt1bWFyPC9hdXRob3I+PGF1dGhvcj5UZXRrbywgSWdvciBW
PC9hdXRob3I+PC9hdXRob3JzPjwvY29udHJpYnV0b3JzPjx0aXRsZXM+PHRpdGxlPkluZHVjdGl2
ZSB0cmFuc2ZlciBvZiBrbm93bGVkZ2U6IGFwcGxpY2F0aW9uIG9mIG11bHRpLXRhc2sgbGVhcm5p
bmcgYW5kIGZlYXR1cmUgbmV0IGFwcHJvYWNoZXMgdG8gbW9kZWwgdGlzc3VlLWFpciBwYXJ0aXRp
b24gY29lZmZpY2llbnRzPC90aXRsZT48c2Vjb25kYXJ5LXRpdGxlPkpvdXJuYWwgb2YgY2hlbWlj
YWwgaW5mb3JtYXRpb24gYW5kIG1vZGVsaW5nPC9zZWNvbmRhcnktdGl0bGU+PC90aXRsZXM+PHBl
cmlvZGljYWw+PGZ1bGwtdGl0bGU+Sm91cm5hbCBvZiBjaGVtaWNhbCBpbmZvcm1hdGlvbiBhbmQg
bW9kZWxpbmc8L2Z1bGwtdGl0bGU+PC9wZXJpb2RpY2FsPjxwYWdlcz4xMzMtMTQ0PC9wYWdlcz48
dm9sdW1lPjQ5PC92b2x1bWU+PG51bWJlcj4xPC9udW1iZXI+PGRhdGVzPjx5ZWFyPjIwMDk8L3ll
YXI+PC9kYXRlcz48aXNibj4xNTQ5LTk1OTY8L2lzYm4+PHVybHM+PC91cmxzPjwvcmVjb3JkPjwv
Q2l0ZT48Q2l0ZT48QXV0aG9yPkRhdmlzPC9BdXRob3I+PFllYXI+MTk5NTwvWWVhcj48UmVjTnVt
PjExOTwvUmVjTnVtPjxyZWNvcmQ+PHJlYy1udW1iZXI+MTE5PC9yZWMtbnVtYmVyPjxmb3JlaWdu
LWtleXM+PGtleSBhcHA9IkVOIiBkYi1pZD0icjVzMjJ3NXJkMGRldmxlMDUwdjU1enJmYXNkZTV4
YXhmemFlIiB0aW1lc3RhbXA9IjE3NzQ3NTIzNjUiPjExOTwva2V5PjwvZm9yZWlnbi1rZXlzPjxy
ZWYtdHlwZSBuYW1lPSJDb25mZXJlbmNlIFByb2NlZWRpbmdzIj4xMDwvcmVmLXR5cGU+PGNvbnRy
aWJ1dG9ycz48YXV0aG9ycz48YXV0aG9yPkRhdmlzLCBJYW4gTGFuZTwvYXV0aG9yPjxhdXRob3I+
U3RlbnR6LCBBbnRob255PC9hdXRob3I+PC9hdXRob3JzPjwvY29udHJpYnV0b3JzPjx0aXRsZXM+
PHRpdGxlPlNlbnNvciBmdXNpb24gZm9yIGF1dG9ub21vdXMgb3V0ZG9vciBuYXZpZ2F0aW9uIHVz
aW5nIG5ldXJhbCBuZXR3b3JrczwvdGl0bGU+PHNlY29uZGFyeS10aXRsZT5Qcm9jZWVkaW5ncyAx
OTk1IElFRUUvUlNKIEludGVybmF0aW9uYWwgQ29uZmVyZW5jZSBvbiBJbnRlbGxpZ2VudCBSb2Jv
dHMgYW5kIFN5c3RlbXMuIEh1bWFuIFJvYm90IEludGVyYWN0aW9uIGFuZCBDb29wZXJhdGl2ZSBS
b2JvdHM8L3NlY29uZGFyeS10aXRsZT48L3RpdGxlcz48cGFnZXM+MzM4LTM0MzwvcGFnZXM+PHZv
bHVtZT4zPC92b2x1bWU+PGRhdGVzPjx5ZWFyPjE5OTU8L3llYXI+PC9kYXRlcz48cHVibGlzaGVy
PklFRUU8L3B1Ymxpc2hlcj48aXNibj4wODE4NjcxMDg0PC9pc2JuPjx1cmxzPjwvdXJscz48L3Jl
Y29yZD48L0NpdGU+PENpdGU+PEF1dGhvcj5XYWx0ZXI8L0F1dGhvcj48WWVhcj4yMDIyPC9ZZWFy
PjxSZWNOdW0+NTk8L1JlY051bT48cmVjb3JkPjxyZWMtbnVtYmVyPjU5PC9yZWMtbnVtYmVyPjxm
b3JlaWduLWtleXM+PGtleSBhcHA9IkVOIiBkYi1pZD0icjVzMjJ3NXJkMGRldmxlMDUwdjU1enJm
YXNkZTV4YXhmemFlIiB0aW1lc3RhbXA9IjE3NTY0MzQ1MTAiPjU5PC9rZXk+PC9mb3JlaWduLWtl
eXM+PHJlZi10eXBlIG5hbWU9IkpvdXJuYWwgQXJ0aWNsZSI+MTc8L3JlZi10eXBlPjxjb250cmli
dXRvcnM+PGF1dGhvcnM+PGF1dGhvcj5XYWx0ZXIsIE1vcml0ejwvYXV0aG9yPjxhdXRob3I+QWxs
ZW4sIEx1a2UgTjwvYXV0aG9yPjxhdXRob3I+ZGUgbGEgVmVnYSBkZSBMZW9uLCBBbnRvbmlvPC9h
dXRob3I+PGF1dGhvcj5XZWJiLCBTYW11ZWwgSjwvYXV0aG9yPjxhdXRob3I+R2lsbGV0LCBWYWxl
cmllIEo8L2F1dGhvcj48L2F1dGhvcnM+PC9jb250cmlidXRvcnM+PHRpdGxlcz48dGl0bGU+QW5h
bHlzaXMgb2YgdGhlIGJlbmVmaXRzIG9mIGltcHV0YXRpb24gbW9kZWxzIG92ZXIgdHJhZGl0aW9u
YWwgUVNBUiBtb2RlbHMgZm9yIHRveGljaXR5IHByZWRpY3Rpb248L3RpdGxlPjxzZWNvbmRhcnkt
dGl0bGU+Sm91cm5hbCBvZiBDaGVtaW5mb3JtYXRpY3M8L3NlY29uZGFyeS10aXRsZT48L3RpdGxl
cz48cGVyaW9kaWNhbD48ZnVsbC10aXRsZT5Kb3VybmFsIG9mIGNoZW1pbmZvcm1hdGljczwvZnVs
bC10aXRsZT48L3BlcmlvZGljYWw+PHBhZ2VzPjMyPC9wYWdlcz48dm9sdW1lPjE0PC92b2x1bWU+
PG51bWJlcj4xPC9udW1iZXI+PGRhdGVzPjx5ZWFyPjIwMjI8L3llYXI+PC9kYXRlcz48aXNibj4x
NzU4LTI5NDY8L2lzYm4+PHVybHM+PC91cmxzPjwvcmVjb3JkPjwvQ2l0ZT48L0VuZE5vdGU+AG==
</w:fldData>
        </w:fldChar>
      </w:r>
      <w:r w:rsidR="00710919">
        <w:rPr>
          <w:rFonts w:ascii="Times New Roman" w:hAnsi="Times New Roman" w:cs="Times New Roman"/>
          <w:color w:val="000000"/>
        </w:rPr>
        <w:instrText xml:space="preserve"> ADDIN EN.CITE.DATA </w:instrText>
      </w:r>
      <w:r w:rsidR="00710919">
        <w:rPr>
          <w:rFonts w:ascii="Times New Roman" w:hAnsi="Times New Roman" w:cs="Times New Roman"/>
          <w:color w:val="000000"/>
        </w:rPr>
      </w:r>
      <w:r w:rsidR="00710919">
        <w:rPr>
          <w:rFonts w:ascii="Times New Roman" w:hAnsi="Times New Roman" w:cs="Times New Roman"/>
          <w:color w:val="000000"/>
        </w:rPr>
        <w:fldChar w:fldCharType="end"/>
      </w:r>
      <w:r w:rsidRPr="00DF7431">
        <w:rPr>
          <w:rFonts w:ascii="Times New Roman" w:hAnsi="Times New Roman" w:cs="Times New Roman"/>
          <w:color w:val="000000"/>
        </w:rPr>
      </w:r>
      <w:r w:rsidRPr="00DF7431">
        <w:rPr>
          <w:rFonts w:ascii="Times New Roman" w:hAnsi="Times New Roman" w:cs="Times New Roman"/>
          <w:color w:val="000000"/>
        </w:rPr>
        <w:fldChar w:fldCharType="separate"/>
      </w:r>
      <w:r w:rsidR="00710919">
        <w:rPr>
          <w:rFonts w:ascii="Times New Roman" w:hAnsi="Times New Roman" w:cs="Times New Roman"/>
          <w:noProof/>
          <w:color w:val="000000"/>
        </w:rPr>
        <w:t>[5-7]</w:t>
      </w:r>
      <w:r w:rsidRPr="00DF7431">
        <w:rPr>
          <w:rFonts w:ascii="Times New Roman" w:hAnsi="Times New Roman" w:cs="Times New Roman"/>
          <w:color w:val="000000"/>
        </w:rPr>
        <w:fldChar w:fldCharType="end"/>
      </w:r>
      <w:r w:rsidRPr="00DF7431">
        <w:rPr>
          <w:rFonts w:ascii="Times New Roman" w:hAnsi="Times New Roman" w:cs="Times New Roman"/>
          <w:color w:val="000000"/>
        </w:rPr>
        <w:t xml:space="preserve">, to refine the input </w:t>
      </w:r>
      <w:r w:rsidR="00203FA8">
        <w:rPr>
          <w:rFonts w:ascii="Times New Roman" w:hAnsi="Times New Roman" w:cs="Times New Roman"/>
          <w:color w:val="000000"/>
        </w:rPr>
        <w:t>format</w:t>
      </w:r>
      <w:r w:rsidRPr="00DF7431">
        <w:rPr>
          <w:rFonts w:ascii="Times New Roman" w:hAnsi="Times New Roman" w:cs="Times New Roman"/>
          <w:color w:val="000000"/>
        </w:rPr>
        <w:t xml:space="preserve">. Third, the datasets were split into training and testing sets, and </w:t>
      </w:r>
      <w:r w:rsidR="006A74D3">
        <w:rPr>
          <w:rFonts w:ascii="Times New Roman" w:hAnsi="Times New Roman" w:cs="Times New Roman"/>
          <w:color w:val="000000"/>
        </w:rPr>
        <w:t xml:space="preserve">five-fold </w:t>
      </w:r>
      <w:r w:rsidRPr="00DF7431">
        <w:rPr>
          <w:rFonts w:ascii="Times New Roman" w:hAnsi="Times New Roman" w:cs="Times New Roman"/>
          <w:color w:val="000000"/>
        </w:rPr>
        <w:t xml:space="preserve">cross-validation was used for model selection. Moreover, class imbalanced issue has been </w:t>
      </w:r>
      <w:proofErr w:type="gramStart"/>
      <w:r w:rsidRPr="00DF7431">
        <w:rPr>
          <w:rFonts w:ascii="Times New Roman" w:hAnsi="Times New Roman" w:cs="Times New Roman"/>
          <w:color w:val="000000"/>
        </w:rPr>
        <w:t>taken into account</w:t>
      </w:r>
      <w:proofErr w:type="gramEnd"/>
      <w:r w:rsidRPr="00DF7431">
        <w:rPr>
          <w:rFonts w:ascii="Times New Roman" w:hAnsi="Times New Roman" w:cs="Times New Roman"/>
          <w:color w:val="000000"/>
        </w:rPr>
        <w:t xml:space="preserve"> when dealing with classification datasets under data preprocessing. Fourth, in the model training stage, two different neural </w:t>
      </w:r>
      <w:r w:rsidR="006C7868" w:rsidRPr="006C7868">
        <w:rPr>
          <w:rFonts w:ascii="Times New Roman" w:hAnsi="Times New Roman" w:cs="Times New Roman"/>
          <w:color w:val="000000"/>
        </w:rPr>
        <w:t>network-based</w:t>
      </w:r>
      <w:r w:rsidR="006C7868">
        <w:rPr>
          <w:rFonts w:ascii="Times New Roman" w:hAnsi="Times New Roman" w:cs="Times New Roman"/>
          <w:color w:val="000000"/>
        </w:rPr>
        <w:t xml:space="preserve"> </w:t>
      </w:r>
      <w:r w:rsidRPr="00DF7431">
        <w:rPr>
          <w:rFonts w:ascii="Times New Roman" w:hAnsi="Times New Roman" w:cs="Times New Roman"/>
          <w:color w:val="000000"/>
        </w:rPr>
        <w:t xml:space="preserve">architectures were used for molecular property prediction (Figures 1a-b). The first architecture was </w:t>
      </w:r>
      <w:r w:rsidR="002C5D20" w:rsidRPr="000D2BFE">
        <w:rPr>
          <w:rFonts w:ascii="Times New Roman" w:hAnsi="Times New Roman" w:cs="Times New Roman"/>
          <w:color w:val="000000"/>
        </w:rPr>
        <w:t>Multi-Layer Perceptron</w:t>
      </w:r>
      <w:r w:rsidR="002C5D20" w:rsidRPr="002C5D20">
        <w:rPr>
          <w:rFonts w:ascii="Times New Roman" w:hAnsi="Times New Roman" w:cs="Times New Roman"/>
          <w:color w:val="000000"/>
        </w:rPr>
        <w:t xml:space="preserve"> </w:t>
      </w:r>
      <w:r w:rsidR="002C5D20">
        <w:rPr>
          <w:rFonts w:ascii="Times New Roman" w:hAnsi="Times New Roman" w:cs="Times New Roman"/>
          <w:color w:val="000000"/>
        </w:rPr>
        <w:t>(</w:t>
      </w:r>
      <w:r w:rsidRPr="00DF7431">
        <w:rPr>
          <w:rFonts w:ascii="Times New Roman" w:hAnsi="Times New Roman" w:cs="Times New Roman"/>
          <w:color w:val="000000"/>
        </w:rPr>
        <w:t>MLP</w:t>
      </w:r>
      <w:r w:rsidR="002C5D20">
        <w:rPr>
          <w:rFonts w:ascii="Times New Roman" w:hAnsi="Times New Roman" w:cs="Times New Roman"/>
          <w:color w:val="000000"/>
        </w:rPr>
        <w:t>)</w:t>
      </w:r>
      <w:r w:rsidRPr="00DF7431">
        <w:rPr>
          <w:rFonts w:ascii="Times New Roman" w:hAnsi="Times New Roman" w:cs="Times New Roman"/>
          <w:color w:val="000000"/>
        </w:rPr>
        <w:t>, which served as a strong and simple baseline for evaluating molecular encoding methods across datasets. The second architecture incorporated Transformer encoder layers before the MLP</w:t>
      </w:r>
      <w:r w:rsidR="002C5D20">
        <w:rPr>
          <w:rFonts w:ascii="Times New Roman" w:hAnsi="Times New Roman" w:cs="Times New Roman"/>
          <w:color w:val="000000"/>
        </w:rPr>
        <w:t xml:space="preserve"> (MLP+TL)</w:t>
      </w:r>
      <w:r w:rsidRPr="00DF7431">
        <w:rPr>
          <w:rFonts w:ascii="Times New Roman" w:hAnsi="Times New Roman" w:cs="Times New Roman"/>
          <w:color w:val="000000"/>
        </w:rPr>
        <w:t xml:space="preserve">, allowing the model to capture interactions among fingerprint features and potentially learn richer structural dependencies. Fifth, model performance was assessed using task-specific evaluation metrics. For classification tasks, we used </w:t>
      </w:r>
      <w:r w:rsidRPr="00DF7431">
        <w:rPr>
          <w:rStyle w:val="a7"/>
          <w:rFonts w:ascii="Times New Roman" w:hAnsi="Times New Roman" w:cs="Times New Roman"/>
          <w:b w:val="0"/>
          <w:bCs w:val="0"/>
          <w:color w:val="000000"/>
        </w:rPr>
        <w:t>Area Under the Receiver Operating Characteristic Curve</w:t>
      </w:r>
      <w:r>
        <w:rPr>
          <w:rStyle w:val="a7"/>
          <w:color w:val="000000"/>
        </w:rPr>
        <w:t xml:space="preserve"> (</w:t>
      </w:r>
      <w:r w:rsidRPr="00DF7431">
        <w:rPr>
          <w:rFonts w:ascii="Times New Roman" w:hAnsi="Times New Roman" w:cs="Times New Roman"/>
          <w:color w:val="000000"/>
        </w:rPr>
        <w:t>AUC-ROC</w:t>
      </w:r>
      <w:r>
        <w:rPr>
          <w:rFonts w:ascii="Times New Roman" w:hAnsi="Times New Roman" w:cs="Times New Roman"/>
          <w:color w:val="000000"/>
        </w:rPr>
        <w:t>)</w:t>
      </w:r>
      <w:r w:rsidRPr="00DF7431">
        <w:rPr>
          <w:rFonts w:ascii="Times New Roman" w:hAnsi="Times New Roman" w:cs="Times New Roman"/>
          <w:color w:val="000000"/>
        </w:rPr>
        <w:t xml:space="preserve">, F1 score, Accuracy, Precision, and Recall capturing different aspects of predictive quality, especially under imbalanced conditions. For the solubility prediction task, which is formulated as a regression problem with continuous numerical outputs, we used </w:t>
      </w:r>
      <w:r w:rsidRPr="00DF7431">
        <w:rPr>
          <w:rStyle w:val="a7"/>
          <w:rFonts w:ascii="Times New Roman" w:hAnsi="Times New Roman" w:cs="Times New Roman"/>
          <w:b w:val="0"/>
          <w:bCs w:val="0"/>
          <w:color w:val="000000"/>
        </w:rPr>
        <w:t>Root Mean Squared Error (</w:t>
      </w:r>
      <w:r w:rsidRPr="00DF7431">
        <w:rPr>
          <w:rFonts w:ascii="Times New Roman" w:hAnsi="Times New Roman" w:cs="Times New Roman"/>
          <w:color w:val="000000"/>
        </w:rPr>
        <w:t>RMSE</w:t>
      </w:r>
      <w:r w:rsidRPr="00F87E5E">
        <w:rPr>
          <w:rFonts w:ascii="Times New Roman" w:hAnsi="Times New Roman" w:cs="Times New Roman"/>
          <w:color w:val="000000"/>
        </w:rPr>
        <w:t>)</w:t>
      </w:r>
      <w:r w:rsidRPr="00DF7431">
        <w:rPr>
          <w:rFonts w:ascii="Times New Roman" w:hAnsi="Times New Roman" w:cs="Times New Roman"/>
          <w:color w:val="000000"/>
        </w:rPr>
        <w:t xml:space="preserve">, </w:t>
      </w:r>
      <w:r w:rsidRPr="00DF7431">
        <w:rPr>
          <w:rStyle w:val="a7"/>
          <w:rFonts w:ascii="Times New Roman" w:hAnsi="Times New Roman" w:cs="Times New Roman"/>
          <w:b w:val="0"/>
          <w:bCs w:val="0"/>
          <w:color w:val="000000"/>
        </w:rPr>
        <w:t>Mean Squared Error (</w:t>
      </w:r>
      <w:r w:rsidRPr="00DF7431">
        <w:rPr>
          <w:rFonts w:ascii="Times New Roman" w:hAnsi="Times New Roman" w:cs="Times New Roman"/>
          <w:color w:val="000000"/>
        </w:rPr>
        <w:t>MSE</w:t>
      </w:r>
      <w:r w:rsidRPr="00F87E5E">
        <w:rPr>
          <w:rFonts w:ascii="Times New Roman" w:hAnsi="Times New Roman" w:cs="Times New Roman"/>
          <w:color w:val="000000"/>
        </w:rPr>
        <w:t>)</w:t>
      </w:r>
      <w:r w:rsidRPr="00DF7431">
        <w:rPr>
          <w:rFonts w:ascii="Times New Roman" w:hAnsi="Times New Roman" w:cs="Times New Roman"/>
          <w:color w:val="000000"/>
        </w:rPr>
        <w:t xml:space="preserve">, </w:t>
      </w:r>
      <w:r w:rsidRPr="00DF7431">
        <w:rPr>
          <w:rStyle w:val="a7"/>
          <w:rFonts w:ascii="Times New Roman" w:hAnsi="Times New Roman" w:cs="Times New Roman"/>
          <w:b w:val="0"/>
          <w:bCs w:val="0"/>
          <w:color w:val="000000"/>
        </w:rPr>
        <w:t>Mean Absolute Error (</w:t>
      </w:r>
      <w:r w:rsidRPr="00DF7431">
        <w:rPr>
          <w:rFonts w:ascii="Times New Roman" w:hAnsi="Times New Roman" w:cs="Times New Roman"/>
          <w:color w:val="000000"/>
        </w:rPr>
        <w:t>MAE</w:t>
      </w:r>
      <w:r w:rsidRPr="00F87E5E">
        <w:rPr>
          <w:rFonts w:ascii="Times New Roman" w:hAnsi="Times New Roman" w:cs="Times New Roman"/>
          <w:color w:val="000000"/>
        </w:rPr>
        <w:t>)</w:t>
      </w:r>
      <w:r w:rsidRPr="00DF7431">
        <w:rPr>
          <w:rFonts w:ascii="Times New Roman" w:hAnsi="Times New Roman" w:cs="Times New Roman"/>
          <w:color w:val="000000"/>
        </w:rPr>
        <w:t xml:space="preserve">, and </w:t>
      </w:r>
      <w:r w:rsidRPr="00DF7431">
        <w:rPr>
          <w:rStyle w:val="a7"/>
          <w:rFonts w:ascii="Times New Roman" w:hAnsi="Times New Roman" w:cs="Times New Roman"/>
          <w:b w:val="0"/>
          <w:bCs w:val="0"/>
          <w:color w:val="000000"/>
        </w:rPr>
        <w:t>Coefficient of Determination (</w:t>
      </w:r>
      <w:r w:rsidR="00B14B2F">
        <w:rPr>
          <w:rFonts w:ascii="Times New Roman" w:hAnsi="Times New Roman" w:cs="Times New Roman"/>
          <w:color w:val="000000"/>
        </w:rPr>
        <w:t>R²</w:t>
      </w:r>
      <w:r w:rsidRPr="00F87E5E">
        <w:rPr>
          <w:rFonts w:ascii="Times New Roman" w:hAnsi="Times New Roman" w:cs="Times New Roman"/>
          <w:color w:val="000000"/>
        </w:rPr>
        <w:t>)</w:t>
      </w:r>
      <w:r w:rsidRPr="00DF7431">
        <w:rPr>
          <w:rFonts w:ascii="Times New Roman" w:hAnsi="Times New Roman" w:cs="Times New Roman"/>
          <w:color w:val="000000"/>
        </w:rPr>
        <w:t>.</w:t>
      </w:r>
    </w:p>
    <w:p w14:paraId="4EBCF17A" w14:textId="77777777" w:rsidR="003421FA" w:rsidRDefault="003421FA" w:rsidP="002C5D20">
      <w:pPr>
        <w:autoSpaceDE w:val="0"/>
        <w:autoSpaceDN w:val="0"/>
        <w:adjustRightInd w:val="0"/>
        <w:ind w:firstLine="480"/>
        <w:jc w:val="both"/>
        <w:rPr>
          <w:rFonts w:ascii="Times New Roman" w:hAnsi="Times New Roman" w:cs="Times New Roman"/>
          <w:color w:val="000000"/>
        </w:rPr>
      </w:pPr>
    </w:p>
    <w:p w14:paraId="2B1E7F31" w14:textId="77777777" w:rsidR="003A3BD3" w:rsidRPr="0084120A" w:rsidRDefault="003A3BD3" w:rsidP="003A3BD3">
      <w:pPr>
        <w:jc w:val="both"/>
        <w:rPr>
          <w:rFonts w:ascii="Times New Roman" w:hAnsi="Times New Roman" w:cs="Times New Roman"/>
          <w:b/>
          <w:bCs/>
          <w:color w:val="000000"/>
          <w:kern w:val="2"/>
          <w:sz w:val="28"/>
          <w:szCs w:val="28"/>
        </w:rPr>
      </w:pPr>
      <w:r w:rsidRPr="0084120A">
        <w:rPr>
          <w:rFonts w:ascii="Times New Roman" w:hAnsi="Times New Roman" w:cs="Times New Roman"/>
          <w:b/>
          <w:bCs/>
          <w:color w:val="000000"/>
          <w:kern w:val="2"/>
          <w:sz w:val="28"/>
          <w:szCs w:val="28"/>
        </w:rPr>
        <w:t>Training and Testing</w:t>
      </w:r>
    </w:p>
    <w:p w14:paraId="4C023518" w14:textId="2279AFEB" w:rsidR="003A3BD3" w:rsidRPr="003A3BD3" w:rsidRDefault="003A3BD3" w:rsidP="003A3BD3">
      <w:pPr>
        <w:ind w:firstLine="480"/>
        <w:jc w:val="both"/>
        <w:rPr>
          <w:rFonts w:ascii="Times New Roman" w:hAnsi="Times New Roman" w:cs="Times New Roman"/>
          <w:color w:val="000000"/>
          <w:kern w:val="2"/>
        </w:rPr>
      </w:pPr>
      <w:r w:rsidRPr="003A3BD3">
        <w:rPr>
          <w:rFonts w:ascii="Times New Roman" w:hAnsi="Times New Roman" w:cs="Times New Roman"/>
          <w:color w:val="000000"/>
          <w:kern w:val="2"/>
        </w:rPr>
        <w:t xml:space="preserve">For model development, the dataset was first divided into a training-validation set and an internal test set at a ratio of 8:2. Within the training-validation set, five-fold cross-validation was performed to determine the optimal hyperparameters. After hyperparameter selection, the data were again split into training and validation subsets at a ratio of 8:2 for final model training. Early stopping was applied during training to prevent overfitting and improve generalization by terminating training when the validation performance no longer improved, thereby also reducing computational cost. </w:t>
      </w:r>
      <w:r w:rsidRPr="003A3BD3">
        <w:rPr>
          <w:rFonts w:ascii="Times New Roman" w:eastAsia="標楷體" w:hAnsi="Times New Roman" w:cs="Times New Roman"/>
          <w:color w:val="000000"/>
        </w:rPr>
        <w:t>For subsequent molecular-level prediction and interpretation,</w:t>
      </w:r>
      <w:r w:rsidRPr="003A3BD3">
        <w:rPr>
          <w:rFonts w:ascii="Times New Roman" w:hAnsi="Times New Roman" w:cs="Times New Roman"/>
          <w:color w:val="000000"/>
          <w:kern w:val="2"/>
        </w:rPr>
        <w:t xml:space="preserve"> we used the optimal hyperparameters obtained from five-fold cross-validation. The target molecule to be interpreted was treated as the single test sample, while the remaining molecules were split into training and validation sets at a ratio of 8:2 for model training with early stopping.</w:t>
      </w:r>
      <w:r w:rsidRPr="003A3BD3">
        <w:rPr>
          <w:rFonts w:ascii="Times New Roman" w:hAnsi="Times New Roman" w:cs="Times New Roman"/>
          <w:kern w:val="2"/>
        </w:rPr>
        <w:t xml:space="preserve"> </w:t>
      </w:r>
      <w:r w:rsidRPr="003A3BD3">
        <w:rPr>
          <w:rFonts w:ascii="Times New Roman" w:hAnsi="Times New Roman" w:cs="Times New Roman"/>
          <w:color w:val="000000"/>
          <w:kern w:val="2"/>
        </w:rPr>
        <w:t xml:space="preserve">To evaluate model performance, different metrics were adopted for classification and regression tasks. </w:t>
      </w:r>
      <w:r w:rsidRPr="003A3BD3">
        <w:rPr>
          <w:rFonts w:ascii="Times New Roman" w:eastAsia="標楷體" w:hAnsi="Times New Roman" w:cs="Times New Roman"/>
          <w:color w:val="000000"/>
        </w:rPr>
        <w:t xml:space="preserve">For classification tasks, the area under the receiver operating characteristic curve (AUC-ROC) was adopted as the primary metric in five-fold cross-validation. Unlike the F1 score, AUC-ROC is threshold-independent and therefore provided a more comprehensive assessment of model performance across different decision boundaries. Owing to this property, it has been widely applied in biological and biomedical data analysis. </w:t>
      </w:r>
      <w:r w:rsidRPr="003A3BD3">
        <w:rPr>
          <w:rFonts w:ascii="Times New Roman" w:hAnsi="Times New Roman" w:cs="Times New Roman"/>
          <w:color w:val="000000"/>
          <w:kern w:val="2"/>
        </w:rPr>
        <w:t>In contrast,</w:t>
      </w:r>
      <w:r w:rsidRPr="003A3BD3">
        <w:rPr>
          <w:rFonts w:ascii="Times New Roman" w:hAnsi="Times New Roman" w:cs="Times New Roman"/>
          <w:b/>
          <w:color w:val="000000"/>
          <w:kern w:val="2"/>
        </w:rPr>
        <w:t> </w:t>
      </w:r>
      <w:r w:rsidRPr="003A3BD3">
        <w:rPr>
          <w:rFonts w:ascii="Times New Roman" w:hAnsi="Times New Roman" w:cs="Times New Roman"/>
          <w:bCs/>
          <w:color w:val="000000"/>
          <w:kern w:val="2"/>
        </w:rPr>
        <w:t>f</w:t>
      </w:r>
      <w:r w:rsidRPr="003A3BD3">
        <w:rPr>
          <w:rFonts w:ascii="Times New Roman" w:eastAsia="標楷體" w:hAnsi="Times New Roman" w:cs="Times New Roman"/>
          <w:color w:val="000000"/>
        </w:rPr>
        <w:t xml:space="preserve">or the solubility prediction task, which was formulated as a regression problem on a continuous numerical dataset, RMSE was used as the principal evaluation metric because it is commonly employed in the literature and enables direct comparison with previous studies </w:t>
      </w:r>
      <w:r w:rsidRPr="003A3BD3">
        <w:rPr>
          <w:rFonts w:ascii="Times New Roman" w:eastAsia="標楷體" w:hAnsi="Times New Roman" w:cs="Times New Roman"/>
          <w:color w:val="000000"/>
        </w:rPr>
        <w:fldChar w:fldCharType="begin"/>
      </w:r>
      <w:r w:rsidR="00710919">
        <w:rPr>
          <w:rFonts w:ascii="Times New Roman" w:eastAsia="標楷體" w:hAnsi="Times New Roman" w:cs="Times New Roman"/>
          <w:color w:val="000000"/>
        </w:rPr>
        <w:instrText xml:space="preserve"> ADDIN EN.CITE &lt;EndNote&gt;&lt;Cite&gt;&lt;Author&gt;Meng&lt;/Author&gt;&lt;Year&gt;2022&lt;/Year&gt;&lt;RecNum&gt;76&lt;/RecNum&gt;&lt;DisplayText&gt;[8]&lt;/DisplayText&gt;&lt;record&gt;&lt;rec-number&gt;76&lt;/rec-number&gt;&lt;foreign-keys&gt;&lt;key app="EN" db-id="r5s22w5rd0devle050v55zrfasde5xaxfzae" timestamp="1773645173"&gt;76&lt;/key&gt;&lt;/foreign-keys&gt;&lt;ref-type name="Journal Article"&gt;17&lt;/ref-type&gt;&lt;contributors&gt;&lt;authors&gt;&lt;author&gt;Meng, Jintao&lt;/author&gt;&lt;author&gt;Chen, Peng&lt;/author&gt;&lt;author&gt;Wahib, Mohamed&lt;/author&gt;&lt;author&gt;Yang, Mingjun&lt;/author&gt;&lt;author&gt;Zheng, Liangzhen&lt;/author&gt;&lt;author&gt;Wei, Yanjie&lt;/author&gt;&lt;author&gt;Feng, Shengzhong&lt;/author&gt;&lt;author&gt;Liu, Wei&lt;/author&gt;&lt;/authors&gt;&lt;/contributors&gt;&lt;titles&gt;&lt;title&gt;Boosting the predictive performance with aqueous solubility dataset curation&lt;/title&gt;&lt;secondary-title&gt;Scientific Data&lt;/secondary-title&gt;&lt;/titles&gt;&lt;periodical&gt;&lt;full-title&gt;Scientific Data&lt;/full-title&gt;&lt;/periodical&gt;&lt;pages&gt;71&lt;/pages&gt;&lt;volume&gt;9&lt;/volume&gt;&lt;number&gt;1&lt;/number&gt;&lt;dates&gt;&lt;year&gt;2022&lt;/year&gt;&lt;/dates&gt;&lt;isbn&gt;2052-4463&lt;/isbn&gt;&lt;urls&gt;&lt;/urls&gt;&lt;/record&gt;&lt;/Cite&gt;&lt;/EndNote&gt;</w:instrText>
      </w:r>
      <w:r w:rsidRPr="003A3BD3">
        <w:rPr>
          <w:rFonts w:ascii="Times New Roman" w:eastAsia="標楷體" w:hAnsi="Times New Roman" w:cs="Times New Roman"/>
          <w:color w:val="000000"/>
        </w:rPr>
        <w:fldChar w:fldCharType="separate"/>
      </w:r>
      <w:r w:rsidR="00710919">
        <w:rPr>
          <w:rFonts w:ascii="Times New Roman" w:eastAsia="標楷體" w:hAnsi="Times New Roman" w:cs="Times New Roman"/>
          <w:noProof/>
          <w:color w:val="000000"/>
        </w:rPr>
        <w:t>[8]</w:t>
      </w:r>
      <w:r w:rsidRPr="003A3BD3">
        <w:rPr>
          <w:rFonts w:ascii="Times New Roman" w:eastAsia="標楷體" w:hAnsi="Times New Roman" w:cs="Times New Roman"/>
          <w:color w:val="000000"/>
        </w:rPr>
        <w:fldChar w:fldCharType="end"/>
      </w:r>
      <w:r w:rsidRPr="003A3BD3">
        <w:rPr>
          <w:rFonts w:ascii="Times New Roman" w:eastAsia="標楷體" w:hAnsi="Times New Roman" w:cs="Times New Roman"/>
          <w:color w:val="000000"/>
        </w:rPr>
        <w:t>.</w:t>
      </w:r>
      <w:r w:rsidRPr="003A3BD3">
        <w:rPr>
          <w:rFonts w:ascii="Times New Roman" w:hAnsi="Times New Roman" w:cs="Times New Roman"/>
          <w:color w:val="000000"/>
          <w:kern w:val="2"/>
        </w:rPr>
        <w:t xml:space="preserve"> For BBBP external validation, since B3DB </w:t>
      </w:r>
      <w:r w:rsidRPr="003A3BD3">
        <w:rPr>
          <w:rFonts w:ascii="Times New Roman" w:hAnsi="Times New Roman" w:cs="Times New Roman"/>
          <w:color w:val="000000"/>
          <w:kern w:val="2"/>
        </w:rPr>
        <w:fldChar w:fldCharType="begin"/>
      </w:r>
      <w:r w:rsidR="00710919">
        <w:rPr>
          <w:rFonts w:ascii="Times New Roman" w:hAnsi="Times New Roman" w:cs="Times New Roman"/>
          <w:color w:val="000000"/>
          <w:kern w:val="2"/>
        </w:rPr>
        <w:instrText xml:space="preserve"> ADDIN EN.CITE &lt;EndNote&gt;&lt;Cite&gt;&lt;Author&gt;Meng&lt;/Author&gt;&lt;Year&gt;2021&lt;/Year&gt;&lt;RecNum&gt;88&lt;/RecNum&gt;&lt;DisplayText&gt;[9]&lt;/DisplayText&gt;&lt;record&gt;&lt;rec-number&gt;88&lt;/rec-number&gt;&lt;foreign-keys&gt;&lt;key app="EN" db-id="r5s22w5rd0devle050v55zrfasde5xaxfzae" timestamp="1773762098"&gt;88&lt;/key&gt;&lt;/foreign-keys&gt;&lt;ref-type name="Journal Article"&gt;17&lt;/ref-type&gt;&lt;contributors&gt;&lt;authors&gt;&lt;author&gt;Meng, Fanwang&lt;/author&gt;&lt;author&gt;Xi, Yang&lt;/author&gt;&lt;author&gt;Huang, Jinfeng&lt;/author&gt;&lt;author&gt;Ayers, Paul W&lt;/author&gt;&lt;/authors&gt;&lt;/contributors&gt;&lt;titles&gt;&lt;title&gt;A curated diverse molecular database of blood-brain barrier permeability with chemical descriptors&lt;/title&gt;&lt;secondary-title&gt;Scientific Data&lt;/secondary-title&gt;&lt;/titles&gt;&lt;periodical&gt;&lt;full-title&gt;Scientific Data&lt;/full-title&gt;&lt;/periodical&gt;&lt;pages&gt;289&lt;/pages&gt;&lt;volume&gt;8&lt;/volume&gt;&lt;number&gt;1&lt;/number&gt;&lt;dates&gt;&lt;year&gt;2021&lt;/year&gt;&lt;/dates&gt;&lt;isbn&gt;2052-4463&lt;/isbn&gt;&lt;urls&gt;&lt;/urls&gt;&lt;/record&gt;&lt;/Cite&gt;&lt;/EndNote&gt;</w:instrText>
      </w:r>
      <w:r w:rsidRPr="003A3BD3">
        <w:rPr>
          <w:rFonts w:ascii="Times New Roman" w:hAnsi="Times New Roman" w:cs="Times New Roman"/>
          <w:color w:val="000000"/>
          <w:kern w:val="2"/>
        </w:rPr>
        <w:fldChar w:fldCharType="separate"/>
      </w:r>
      <w:r w:rsidR="00710919">
        <w:rPr>
          <w:rFonts w:ascii="Times New Roman" w:hAnsi="Times New Roman" w:cs="Times New Roman"/>
          <w:noProof/>
          <w:color w:val="000000"/>
          <w:kern w:val="2"/>
        </w:rPr>
        <w:t>[9]</w:t>
      </w:r>
      <w:r w:rsidRPr="003A3BD3">
        <w:rPr>
          <w:rFonts w:ascii="Times New Roman" w:hAnsi="Times New Roman" w:cs="Times New Roman"/>
          <w:color w:val="000000"/>
          <w:kern w:val="2"/>
        </w:rPr>
        <w:fldChar w:fldCharType="end"/>
      </w:r>
      <w:r w:rsidRPr="003A3BD3">
        <w:rPr>
          <w:rFonts w:ascii="Times New Roman" w:hAnsi="Times New Roman" w:cs="Times New Roman"/>
          <w:color w:val="000000"/>
          <w:kern w:val="2"/>
        </w:rPr>
        <w:t xml:space="preserve"> contained molecules originating from BBBP, we first removed all molecules in B3DB that shared the same CID or InChI </w:t>
      </w:r>
      <w:r w:rsidRPr="003A3BD3">
        <w:rPr>
          <w:rFonts w:ascii="Times New Roman" w:hAnsi="Times New Roman" w:cs="Times New Roman"/>
          <w:kern w:val="2"/>
        </w:rPr>
        <w:fldChar w:fldCharType="begin"/>
      </w:r>
      <w:r w:rsidR="00710919">
        <w:rPr>
          <w:rFonts w:ascii="Times New Roman" w:hAnsi="Times New Roman" w:cs="Times New Roman"/>
          <w:kern w:val="2"/>
        </w:rPr>
        <w:instrText xml:space="preserve"> ADDIN EN.CITE &lt;EndNote&gt;&lt;Cite&gt;&lt;Author&gt;Heller&lt;/Author&gt;&lt;Year&gt;2015&lt;/Year&gt;&lt;RecNum&gt;79&lt;/RecNum&gt;&lt;DisplayText&gt;[2]&lt;/DisplayText&gt;&lt;record&gt;&lt;rec-number&gt;79&lt;/rec-number&gt;&lt;foreign-keys&gt;&lt;key app="EN" db-id="r5s22w5rd0devle050v55zrfasde5xaxfzae" timestamp="1773760235"&gt;79&lt;/key&gt;&lt;/foreign-keys&gt;&lt;ref-type name="Journal Article"&gt;17&lt;/ref-type&gt;&lt;contributors&gt;&lt;authors&gt;&lt;author&gt;Heller, Stephen R&lt;/author&gt;&lt;author&gt;McNaught, Alan&lt;/author&gt;&lt;author&gt;Pletnev, Igor&lt;/author&gt;&lt;author&gt;Stein, Stephen&lt;/author&gt;&lt;author&gt;Tchekhovskoi, Dmitrii&lt;/author&gt;&lt;/authors&gt;&lt;/contributors&gt;&lt;titles&gt;&lt;title&gt;InChI, the IUPAC international chemical identifier&lt;/title&gt;&lt;secondary-title&gt;Journal of cheminformatics&lt;/secondary-title&gt;&lt;/titles&gt;&lt;periodical&gt;&lt;full-title&gt;Journal of cheminformatics&lt;/full-title&gt;&lt;/periodical&gt;&lt;pages&gt;23&lt;/pages&gt;&lt;volume&gt;7&lt;/volume&gt;&lt;number&gt;1&lt;/number&gt;&lt;dates&gt;&lt;year&gt;2015&lt;/year&gt;&lt;/dates&gt;&lt;isbn&gt;1758-2946&lt;/isbn&gt;&lt;urls&gt;&lt;/urls&gt;&lt;/record&gt;&lt;/Cite&gt;&lt;/EndNote&gt;</w:instrText>
      </w:r>
      <w:r w:rsidRPr="003A3BD3">
        <w:rPr>
          <w:rFonts w:ascii="Times New Roman" w:hAnsi="Times New Roman" w:cs="Times New Roman"/>
          <w:kern w:val="2"/>
        </w:rPr>
        <w:fldChar w:fldCharType="separate"/>
      </w:r>
      <w:r w:rsidR="00710919">
        <w:rPr>
          <w:rFonts w:ascii="Times New Roman" w:hAnsi="Times New Roman" w:cs="Times New Roman"/>
          <w:noProof/>
          <w:kern w:val="2"/>
        </w:rPr>
        <w:t>[2]</w:t>
      </w:r>
      <w:r w:rsidRPr="003A3BD3">
        <w:rPr>
          <w:rFonts w:ascii="Times New Roman" w:hAnsi="Times New Roman" w:cs="Times New Roman"/>
          <w:kern w:val="2"/>
        </w:rPr>
        <w:fldChar w:fldCharType="end"/>
      </w:r>
      <w:r w:rsidRPr="003A3BD3">
        <w:rPr>
          <w:rFonts w:ascii="Times New Roman" w:hAnsi="Times New Roman" w:cs="Times New Roman"/>
          <w:color w:val="000000"/>
          <w:kern w:val="2"/>
        </w:rPr>
        <w:t xml:space="preserve"> with molecules in BBBP. We further observed that some molecules in B3DB still had the same compound names as those in BBBP. To avoid potential data leakage, these molecules were removed from B3DB as well. After this filtering process, the final size of B3DB was 4,368 molecules. In addition, after standardizing the molecules in the A+P datasets, which served as the external dataset for ESOL, we checked whether any molecules had the same SMILES strings as those in ESOL. If duplicated SMILES were identified, the corresponding molecules were removed from A+P. The remaining molecules from A+P were then combined </w:t>
      </w:r>
      <w:r w:rsidRPr="003A3BD3">
        <w:rPr>
          <w:rFonts w:ascii="Times New Roman" w:hAnsi="Times New Roman" w:cs="Times New Roman"/>
          <w:color w:val="000000"/>
          <w:kern w:val="2"/>
        </w:rPr>
        <w:lastRenderedPageBreak/>
        <w:t>to form the external dataset. After that, the combined size of A+P owned 1362 molecules. To assess whether the external dataset had a distribution comparable to that of the training dataset, visualization was performed (Figure S</w:t>
      </w:r>
      <w:r w:rsidR="00401FB9">
        <w:rPr>
          <w:rFonts w:ascii="Times New Roman" w:hAnsi="Times New Roman" w:cs="Times New Roman"/>
          <w:color w:val="000000"/>
          <w:kern w:val="2"/>
        </w:rPr>
        <w:t>9</w:t>
      </w:r>
      <w:r w:rsidRPr="003A3BD3">
        <w:rPr>
          <w:rFonts w:ascii="Times New Roman" w:hAnsi="Times New Roman" w:cs="Times New Roman"/>
          <w:color w:val="000000"/>
          <w:kern w:val="2"/>
        </w:rPr>
        <w:t>a-b).</w:t>
      </w:r>
    </w:p>
    <w:p w14:paraId="031884F2" w14:textId="77777777" w:rsidR="005B52DA" w:rsidRPr="003A3BD3" w:rsidRDefault="005B52DA" w:rsidP="00DF7431">
      <w:pPr>
        <w:autoSpaceDE w:val="0"/>
        <w:autoSpaceDN w:val="0"/>
        <w:adjustRightInd w:val="0"/>
        <w:ind w:firstLine="480"/>
        <w:jc w:val="both"/>
        <w:rPr>
          <w:rFonts w:ascii="Times New Roman" w:hAnsi="Times New Roman" w:cs="Times New Roman"/>
          <w:color w:val="000000"/>
        </w:rPr>
      </w:pPr>
    </w:p>
    <w:p w14:paraId="5C5CC119" w14:textId="77777777" w:rsidR="00D12993" w:rsidRPr="00B62CF9" w:rsidRDefault="00D12993" w:rsidP="00D12993">
      <w:pPr>
        <w:jc w:val="both"/>
        <w:rPr>
          <w:rFonts w:ascii="Times New Roman" w:hAnsi="Times New Roman" w:cs="Times New Roman"/>
          <w:b/>
          <w:bCs/>
          <w:color w:val="000000"/>
          <w:sz w:val="28"/>
          <w:szCs w:val="28"/>
        </w:rPr>
      </w:pPr>
      <w:r w:rsidRPr="00B62CF9">
        <w:rPr>
          <w:rFonts w:ascii="Times New Roman" w:hAnsi="Times New Roman" w:cs="Times New Roman"/>
          <w:b/>
          <w:bCs/>
          <w:color w:val="000000"/>
          <w:sz w:val="28"/>
          <w:szCs w:val="28"/>
        </w:rPr>
        <w:t>Hyperparameter analysis</w:t>
      </w:r>
    </w:p>
    <w:p w14:paraId="6D68CEF2" w14:textId="0D9DD76B" w:rsidR="00D12993" w:rsidRPr="000D2BFE" w:rsidRDefault="00D12993" w:rsidP="00D12993">
      <w:pPr>
        <w:ind w:firstLine="480"/>
        <w:jc w:val="both"/>
        <w:rPr>
          <w:rFonts w:ascii="Times New Roman" w:hAnsi="Times New Roman" w:cs="Times New Roman"/>
          <w:color w:val="000000"/>
        </w:rPr>
      </w:pPr>
      <w:r w:rsidRPr="000D2BFE">
        <w:rPr>
          <w:rFonts w:ascii="Times New Roman" w:hAnsi="Times New Roman" w:cs="Times New Roman"/>
          <w:color w:val="000000"/>
        </w:rPr>
        <w:t>We implemented two models: MLP</w:t>
      </w:r>
      <w:r w:rsidR="002C5D20">
        <w:rPr>
          <w:rFonts w:ascii="Times New Roman" w:hAnsi="Times New Roman" w:cs="Times New Roman"/>
          <w:color w:val="000000"/>
        </w:rPr>
        <w:t xml:space="preserve"> </w:t>
      </w:r>
      <w:r w:rsidRPr="000D2BFE">
        <w:rPr>
          <w:rFonts w:ascii="Times New Roman" w:hAnsi="Times New Roman" w:cs="Times New Roman"/>
          <w:color w:val="000000"/>
        </w:rPr>
        <w:t>and MLP+TL, following the workflow detailed in</w:t>
      </w:r>
      <w:r w:rsidRPr="00CF1630">
        <w:rPr>
          <w:rFonts w:ascii="Times New Roman" w:hAnsi="Times New Roman" w:cs="Times New Roman"/>
          <w:color w:val="000000"/>
        </w:rPr>
        <w:t xml:space="preserve"> Figure 2 and Figure 3. </w:t>
      </w:r>
      <w:r w:rsidRPr="000D2BFE">
        <w:rPr>
          <w:rFonts w:ascii="Times New Roman" w:hAnsi="Times New Roman" w:cs="Times New Roman"/>
          <w:color w:val="000000"/>
        </w:rPr>
        <w:t xml:space="preserve">For both models, critical hyperparameters—including the number of hidden layers, normalization techniques, dropout rates, optimizer, activation function, and loss functions—were optimized through hyperparameter tuning, with Adam </w:t>
      </w:r>
      <w:r w:rsidRPr="000D2BFE">
        <w:rPr>
          <w:rFonts w:ascii="Times New Roman" w:hAnsi="Times New Roman" w:cs="Times New Roman"/>
          <w:color w:val="000000"/>
        </w:rPr>
        <w:fldChar w:fldCharType="begin"/>
      </w:r>
      <w:r w:rsidR="00710919">
        <w:rPr>
          <w:rFonts w:ascii="Times New Roman" w:hAnsi="Times New Roman" w:cs="Times New Roman"/>
          <w:color w:val="000000"/>
        </w:rPr>
        <w:instrText xml:space="preserve"> ADDIN EN.CITE &lt;EndNote&gt;&lt;Cite&gt;&lt;Author&gt;Kingma&lt;/Author&gt;&lt;Year&gt;2014&lt;/Year&gt;&lt;RecNum&gt;104&lt;/RecNum&gt;&lt;DisplayText&gt;[10]&lt;/DisplayText&gt;&lt;record&gt;&lt;rec-number&gt;104&lt;/rec-number&gt;&lt;foreign-keys&gt;&lt;key app="EN" db-id="r5s22w5rd0devle050v55zrfasde5xaxfzae" timestamp="1773794519"&gt;104&lt;/key&gt;&lt;/foreign-keys&gt;&lt;ref-type name="Journal Article"&gt;17&lt;/ref-type&gt;&lt;contributors&gt;&lt;authors&gt;&lt;author&gt;Kingma, Diederik P&lt;/author&gt;&lt;author&gt;Ba, Jimmy&lt;/author&gt;&lt;/authors&gt;&lt;/contributors&gt;&lt;titles&gt;&lt;title&gt;Adam: A method for stochastic optimization&lt;/title&gt;&lt;secondary-title&gt;arXiv preprint arXiv:1412.6980&lt;/secondary-title&gt;&lt;/titles&gt;&lt;periodical&gt;&lt;full-title&gt;arXiv preprint arXiv:1412.6980&lt;/full-title&gt;&lt;/periodical&gt;&lt;dates&gt;&lt;year&gt;2014&lt;/year&gt;&lt;/dates&gt;&lt;urls&gt;&lt;/urls&gt;&lt;/record&gt;&lt;/Cite&gt;&lt;/EndNote&gt;</w:instrText>
      </w:r>
      <w:r w:rsidRPr="000D2BFE">
        <w:rPr>
          <w:rFonts w:ascii="Times New Roman" w:hAnsi="Times New Roman" w:cs="Times New Roman"/>
          <w:color w:val="000000"/>
        </w:rPr>
        <w:fldChar w:fldCharType="separate"/>
      </w:r>
      <w:r w:rsidR="00710919">
        <w:rPr>
          <w:rFonts w:ascii="Times New Roman" w:hAnsi="Times New Roman" w:cs="Times New Roman"/>
          <w:noProof/>
          <w:color w:val="000000"/>
        </w:rPr>
        <w:t>[10]</w:t>
      </w:r>
      <w:r w:rsidRPr="000D2BFE">
        <w:rPr>
          <w:rFonts w:ascii="Times New Roman" w:hAnsi="Times New Roman" w:cs="Times New Roman"/>
          <w:color w:val="000000"/>
        </w:rPr>
        <w:fldChar w:fldCharType="end"/>
      </w:r>
      <w:r w:rsidRPr="000D2BFE">
        <w:rPr>
          <w:rFonts w:ascii="Times New Roman" w:hAnsi="Times New Roman" w:cs="Times New Roman"/>
          <w:color w:val="000000"/>
        </w:rPr>
        <w:t xml:space="preserve"> chosen as the optimizer</w:t>
      </w:r>
      <w:r>
        <w:rPr>
          <w:rFonts w:ascii="Times New Roman" w:hAnsi="Times New Roman" w:cs="Times New Roman"/>
          <w:color w:val="000000"/>
        </w:rPr>
        <w:t xml:space="preserve">, </w:t>
      </w:r>
      <w:proofErr w:type="spellStart"/>
      <w:r w:rsidRPr="000D2BFE">
        <w:rPr>
          <w:rFonts w:ascii="Times New Roman" w:hAnsi="Times New Roman" w:cs="Times New Roman"/>
          <w:color w:val="000000"/>
        </w:rPr>
        <w:t>ReLU</w:t>
      </w:r>
      <w:proofErr w:type="spellEnd"/>
      <w:r w:rsidRPr="000D2BFE">
        <w:rPr>
          <w:rFonts w:ascii="Times New Roman" w:hAnsi="Times New Roman" w:cs="Times New Roman"/>
          <w:color w:val="000000"/>
        </w:rPr>
        <w:t xml:space="preserve"> </w:t>
      </w:r>
      <w:r w:rsidRPr="000D2BFE">
        <w:rPr>
          <w:rFonts w:ascii="Times New Roman" w:hAnsi="Times New Roman" w:cs="Times New Roman"/>
          <w:color w:val="000000"/>
        </w:rPr>
        <w:fldChar w:fldCharType="begin"/>
      </w:r>
      <w:r w:rsidR="00710919">
        <w:rPr>
          <w:rFonts w:ascii="Times New Roman" w:hAnsi="Times New Roman" w:cs="Times New Roman"/>
          <w:color w:val="000000"/>
        </w:rPr>
        <w:instrText xml:space="preserve"> ADDIN EN.CITE &lt;EndNote&gt;&lt;Cite&gt;&lt;Author&gt;Glorot&lt;/Author&gt;&lt;Year&gt;2011&lt;/Year&gt;&lt;RecNum&gt;16&lt;/RecNum&gt;&lt;DisplayText&gt;[11]&lt;/DisplayText&gt;&lt;record&gt;&lt;rec-number&gt;16&lt;/rec-number&gt;&lt;foreign-keys&gt;&lt;key app="EN" db-id="r5s22w5rd0devle050v55zrfasde5xaxfzae" timestamp="1739361861"&gt;16&lt;/key&gt;&lt;/foreign-keys&gt;&lt;ref-type name="Conference Proceedings"&gt;10&lt;/ref-type&gt;&lt;contributors&gt;&lt;authors&gt;&lt;author&gt;Glorot, Xavier&lt;/author&gt;&lt;author&gt;Bordes, Antoine&lt;/author&gt;&lt;author&gt;Bengio, Yoshua&lt;/author&gt;&lt;/authors&gt;&lt;/contributors&gt;&lt;titles&gt;&lt;title&gt;Deep sparse rectifier neural networks&lt;/title&gt;&lt;secondary-title&gt;Proceedings of the fourteenth international conference on artificial intelligence and statistics&lt;/secondary-title&gt;&lt;/titles&gt;&lt;pages&gt;315-323&lt;/pages&gt;&lt;dates&gt;&lt;year&gt;2011&lt;/year&gt;&lt;/dates&gt;&lt;publisher&gt;JMLR Workshop and Conference Proceedings&lt;/publisher&gt;&lt;urls&gt;&lt;/urls&gt;&lt;/record&gt;&lt;/Cite&gt;&lt;/EndNote&gt;</w:instrText>
      </w:r>
      <w:r w:rsidRPr="000D2BFE">
        <w:rPr>
          <w:rFonts w:ascii="Times New Roman" w:hAnsi="Times New Roman" w:cs="Times New Roman"/>
          <w:color w:val="000000"/>
        </w:rPr>
        <w:fldChar w:fldCharType="separate"/>
      </w:r>
      <w:r w:rsidR="00710919">
        <w:rPr>
          <w:rFonts w:ascii="Times New Roman" w:hAnsi="Times New Roman" w:cs="Times New Roman"/>
          <w:noProof/>
          <w:color w:val="000000"/>
        </w:rPr>
        <w:t>[11]</w:t>
      </w:r>
      <w:r w:rsidRPr="000D2BFE">
        <w:rPr>
          <w:rFonts w:ascii="Times New Roman" w:hAnsi="Times New Roman" w:cs="Times New Roman"/>
          <w:color w:val="000000"/>
        </w:rPr>
        <w:fldChar w:fldCharType="end"/>
      </w:r>
      <w:r w:rsidRPr="000D2BFE">
        <w:rPr>
          <w:rFonts w:ascii="Times New Roman" w:hAnsi="Times New Roman" w:cs="Times New Roman"/>
          <w:color w:val="000000"/>
        </w:rPr>
        <w:t xml:space="preserve"> chosen as the activation function of trans</w:t>
      </w:r>
      <w:r>
        <w:rPr>
          <w:rFonts w:ascii="Times New Roman" w:hAnsi="Times New Roman" w:cs="Times New Roman"/>
          <w:color w:val="000000"/>
        </w:rPr>
        <w:t>former</w:t>
      </w:r>
      <w:r w:rsidRPr="000D2BFE">
        <w:rPr>
          <w:rFonts w:ascii="Times New Roman" w:hAnsi="Times New Roman" w:cs="Times New Roman"/>
          <w:color w:val="000000"/>
        </w:rPr>
        <w:t xml:space="preserve"> encoder layer, </w:t>
      </w:r>
      <w:r>
        <w:rPr>
          <w:rFonts w:ascii="Times New Roman" w:hAnsi="Times New Roman" w:cs="Times New Roman"/>
          <w:color w:val="000000"/>
        </w:rPr>
        <w:t xml:space="preserve">and </w:t>
      </w:r>
      <w:proofErr w:type="spellStart"/>
      <w:r w:rsidRPr="000D2BFE">
        <w:rPr>
          <w:rFonts w:ascii="Times New Roman" w:hAnsi="Times New Roman" w:cs="Times New Roman"/>
          <w:color w:val="000000"/>
        </w:rPr>
        <w:t>LeakyReLU</w:t>
      </w:r>
      <w:proofErr w:type="spellEnd"/>
      <w:r w:rsidRPr="000D2BFE">
        <w:rPr>
          <w:rFonts w:ascii="Times New Roman" w:hAnsi="Times New Roman" w:cs="Times New Roman"/>
          <w:color w:val="000000"/>
        </w:rPr>
        <w:t xml:space="preserve"> </w:t>
      </w:r>
      <w:r w:rsidRPr="000D2BFE">
        <w:rPr>
          <w:rFonts w:ascii="Times New Roman" w:hAnsi="Times New Roman" w:cs="Times New Roman"/>
          <w:color w:val="000000" w:themeColor="text1"/>
        </w:rPr>
        <w:fldChar w:fldCharType="begin"/>
      </w:r>
      <w:r w:rsidR="00710919">
        <w:rPr>
          <w:rFonts w:ascii="Times New Roman" w:hAnsi="Times New Roman" w:cs="Times New Roman"/>
          <w:color w:val="000000" w:themeColor="text1"/>
        </w:rPr>
        <w:instrText xml:space="preserve"> ADDIN EN.CITE &lt;EndNote&gt;&lt;Cite&gt;&lt;Author&gt;Maas&lt;/Author&gt;&lt;Year&gt;2013&lt;/Year&gt;&lt;RecNum&gt;77&lt;/RecNum&gt;&lt;DisplayText&gt;[12]&lt;/DisplayText&gt;&lt;record&gt;&lt;rec-number&gt;77&lt;/rec-number&gt;&lt;foreign-keys&gt;&lt;key app="EN" db-id="r5s22w5rd0devle050v55zrfasde5xaxfzae" timestamp="1773739857"&gt;77&lt;/key&gt;&lt;/foreign-keys&gt;&lt;ref-type name="Conference Proceedings"&gt;10&lt;/ref-type&gt;&lt;contributors&gt;&lt;authors&gt;&lt;author&gt;Maas, Andrew L&lt;/author&gt;&lt;author&gt;Hannun, Awni Y&lt;/author&gt;&lt;author&gt;Ng, Andrew Y&lt;/author&gt;&lt;/authors&gt;&lt;/contributors&gt;&lt;titles&gt;&lt;title&gt;Rectifier nonlinearities improve neural network acoustic models&lt;/title&gt;&lt;secondary-title&gt;Proc. icml&lt;/secondary-title&gt;&lt;/titles&gt;&lt;pages&gt;3&lt;/pages&gt;&lt;volume&gt;30&lt;/volume&gt;&lt;number&gt;1&lt;/number&gt;&lt;dates&gt;&lt;year&gt;2013&lt;/year&gt;&lt;/dates&gt;&lt;publisher&gt;Atlanta, GA&lt;/publisher&gt;&lt;urls&gt;&lt;/urls&gt;&lt;/record&gt;&lt;/Cite&gt;&lt;/EndNote&gt;</w:instrText>
      </w:r>
      <w:r w:rsidRPr="000D2BFE">
        <w:rPr>
          <w:rFonts w:ascii="Times New Roman" w:hAnsi="Times New Roman" w:cs="Times New Roman"/>
          <w:color w:val="000000" w:themeColor="text1"/>
        </w:rPr>
        <w:fldChar w:fldCharType="separate"/>
      </w:r>
      <w:r w:rsidR="00710919">
        <w:rPr>
          <w:rFonts w:ascii="Times New Roman" w:hAnsi="Times New Roman" w:cs="Times New Roman"/>
          <w:noProof/>
          <w:color w:val="000000" w:themeColor="text1"/>
        </w:rPr>
        <w:t>[12]</w:t>
      </w:r>
      <w:r w:rsidRPr="000D2BFE">
        <w:rPr>
          <w:rFonts w:ascii="Times New Roman" w:hAnsi="Times New Roman" w:cs="Times New Roman"/>
          <w:color w:val="000000" w:themeColor="text1"/>
        </w:rPr>
        <w:fldChar w:fldCharType="end"/>
      </w:r>
      <w:r w:rsidRPr="000D2BFE">
        <w:rPr>
          <w:rFonts w:ascii="Times New Roman" w:hAnsi="Times New Roman" w:cs="Times New Roman"/>
          <w:color w:val="000000"/>
        </w:rPr>
        <w:t xml:space="preserve"> chosen as the activation function of MLP.</w:t>
      </w:r>
      <w:r w:rsidR="00342777">
        <w:rPr>
          <w:rFonts w:ascii="Times New Roman" w:hAnsi="Times New Roman" w:cs="Times New Roman"/>
          <w:color w:val="000000"/>
        </w:rPr>
        <w:t xml:space="preserve"> (Supplementary 2 Tables S24-31)</w:t>
      </w:r>
    </w:p>
    <w:p w14:paraId="68D80536" w14:textId="5F0B3B62" w:rsidR="00D12993" w:rsidRPr="000D2BFE" w:rsidRDefault="00D12993" w:rsidP="00D12993">
      <w:pPr>
        <w:ind w:firstLine="480"/>
        <w:jc w:val="both"/>
        <w:rPr>
          <w:rFonts w:ascii="Times New Roman" w:hAnsi="Times New Roman" w:cs="Times New Roman"/>
          <w:color w:val="000000"/>
        </w:rPr>
      </w:pPr>
      <w:r w:rsidRPr="000D2BFE">
        <w:rPr>
          <w:rFonts w:ascii="Times New Roman" w:hAnsi="Times New Roman" w:cs="Times New Roman"/>
          <w:color w:val="000000"/>
        </w:rPr>
        <w:t xml:space="preserve">The first hidden layer dimension was constrained to values close to the fingerprint dimension to prevent an abrupt expansion of feature dimensionality in the early stage of representation learning. For instance, MACCS keys dimension is 167, the candidate values of the first hidden layer dimension were set to 128, 256, and 512. We observed that certain models tended to achieve better performance when the hyperparameter values were within a specific range. For MLP model, the optimal range of </w:t>
      </w:r>
      <w:proofErr w:type="spellStart"/>
      <w:r w:rsidRPr="0091092E">
        <w:rPr>
          <w:rFonts w:ascii="Menlo" w:hAnsi="Menlo" w:cs="Menlo"/>
          <w:color w:val="000000"/>
          <w:sz w:val="20"/>
          <w:szCs w:val="20"/>
        </w:rPr>
        <w:t>batch_size</w:t>
      </w:r>
      <w:proofErr w:type="spellEnd"/>
      <w:r w:rsidRPr="000D2BFE">
        <w:rPr>
          <w:rFonts w:ascii="Times New Roman" w:hAnsi="Times New Roman" w:cs="Times New Roman"/>
          <w:color w:val="000000"/>
        </w:rPr>
        <w:t>, was 32 to 8. Meanwhile, MLP+TL</w:t>
      </w:r>
      <w:r w:rsidRPr="000D2BFE">
        <w:rPr>
          <w:rFonts w:ascii="Times New Roman" w:hAnsi="Times New Roman" w:cs="Times New Roman"/>
        </w:rPr>
        <w:t xml:space="preserve"> </w:t>
      </w:r>
      <w:r w:rsidRPr="000D2BFE">
        <w:rPr>
          <w:rFonts w:ascii="Times New Roman" w:hAnsi="Times New Roman" w:cs="Times New Roman"/>
          <w:color w:val="000000"/>
        </w:rPr>
        <w:t xml:space="preserve">performed best with larger </w:t>
      </w:r>
      <w:proofErr w:type="spellStart"/>
      <w:r w:rsidRPr="0091092E">
        <w:rPr>
          <w:rFonts w:ascii="Menlo" w:hAnsi="Menlo" w:cs="Menlo"/>
          <w:color w:val="000000"/>
          <w:sz w:val="20"/>
          <w:szCs w:val="20"/>
        </w:rPr>
        <w:t>batch_size</w:t>
      </w:r>
      <w:proofErr w:type="spellEnd"/>
      <w:r w:rsidRPr="000D2BFE">
        <w:rPr>
          <w:rFonts w:ascii="Times New Roman" w:hAnsi="Times New Roman" w:cs="Times New Roman"/>
          <w:color w:val="000000"/>
        </w:rPr>
        <w:t xml:space="preserve"> 64, however, if out-of-memory (OOM) error was encountered, the batch size was adjusted downward to fit the available GPU memory. The learning rate for the MLP model ranged from 1e-5 to 1e-2, whereas that for MLP+TL ranged from 1e-7 to 1e-5. </w:t>
      </w:r>
      <w:proofErr w:type="spellStart"/>
      <w:r w:rsidRPr="0091092E">
        <w:rPr>
          <w:rFonts w:ascii="Menlo" w:hAnsi="Menlo" w:cs="Menlo"/>
          <w:color w:val="000000"/>
          <w:sz w:val="20"/>
          <w:szCs w:val="20"/>
        </w:rPr>
        <w:t>Transformer_dim</w:t>
      </w:r>
      <w:proofErr w:type="spellEnd"/>
      <w:r w:rsidRPr="000D2BFE">
        <w:rPr>
          <w:rFonts w:ascii="Times New Roman" w:hAnsi="Times New Roman" w:cs="Times New Roman"/>
          <w:color w:val="000000"/>
        </w:rPr>
        <w:t xml:space="preserve"> is 1 to 4 times larger than dimension of the </w:t>
      </w:r>
      <w:r w:rsidR="006A74D3">
        <w:rPr>
          <w:rFonts w:ascii="Times New Roman" w:hAnsi="Times New Roman" w:cs="Times New Roman"/>
          <w:color w:val="000000"/>
        </w:rPr>
        <w:t>fir</w:t>
      </w:r>
      <w:r w:rsidRPr="000D2BFE">
        <w:rPr>
          <w:rFonts w:ascii="Times New Roman" w:hAnsi="Times New Roman" w:cs="Times New Roman"/>
          <w:color w:val="000000"/>
        </w:rPr>
        <w:t>st hidden layer. Specifically, we found that single head has higher performance</w:t>
      </w:r>
      <w:r w:rsidRPr="000D2BFE">
        <w:rPr>
          <w:rFonts w:ascii="Times New Roman" w:hAnsi="Times New Roman" w:cs="Times New Roman"/>
        </w:rPr>
        <w:t>,</w:t>
      </w:r>
      <w:r w:rsidRPr="000D2BFE">
        <w:rPr>
          <w:rFonts w:ascii="Times New Roman" w:hAnsi="Times New Roman" w:cs="Times New Roman"/>
          <w:color w:val="000000"/>
        </w:rPr>
        <w:t xml:space="preserve"> which may be attributed to the binary representation of fingerprint. In contrast to natural language sequences, binary-encoded strings have a simpler structure and lower semantic complexity. The model depth (</w:t>
      </w:r>
      <w:proofErr w:type="spellStart"/>
      <w:r w:rsidRPr="0091092E">
        <w:rPr>
          <w:rFonts w:ascii="Menlo" w:hAnsi="Menlo" w:cs="Menlo"/>
          <w:color w:val="000000"/>
          <w:sz w:val="20"/>
          <w:szCs w:val="20"/>
        </w:rPr>
        <w:t>num_layer</w:t>
      </w:r>
      <w:proofErr w:type="spellEnd"/>
      <w:r w:rsidRPr="000D2BFE">
        <w:rPr>
          <w:rFonts w:ascii="Times New Roman" w:hAnsi="Times New Roman" w:cs="Times New Roman"/>
          <w:color w:val="000000"/>
        </w:rPr>
        <w:t xml:space="preserve">) could not be reduced excessively, since an overly shallow architecture caused the model to depend heavily on MLP. Based on our experiments, at least two layers were required. We also explored several training strategies, including learning rate warm-up </w:t>
      </w:r>
      <w:r w:rsidRPr="000D2BFE">
        <w:rPr>
          <w:rFonts w:ascii="Times New Roman" w:hAnsi="Times New Roman" w:cs="Times New Roman"/>
          <w:color w:val="000000"/>
        </w:rPr>
        <w:fldChar w:fldCharType="begin"/>
      </w:r>
      <w:r w:rsidR="00710919">
        <w:rPr>
          <w:rFonts w:ascii="Times New Roman" w:hAnsi="Times New Roman" w:cs="Times New Roman"/>
          <w:color w:val="000000"/>
        </w:rPr>
        <w:instrText xml:space="preserve"> ADDIN EN.CITE &lt;EndNote&gt;&lt;Cite&gt;&lt;Author&gt;Vaswani&lt;/Author&gt;&lt;Year&gt;2017&lt;/Year&gt;&lt;RecNum&gt;24&lt;/RecNum&gt;&lt;DisplayText&gt;[13]&lt;/DisplayText&gt;&lt;record&gt;&lt;rec-number&gt;24&lt;/rec-number&gt;&lt;foreign-keys&gt;&lt;key app="EN" db-id="r5s22w5rd0devle050v55zrfasde5xaxfzae" timestamp="1756433015"&gt;24&lt;/key&gt;&lt;/foreign-keys&gt;&lt;ref-type name="Journal Article"&gt;17&lt;/ref-type&gt;&lt;contributors&gt;&lt;authors&gt;&lt;author&gt;Vaswani, Ashish&lt;/author&gt;&lt;author&gt;Shazeer, Noam&lt;/author&gt;&lt;author&gt;Parmar, Niki&lt;/author&gt;&lt;author&gt;Uszkoreit, Jakob&lt;/author&gt;&lt;author&gt;Jones, Llion&lt;/author&gt;&lt;author&gt;Gomez, Aidan N&lt;/author&gt;&lt;author&gt;Kaiser, Łukasz&lt;/author&gt;&lt;author&gt;Polosukhin, Illia&lt;/author&gt;&lt;/authors&gt;&lt;/contributors&gt;&lt;titles&gt;&lt;title&gt;Attention is all you need&lt;/title&gt;&lt;secondary-title&gt;Advances in neural information processing systems&lt;/secondary-title&gt;&lt;/titles&gt;&lt;periodical&gt;&lt;full-title&gt;Advances in neural information processing systems&lt;/full-title&gt;&lt;/periodical&gt;&lt;volume&gt;30&lt;/volume&gt;&lt;dates&gt;&lt;year&gt;2017&lt;/year&gt;&lt;/dates&gt;&lt;urls&gt;&lt;/urls&gt;&lt;/record&gt;&lt;/Cite&gt;&lt;/EndNote&gt;</w:instrText>
      </w:r>
      <w:r w:rsidRPr="000D2BFE">
        <w:rPr>
          <w:rFonts w:ascii="Times New Roman" w:hAnsi="Times New Roman" w:cs="Times New Roman"/>
          <w:color w:val="000000"/>
        </w:rPr>
        <w:fldChar w:fldCharType="separate"/>
      </w:r>
      <w:r w:rsidR="00710919">
        <w:rPr>
          <w:rFonts w:ascii="Times New Roman" w:hAnsi="Times New Roman" w:cs="Times New Roman"/>
          <w:noProof/>
          <w:color w:val="000000"/>
        </w:rPr>
        <w:t>[13]</w:t>
      </w:r>
      <w:r w:rsidRPr="000D2BFE">
        <w:rPr>
          <w:rFonts w:ascii="Times New Roman" w:hAnsi="Times New Roman" w:cs="Times New Roman"/>
          <w:color w:val="000000"/>
        </w:rPr>
        <w:fldChar w:fldCharType="end"/>
      </w:r>
      <w:r w:rsidRPr="000D2BFE">
        <w:rPr>
          <w:rFonts w:ascii="Times New Roman" w:hAnsi="Times New Roman" w:cs="Times New Roman"/>
          <w:color w:val="000000"/>
        </w:rPr>
        <w:t xml:space="preserve"> and alternative activation functions such as GELU </w:t>
      </w:r>
      <w:r w:rsidRPr="000D2BFE">
        <w:rPr>
          <w:rFonts w:ascii="Times New Roman" w:hAnsi="Times New Roman" w:cs="Times New Roman"/>
          <w:color w:val="000000"/>
        </w:rPr>
        <w:fldChar w:fldCharType="begin"/>
      </w:r>
      <w:r w:rsidR="00710919">
        <w:rPr>
          <w:rFonts w:ascii="Times New Roman" w:hAnsi="Times New Roman" w:cs="Times New Roman"/>
          <w:color w:val="000000"/>
        </w:rPr>
        <w:instrText xml:space="preserve"> ADDIN EN.CITE &lt;EndNote&gt;&lt;Cite&gt;&lt;Author&gt;Hendrycks&lt;/Author&gt;&lt;Year&gt;2016&lt;/Year&gt;&lt;RecNum&gt;106&lt;/RecNum&gt;&lt;DisplayText&gt;[14]&lt;/DisplayText&gt;&lt;record&gt;&lt;rec-number&gt;106&lt;/rec-number&gt;&lt;foreign-keys&gt;&lt;key app="EN" db-id="r5s22w5rd0devle050v55zrfasde5xaxfzae" timestamp="1773795031"&gt;106&lt;/key&gt;&lt;/foreign-keys&gt;&lt;ref-type name="Journal Article"&gt;17&lt;/ref-type&gt;&lt;contributors&gt;&lt;authors&gt;&lt;author&gt;Hendrycks, Dan&lt;/author&gt;&lt;author&gt;Gimpel, Kevin&lt;/author&gt;&lt;/authors&gt;&lt;/contributors&gt;&lt;titles&gt;&lt;title&gt;Gaussian error linear units (gelus)&lt;/title&gt;&lt;secondary-title&gt;arXiv preprint arXiv:1606.08415&lt;/secondary-title&gt;&lt;/titles&gt;&lt;periodical&gt;&lt;full-title&gt;arXiv preprint arXiv:1606.08415&lt;/full-title&gt;&lt;/periodical&gt;&lt;dates&gt;&lt;year&gt;2016&lt;/year&gt;&lt;/dates&gt;&lt;urls&gt;&lt;/urls&gt;&lt;/record&gt;&lt;/Cite&gt;&lt;/EndNote&gt;</w:instrText>
      </w:r>
      <w:r w:rsidRPr="000D2BFE">
        <w:rPr>
          <w:rFonts w:ascii="Times New Roman" w:hAnsi="Times New Roman" w:cs="Times New Roman"/>
          <w:color w:val="000000"/>
        </w:rPr>
        <w:fldChar w:fldCharType="separate"/>
      </w:r>
      <w:r w:rsidR="00710919">
        <w:rPr>
          <w:rFonts w:ascii="Times New Roman" w:hAnsi="Times New Roman" w:cs="Times New Roman"/>
          <w:noProof/>
          <w:color w:val="000000"/>
        </w:rPr>
        <w:t>[14]</w:t>
      </w:r>
      <w:r w:rsidRPr="000D2BFE">
        <w:rPr>
          <w:rFonts w:ascii="Times New Roman" w:hAnsi="Times New Roman" w:cs="Times New Roman"/>
          <w:color w:val="000000"/>
        </w:rPr>
        <w:fldChar w:fldCharType="end"/>
      </w:r>
      <w:r w:rsidRPr="000D2BFE">
        <w:rPr>
          <w:rFonts w:ascii="Times New Roman" w:hAnsi="Times New Roman" w:cs="Times New Roman"/>
          <w:color w:val="000000"/>
        </w:rPr>
        <w:t xml:space="preserve">, but these modifications did not yield noticeable performance improvements. For learning rate scheduling, we adopted cosine annealing </w:t>
      </w:r>
      <w:r w:rsidRPr="000D2BFE">
        <w:rPr>
          <w:rFonts w:ascii="Times New Roman" w:hAnsi="Times New Roman" w:cs="Times New Roman"/>
          <w:color w:val="000000"/>
        </w:rPr>
        <w:fldChar w:fldCharType="begin"/>
      </w:r>
      <w:r w:rsidR="00710919">
        <w:rPr>
          <w:rFonts w:ascii="Times New Roman" w:hAnsi="Times New Roman" w:cs="Times New Roman"/>
          <w:color w:val="000000"/>
        </w:rPr>
        <w:instrText xml:space="preserve"> ADDIN EN.CITE &lt;EndNote&gt;&lt;Cite&gt;&lt;Author&gt;Loshchilov&lt;/Author&gt;&lt;Year&gt;2016&lt;/Year&gt;&lt;RecNum&gt;105&lt;/RecNum&gt;&lt;DisplayText&gt;[15]&lt;/DisplayText&gt;&lt;record&gt;&lt;rec-number&gt;105&lt;/rec-number&gt;&lt;foreign-keys&gt;&lt;key app="EN" db-id="r5s22w5rd0devle050v55zrfasde5xaxfzae" timestamp="1773795027"&gt;105&lt;/key&gt;&lt;/foreign-keys&gt;&lt;ref-type name="Journal Article"&gt;17&lt;/ref-type&gt;&lt;contributors&gt;&lt;authors&gt;&lt;author&gt;Loshchilov, Ilya&lt;/author&gt;&lt;author&gt;Hutter, Frank&lt;/author&gt;&lt;/authors&gt;&lt;/contributors&gt;&lt;titles&gt;&lt;title&gt;Sgdr: Stochastic gradient descent with warm restarts&lt;/title&gt;&lt;secondary-title&gt;arXiv preprint arXiv:1608.03983&lt;/secondary-title&gt;&lt;/titles&gt;&lt;periodical&gt;&lt;full-title&gt;arXiv preprint arXiv:1608.03983&lt;/full-title&gt;&lt;/periodical&gt;&lt;dates&gt;&lt;year&gt;2016&lt;/year&gt;&lt;/dates&gt;&lt;urls&gt;&lt;/urls&gt;&lt;/record&gt;&lt;/Cite&gt;&lt;/EndNote&gt;</w:instrText>
      </w:r>
      <w:r w:rsidRPr="000D2BFE">
        <w:rPr>
          <w:rFonts w:ascii="Times New Roman" w:hAnsi="Times New Roman" w:cs="Times New Roman"/>
          <w:color w:val="000000"/>
        </w:rPr>
        <w:fldChar w:fldCharType="separate"/>
      </w:r>
      <w:r w:rsidR="00710919">
        <w:rPr>
          <w:rFonts w:ascii="Times New Roman" w:hAnsi="Times New Roman" w:cs="Times New Roman"/>
          <w:noProof/>
          <w:color w:val="000000"/>
        </w:rPr>
        <w:t>[15]</w:t>
      </w:r>
      <w:r w:rsidRPr="000D2BFE">
        <w:rPr>
          <w:rFonts w:ascii="Times New Roman" w:hAnsi="Times New Roman" w:cs="Times New Roman"/>
          <w:color w:val="000000"/>
        </w:rPr>
        <w:fldChar w:fldCharType="end"/>
      </w:r>
      <w:r w:rsidRPr="000D2BFE">
        <w:rPr>
          <w:rFonts w:ascii="Times New Roman" w:hAnsi="Times New Roman" w:cs="Times New Roman"/>
          <w:color w:val="000000"/>
        </w:rPr>
        <w:t>, which performed better than a scheduler reducing the learning rate by a factor of 10 once learning stagnates. This may be attributed to the fluctuating learning curves observed during training, for which cosine annealing provided a more stable adjustment of the learning rate.</w:t>
      </w:r>
    </w:p>
    <w:p w14:paraId="424CC6A7" w14:textId="59541105" w:rsidR="00D12993" w:rsidRPr="000D2BFE" w:rsidRDefault="00D12993" w:rsidP="00D12993">
      <w:pPr>
        <w:ind w:firstLine="480"/>
        <w:jc w:val="both"/>
        <w:rPr>
          <w:rFonts w:ascii="Times New Roman" w:hAnsi="Times New Roman" w:cs="Times New Roman"/>
          <w:color w:val="000000"/>
        </w:rPr>
      </w:pPr>
      <w:r w:rsidRPr="000D2BFE">
        <w:rPr>
          <w:rFonts w:ascii="Times New Roman" w:hAnsi="Times New Roman" w:cs="Times New Roman"/>
          <w:color w:val="000000"/>
        </w:rPr>
        <w:t xml:space="preserve">The </w:t>
      </w:r>
      <w:r w:rsidR="006C7868">
        <w:rPr>
          <w:rFonts w:ascii="Times New Roman" w:hAnsi="Times New Roman" w:cs="Times New Roman"/>
          <w:color w:val="000000"/>
        </w:rPr>
        <w:t>Transformer</w:t>
      </w:r>
      <w:r w:rsidR="006C7868" w:rsidRPr="000D2BFE">
        <w:rPr>
          <w:rFonts w:ascii="Times New Roman" w:hAnsi="Times New Roman" w:cs="Times New Roman"/>
          <w:color w:val="000000"/>
        </w:rPr>
        <w:t xml:space="preserve"> </w:t>
      </w:r>
      <w:r w:rsidR="006C7868">
        <w:rPr>
          <w:rFonts w:ascii="Times New Roman" w:hAnsi="Times New Roman" w:cs="Times New Roman"/>
          <w:color w:val="000000"/>
        </w:rPr>
        <w:t>encoder</w:t>
      </w:r>
      <w:r w:rsidRPr="000D2BFE">
        <w:rPr>
          <w:rFonts w:ascii="Times New Roman" w:hAnsi="Times New Roman" w:cs="Times New Roman"/>
          <w:color w:val="000000"/>
        </w:rPr>
        <w:t xml:space="preserve">-based model first restored the original </w:t>
      </w:r>
      <w:proofErr w:type="spellStart"/>
      <w:r w:rsidRPr="006A74D3">
        <w:rPr>
          <w:rFonts w:ascii="Menlo" w:hAnsi="Menlo" w:cs="Menlo"/>
          <w:color w:val="000000"/>
          <w:sz w:val="20"/>
          <w:szCs w:val="20"/>
        </w:rPr>
        <w:t>hidden_dim</w:t>
      </w:r>
      <w:proofErr w:type="spellEnd"/>
      <w:r w:rsidRPr="000D2BFE">
        <w:rPr>
          <w:rFonts w:ascii="Times New Roman" w:hAnsi="Times New Roman" w:cs="Times New Roman"/>
          <w:color w:val="000000"/>
        </w:rPr>
        <w:t xml:space="preserve"> and </w:t>
      </w:r>
      <w:proofErr w:type="spellStart"/>
      <w:r w:rsidRPr="006A74D3">
        <w:rPr>
          <w:rFonts w:ascii="Menlo" w:hAnsi="Menlo" w:cs="Menlo"/>
          <w:color w:val="000000"/>
          <w:sz w:val="20"/>
          <w:szCs w:val="20"/>
        </w:rPr>
        <w:t>dropout_rates</w:t>
      </w:r>
      <w:proofErr w:type="spellEnd"/>
      <w:r w:rsidRPr="000D2BFE">
        <w:rPr>
          <w:rFonts w:ascii="Times New Roman" w:hAnsi="Times New Roman" w:cs="Times New Roman"/>
          <w:color w:val="000000"/>
        </w:rPr>
        <w:t xml:space="preserve"> settings inherited from MLP. Hyperparameter tuning was then conducted using a two-stage, pruning-aware strategy designed to reduce computational cost while preserving a systematic search procedure.</w:t>
      </w:r>
    </w:p>
    <w:p w14:paraId="166DCCF0" w14:textId="77777777" w:rsidR="00D12993" w:rsidRPr="000D2BFE" w:rsidRDefault="00D12993" w:rsidP="00D12993">
      <w:pPr>
        <w:ind w:firstLine="480"/>
        <w:jc w:val="both"/>
        <w:rPr>
          <w:rFonts w:ascii="Times New Roman" w:hAnsi="Times New Roman" w:cs="Times New Roman"/>
          <w:color w:val="000000"/>
        </w:rPr>
      </w:pPr>
      <w:r w:rsidRPr="000D2BFE">
        <w:rPr>
          <w:rFonts w:ascii="Times New Roman" w:hAnsi="Times New Roman" w:cs="Times New Roman"/>
          <w:color w:val="000000"/>
        </w:rPr>
        <w:t xml:space="preserve">In the first stage, all candidate values of </w:t>
      </w:r>
      <w:proofErr w:type="spellStart"/>
      <w:r w:rsidRPr="00B62CF9">
        <w:rPr>
          <w:rFonts w:ascii="Menlo" w:hAnsi="Menlo" w:cs="Menlo"/>
          <w:color w:val="000000"/>
          <w:sz w:val="20"/>
          <w:szCs w:val="20"/>
        </w:rPr>
        <w:t>num_layers</w:t>
      </w:r>
      <w:proofErr w:type="spellEnd"/>
      <w:r w:rsidRPr="000D2BFE">
        <w:rPr>
          <w:rFonts w:ascii="Times New Roman" w:hAnsi="Times New Roman" w:cs="Times New Roman"/>
          <w:color w:val="000000"/>
        </w:rPr>
        <w:t xml:space="preserve"> were evaluated while the remaining hyperparameters were fixed at their baseline values (</w:t>
      </w:r>
      <w:proofErr w:type="spellStart"/>
      <w:r w:rsidRPr="0091092E">
        <w:rPr>
          <w:rFonts w:ascii="Menlo" w:hAnsi="Menlo" w:cs="Menlo"/>
          <w:color w:val="000000"/>
          <w:sz w:val="20"/>
          <w:szCs w:val="20"/>
        </w:rPr>
        <w:t>transformer_dim</w:t>
      </w:r>
      <w:proofErr w:type="spellEnd"/>
      <w:r w:rsidRPr="000D2BFE">
        <w:rPr>
          <w:rFonts w:ascii="Times New Roman" w:hAnsi="Times New Roman" w:cs="Times New Roman"/>
          <w:color w:val="000000"/>
        </w:rPr>
        <w:t xml:space="preserve"> = first hidden dimension, </w:t>
      </w:r>
      <w:proofErr w:type="spellStart"/>
      <w:r w:rsidRPr="0091092E">
        <w:rPr>
          <w:rFonts w:ascii="Menlo" w:hAnsi="Menlo" w:cs="Menlo"/>
          <w:color w:val="000000"/>
          <w:sz w:val="20"/>
          <w:szCs w:val="20"/>
        </w:rPr>
        <w:t>batch_size</w:t>
      </w:r>
      <w:proofErr w:type="spellEnd"/>
      <w:r w:rsidRPr="000D2BFE">
        <w:rPr>
          <w:rFonts w:ascii="Times New Roman" w:hAnsi="Times New Roman" w:cs="Times New Roman"/>
          <w:color w:val="000000"/>
        </w:rPr>
        <w:t xml:space="preserve"> = 64, </w:t>
      </w:r>
      <w:proofErr w:type="spellStart"/>
      <w:r w:rsidRPr="0091092E">
        <w:rPr>
          <w:rFonts w:ascii="Menlo" w:hAnsi="Menlo" w:cs="Menlo"/>
          <w:color w:val="000000"/>
          <w:sz w:val="20"/>
          <w:szCs w:val="20"/>
        </w:rPr>
        <w:t>learning_rate</w:t>
      </w:r>
      <w:proofErr w:type="spellEnd"/>
      <w:r w:rsidRPr="000D2BFE">
        <w:rPr>
          <w:rFonts w:ascii="Times New Roman" w:hAnsi="Times New Roman" w:cs="Times New Roman"/>
          <w:color w:val="000000"/>
        </w:rPr>
        <w:t xml:space="preserve">=1e-5, </w:t>
      </w:r>
      <w:proofErr w:type="spellStart"/>
      <w:r w:rsidRPr="0091092E">
        <w:rPr>
          <w:rFonts w:ascii="Menlo" w:hAnsi="Menlo" w:cs="Menlo"/>
          <w:color w:val="000000"/>
          <w:sz w:val="21"/>
          <w:szCs w:val="21"/>
        </w:rPr>
        <w:t>weight_decay</w:t>
      </w:r>
      <w:proofErr w:type="spellEnd"/>
      <w:r w:rsidRPr="000D2BFE">
        <w:rPr>
          <w:rFonts w:ascii="Times New Roman" w:hAnsi="Times New Roman" w:cs="Times New Roman"/>
          <w:color w:val="000000"/>
        </w:rPr>
        <w:t xml:space="preserve">=1e-2). The value of </w:t>
      </w:r>
      <w:proofErr w:type="spellStart"/>
      <w:r w:rsidRPr="006A74D3">
        <w:rPr>
          <w:rFonts w:ascii="Menlo" w:hAnsi="Menlo" w:cs="Menlo"/>
          <w:color w:val="000000"/>
          <w:sz w:val="20"/>
          <w:szCs w:val="20"/>
        </w:rPr>
        <w:t>num_layers</w:t>
      </w:r>
      <w:proofErr w:type="spellEnd"/>
      <w:r w:rsidRPr="000D2BFE">
        <w:rPr>
          <w:rFonts w:ascii="Times New Roman" w:hAnsi="Times New Roman" w:cs="Times New Roman"/>
          <w:color w:val="000000"/>
        </w:rPr>
        <w:t xml:space="preserve"> that produced the best performance, defined as the highest AUC for classification tasks or the lowest RMSE for regression tasks, was selected for the second stage.</w:t>
      </w:r>
    </w:p>
    <w:p w14:paraId="6D461C80" w14:textId="77777777" w:rsidR="0015700A" w:rsidRDefault="00D12993" w:rsidP="0015700A">
      <w:pPr>
        <w:ind w:firstLine="480"/>
        <w:jc w:val="both"/>
        <w:rPr>
          <w:rFonts w:ascii="Times New Roman" w:hAnsi="Times New Roman" w:cs="Times New Roman"/>
          <w:color w:val="000000"/>
        </w:rPr>
      </w:pPr>
      <w:r w:rsidRPr="000D2BFE">
        <w:rPr>
          <w:rFonts w:ascii="Times New Roman" w:hAnsi="Times New Roman" w:cs="Times New Roman"/>
          <w:color w:val="000000"/>
        </w:rPr>
        <w:t>In the second stage, depth was fixed at its selected value, and the remaining hyperparameters (</w:t>
      </w:r>
      <w:proofErr w:type="spellStart"/>
      <w:r w:rsidRPr="0091092E">
        <w:rPr>
          <w:rFonts w:ascii="Menlo" w:hAnsi="Menlo" w:cs="Menlo"/>
          <w:color w:val="000000"/>
          <w:sz w:val="20"/>
          <w:szCs w:val="20"/>
        </w:rPr>
        <w:t>batch_size</w:t>
      </w:r>
      <w:proofErr w:type="spellEnd"/>
      <w:r w:rsidRPr="0091092E">
        <w:rPr>
          <w:rFonts w:ascii="Menlo" w:hAnsi="Menlo" w:cs="Menlo"/>
          <w:color w:val="000000"/>
          <w:sz w:val="20"/>
          <w:szCs w:val="20"/>
        </w:rPr>
        <w:t xml:space="preserve">, </w:t>
      </w:r>
      <w:proofErr w:type="spellStart"/>
      <w:r w:rsidRPr="0091092E">
        <w:rPr>
          <w:rFonts w:ascii="Menlo" w:hAnsi="Menlo" w:cs="Menlo"/>
          <w:color w:val="000000"/>
          <w:sz w:val="20"/>
          <w:szCs w:val="20"/>
        </w:rPr>
        <w:t>num_heads</w:t>
      </w:r>
      <w:proofErr w:type="spellEnd"/>
      <w:r w:rsidRPr="0091092E">
        <w:rPr>
          <w:rFonts w:ascii="Menlo" w:hAnsi="Menlo" w:cs="Menlo"/>
          <w:color w:val="000000"/>
          <w:sz w:val="20"/>
          <w:szCs w:val="20"/>
        </w:rPr>
        <w:t xml:space="preserve">, </w:t>
      </w:r>
      <w:proofErr w:type="spellStart"/>
      <w:r w:rsidRPr="0091092E">
        <w:rPr>
          <w:rFonts w:ascii="Menlo" w:hAnsi="Menlo" w:cs="Menlo"/>
          <w:color w:val="000000"/>
          <w:sz w:val="20"/>
          <w:szCs w:val="20"/>
        </w:rPr>
        <w:t>transformer_dim</w:t>
      </w:r>
      <w:proofErr w:type="spellEnd"/>
      <w:r w:rsidRPr="0091092E">
        <w:rPr>
          <w:rFonts w:ascii="Menlo" w:hAnsi="Menlo" w:cs="Menlo"/>
          <w:color w:val="000000"/>
          <w:sz w:val="20"/>
          <w:szCs w:val="20"/>
        </w:rPr>
        <w:t xml:space="preserve">, </w:t>
      </w:r>
      <w:proofErr w:type="spellStart"/>
      <w:r w:rsidRPr="0091092E">
        <w:rPr>
          <w:rFonts w:ascii="Menlo" w:hAnsi="Menlo" w:cs="Menlo"/>
          <w:color w:val="000000"/>
          <w:sz w:val="20"/>
          <w:szCs w:val="20"/>
        </w:rPr>
        <w:t>learning_rate</w:t>
      </w:r>
      <w:proofErr w:type="spellEnd"/>
      <w:r w:rsidRPr="0091092E">
        <w:rPr>
          <w:rFonts w:ascii="Menlo" w:hAnsi="Menlo" w:cs="Menlo"/>
          <w:color w:val="000000"/>
          <w:sz w:val="20"/>
          <w:szCs w:val="20"/>
        </w:rPr>
        <w:t xml:space="preserve">, </w:t>
      </w:r>
      <w:proofErr w:type="spellStart"/>
      <w:r w:rsidRPr="0091092E">
        <w:rPr>
          <w:rFonts w:ascii="Menlo" w:hAnsi="Menlo" w:cs="Menlo"/>
          <w:color w:val="000000"/>
          <w:sz w:val="20"/>
          <w:szCs w:val="20"/>
        </w:rPr>
        <w:t>weight_decay</w:t>
      </w:r>
      <w:proofErr w:type="spellEnd"/>
      <w:r w:rsidRPr="000D2BFE">
        <w:rPr>
          <w:rFonts w:ascii="Times New Roman" w:hAnsi="Times New Roman" w:cs="Times New Roman"/>
          <w:color w:val="000000"/>
        </w:rPr>
        <w:t xml:space="preserve">) were optimized sequentially. For each hyperparameter, candidate values were tested in a predefined order while all other </w:t>
      </w:r>
      <w:r w:rsidRPr="000D2BFE">
        <w:rPr>
          <w:rFonts w:ascii="Times New Roman" w:hAnsi="Times New Roman" w:cs="Times New Roman"/>
          <w:color w:val="000000"/>
        </w:rPr>
        <w:lastRenderedPageBreak/>
        <w:t>parameters were kept at their current best settings. A greedy coordinate-wise update strategy was used, such that the best-performing value from each sweep was retained before moving to the next hyperparameter. To further improve efficiency, an intra-sweep pruning rule was applied: once performance deteriorated relative to the previous successful trial, the remaining candidate values in that sweep were skipped. This strategy enabled progressive refinement of the model configuration at a substantially lower cost than exhaustive grid search. Moreover, the resume mechanism ensured that previously evaluated combinations were not repeatedly executed.</w:t>
      </w:r>
    </w:p>
    <w:p w14:paraId="00C9AB56" w14:textId="77777777" w:rsidR="007816F7" w:rsidRPr="0084120A" w:rsidRDefault="007816F7" w:rsidP="0015700A">
      <w:pPr>
        <w:ind w:firstLine="480"/>
        <w:jc w:val="both"/>
        <w:rPr>
          <w:rFonts w:ascii="Times New Roman" w:hAnsi="Times New Roman" w:cs="Times New Roman"/>
          <w:b/>
          <w:bCs/>
          <w:color w:val="000000"/>
        </w:rPr>
      </w:pPr>
    </w:p>
    <w:p w14:paraId="06774349" w14:textId="7A5C8E47" w:rsidR="007816F7" w:rsidRPr="0084120A" w:rsidRDefault="007816F7" w:rsidP="0084120A">
      <w:pPr>
        <w:jc w:val="both"/>
        <w:rPr>
          <w:rFonts w:ascii="Times New Roman" w:hAnsi="Times New Roman" w:cs="Times New Roman"/>
          <w:b/>
          <w:bCs/>
          <w:color w:val="000000"/>
          <w:sz w:val="28"/>
          <w:szCs w:val="28"/>
        </w:rPr>
      </w:pPr>
      <w:r w:rsidRPr="0084120A">
        <w:rPr>
          <w:rFonts w:ascii="Times New Roman" w:hAnsi="Times New Roman" w:cs="Times New Roman"/>
          <w:b/>
          <w:bCs/>
          <w:color w:val="000000"/>
          <w:sz w:val="28"/>
          <w:szCs w:val="28"/>
        </w:rPr>
        <w:t>Local Interpretation of BBBP Predictions Using LIME</w:t>
      </w:r>
    </w:p>
    <w:p w14:paraId="1160C276" w14:textId="2A5A197F" w:rsidR="007816F7" w:rsidRPr="007816F7" w:rsidRDefault="007816F7" w:rsidP="007816F7">
      <w:pPr>
        <w:ind w:firstLine="480"/>
        <w:jc w:val="both"/>
        <w:rPr>
          <w:rFonts w:ascii="Times New Roman" w:hAnsi="Times New Roman" w:cs="Times New Roman"/>
          <w:color w:val="000000"/>
        </w:rPr>
      </w:pPr>
      <w:r w:rsidRPr="007816F7">
        <w:rPr>
          <w:rFonts w:ascii="Times New Roman" w:hAnsi="Times New Roman" w:cs="Times New Roman"/>
          <w:color w:val="000000"/>
        </w:rPr>
        <w:t>Local Interpretable Model-Agnostic Explanations (LIME) was employed to interpret the predictions generated by the trained MLP+TL model. The trained model was treated as a black-box predictor, and local perturbations were introduced to the molecular fingerprint of each selected compound. By observing the resulting changes in the model-predicted probability</w:t>
      </w:r>
      <w:r>
        <w:rPr>
          <w:rFonts w:ascii="Times New Roman" w:hAnsi="Times New Roman" w:cs="Times New Roman"/>
          <w:color w:val="000000"/>
        </w:rPr>
        <w:t>,</w:t>
      </w:r>
      <w:r w:rsidRPr="007816F7">
        <w:rPr>
          <w:rFonts w:ascii="Times New Roman" w:hAnsi="Times New Roman" w:cs="Times New Roman"/>
          <w:color w:val="000000"/>
        </w:rPr>
        <w:t xml:space="preserve"> LIME estimated the contribution of individual fingerprint bits to the prediction for that specific molecule.</w:t>
      </w:r>
    </w:p>
    <w:p w14:paraId="487A9DCE" w14:textId="6D17DB63" w:rsidR="007816F7" w:rsidRPr="007816F7" w:rsidRDefault="007816F7" w:rsidP="007816F7">
      <w:pPr>
        <w:ind w:firstLine="480"/>
        <w:jc w:val="both"/>
        <w:rPr>
          <w:rFonts w:ascii="Times New Roman" w:hAnsi="Times New Roman" w:cs="Times New Roman"/>
          <w:color w:val="000000"/>
        </w:rPr>
      </w:pPr>
      <w:r w:rsidRPr="007816F7">
        <w:rPr>
          <w:rFonts w:ascii="Times New Roman" w:hAnsi="Times New Roman" w:cs="Times New Roman"/>
          <w:color w:val="000000"/>
        </w:rPr>
        <w:t>It is important to note that LIME provides a local explanation for an individual compound rather than a global rule governing the behavior of the entire model. Moreover, an influential fingerprint feature does not necessarily correspond to an activated bit. Both the presence and absence of a molecular substructure may contribute substantially to a prediction. Accordingly, the sign of the LIME weight indicates whether a feature supports or opposes the BBBP-positive prediction, whereas the bit value indicates whether the corresponding contribution arises from the presence or absence of the substructure.</w:t>
      </w:r>
    </w:p>
    <w:p w14:paraId="2304D1A3" w14:textId="7CB4D1FD" w:rsidR="007816F7" w:rsidRPr="007816F7" w:rsidRDefault="007816F7" w:rsidP="007816F7">
      <w:pPr>
        <w:ind w:firstLine="480"/>
        <w:jc w:val="both"/>
        <w:rPr>
          <w:rFonts w:ascii="Times New Roman" w:hAnsi="Times New Roman" w:cs="Times New Roman"/>
          <w:color w:val="000000"/>
        </w:rPr>
      </w:pPr>
      <w:r w:rsidRPr="007816F7">
        <w:rPr>
          <w:rFonts w:ascii="Times New Roman" w:hAnsi="Times New Roman" w:cs="Times New Roman"/>
          <w:color w:val="000000"/>
        </w:rPr>
        <w:t xml:space="preserve">For example, for oxirane, </w:t>
      </w:r>
      <w:r>
        <w:rPr>
          <w:rFonts w:ascii="Times New Roman" w:hAnsi="Times New Roman" w:cs="Times New Roman"/>
          <w:color w:val="000000"/>
        </w:rPr>
        <w:t>MACCS</w:t>
      </w:r>
      <w:r w:rsidRPr="007816F7">
        <w:rPr>
          <w:rFonts w:ascii="Times New Roman" w:hAnsi="Times New Roman" w:cs="Times New Roman"/>
          <w:color w:val="000000"/>
        </w:rPr>
        <w:t xml:space="preserve"> </w:t>
      </w:r>
      <w:r>
        <w:rPr>
          <w:rFonts w:ascii="Times New Roman" w:hAnsi="Times New Roman" w:cs="Times New Roman"/>
          <w:color w:val="000000"/>
        </w:rPr>
        <w:t>bit</w:t>
      </w:r>
      <w:r w:rsidRPr="007816F7">
        <w:rPr>
          <w:rFonts w:ascii="Times New Roman" w:hAnsi="Times New Roman" w:cs="Times New Roman"/>
          <w:color w:val="000000"/>
        </w:rPr>
        <w:t xml:space="preserve"> 40</w:t>
      </w:r>
      <w:r>
        <w:rPr>
          <w:rFonts w:ascii="Times New Roman" w:hAnsi="Times New Roman" w:cs="Times New Roman"/>
          <w:color w:val="000000"/>
        </w:rPr>
        <w:t xml:space="preserve"> (S-O)</w:t>
      </w:r>
      <w:r w:rsidRPr="007816F7">
        <w:rPr>
          <w:rFonts w:ascii="Times New Roman" w:hAnsi="Times New Roman" w:cs="Times New Roman"/>
          <w:color w:val="000000"/>
        </w:rPr>
        <w:t xml:space="preserve"> had a bit value of 0 and a LIME weight of +0.041</w:t>
      </w:r>
      <w:r w:rsidR="00012CC6">
        <w:rPr>
          <w:rFonts w:ascii="Times New Roman" w:hAnsi="Times New Roman" w:cs="Times New Roman" w:hint="eastAsia"/>
          <w:color w:val="000000"/>
        </w:rPr>
        <w:t xml:space="preserve"> </w:t>
      </w:r>
      <w:r w:rsidR="00012CC6">
        <w:rPr>
          <w:rFonts w:ascii="Times New Roman" w:hAnsi="Times New Roman" w:cs="Times New Roman"/>
          <w:color w:val="000000"/>
        </w:rPr>
        <w:t>(Supplementary 2 Table S3</w:t>
      </w:r>
      <w:r w:rsidR="00937A27">
        <w:rPr>
          <w:rFonts w:ascii="Times New Roman" w:hAnsi="Times New Roman" w:cs="Times New Roman"/>
          <w:color w:val="000000"/>
        </w:rPr>
        <w:t>7</w:t>
      </w:r>
      <w:r w:rsidR="00012CC6">
        <w:rPr>
          <w:rFonts w:ascii="Times New Roman" w:hAnsi="Times New Roman" w:cs="Times New Roman"/>
          <w:color w:val="000000"/>
        </w:rPr>
        <w:t>)</w:t>
      </w:r>
      <w:r w:rsidRPr="007816F7">
        <w:rPr>
          <w:rFonts w:ascii="Times New Roman" w:hAnsi="Times New Roman" w:cs="Times New Roman" w:hint="eastAsia"/>
          <w:color w:val="000000"/>
        </w:rPr>
        <w:t>.</w:t>
      </w:r>
      <w:r w:rsidRPr="007816F7">
        <w:rPr>
          <w:rFonts w:ascii="Times New Roman" w:hAnsi="Times New Roman" w:cs="Times New Roman"/>
          <w:color w:val="000000"/>
        </w:rPr>
        <w:t xml:space="preserve"> This result indicates that the absence of S-O locally increased the model’s predicted probability of BBBP positivity. Thus, the contribution of a fingerprint feature should be interpreted jointly according to its LIME weight and observed bit value: a positive weight supports the BBBP-positive prediction, whereas a negative weight opposes it; meanwhile, a bit value of 1 indicates that the corresponding substructure is present, whereas a bit value of 0 indicates that its absence contributes to the prediction.</w:t>
      </w:r>
    </w:p>
    <w:p w14:paraId="0AEB1FFA" w14:textId="77777777" w:rsidR="007816F7" w:rsidRPr="007816F7" w:rsidRDefault="007816F7" w:rsidP="007816F7">
      <w:pPr>
        <w:ind w:firstLine="480"/>
        <w:jc w:val="both"/>
        <w:rPr>
          <w:rFonts w:ascii="Times New Roman" w:hAnsi="Times New Roman" w:cs="Times New Roman"/>
          <w:color w:val="000000"/>
        </w:rPr>
      </w:pPr>
    </w:p>
    <w:p w14:paraId="38A9E72B" w14:textId="2C9C4626" w:rsidR="007816F7" w:rsidRPr="0084120A" w:rsidRDefault="007816F7" w:rsidP="0084120A">
      <w:pPr>
        <w:jc w:val="both"/>
        <w:rPr>
          <w:rFonts w:ascii="Times New Roman" w:hAnsi="Times New Roman" w:cs="Times New Roman"/>
          <w:b/>
          <w:bCs/>
          <w:color w:val="000000"/>
          <w:sz w:val="28"/>
          <w:szCs w:val="28"/>
        </w:rPr>
      </w:pPr>
      <w:r w:rsidRPr="0084120A">
        <w:rPr>
          <w:rFonts w:ascii="Times New Roman" w:hAnsi="Times New Roman" w:cs="Times New Roman"/>
          <w:b/>
          <w:bCs/>
          <w:color w:val="000000"/>
          <w:sz w:val="28"/>
          <w:szCs w:val="28"/>
        </w:rPr>
        <w:t>Interpretation of MACCS Bit 139 in the External B3DB Validation Set</w:t>
      </w:r>
    </w:p>
    <w:p w14:paraId="14ACD91C" w14:textId="0614E9B9" w:rsidR="007816F7" w:rsidRPr="007816F7" w:rsidRDefault="007816F7" w:rsidP="007816F7">
      <w:pPr>
        <w:ind w:firstLine="480"/>
        <w:jc w:val="both"/>
        <w:rPr>
          <w:rFonts w:ascii="Times New Roman" w:hAnsi="Times New Roman" w:cs="Times New Roman"/>
          <w:color w:val="000000"/>
        </w:rPr>
      </w:pPr>
      <w:r w:rsidRPr="007816F7">
        <w:rPr>
          <w:rFonts w:ascii="Times New Roman" w:hAnsi="Times New Roman" w:cs="Times New Roman"/>
          <w:color w:val="000000"/>
        </w:rPr>
        <w:t>The BBBP-trained MLP+TL model was evaluated using the external B3DB validation set</w:t>
      </w:r>
      <w:r w:rsidR="00012CC6">
        <w:rPr>
          <w:rFonts w:ascii="Times New Roman" w:hAnsi="Times New Roman" w:cs="Times New Roman"/>
          <w:color w:val="000000"/>
        </w:rPr>
        <w:t xml:space="preserve"> (Supplementary 2 Table S3</w:t>
      </w:r>
      <w:r w:rsidR="00937A27">
        <w:rPr>
          <w:rFonts w:ascii="Times New Roman" w:hAnsi="Times New Roman" w:cs="Times New Roman"/>
          <w:color w:val="000000"/>
        </w:rPr>
        <w:t>7</w:t>
      </w:r>
      <w:r w:rsidR="00C43262">
        <w:rPr>
          <w:rFonts w:ascii="Times New Roman" w:hAnsi="Times New Roman" w:cs="Times New Roman"/>
          <w:color w:val="000000"/>
        </w:rPr>
        <w:t>, 39</w:t>
      </w:r>
      <w:r w:rsidR="00012CC6">
        <w:rPr>
          <w:rFonts w:ascii="Times New Roman" w:hAnsi="Times New Roman" w:cs="Times New Roman"/>
          <w:color w:val="000000"/>
        </w:rPr>
        <w:t>)</w:t>
      </w:r>
      <w:r w:rsidRPr="007816F7">
        <w:rPr>
          <w:rFonts w:ascii="Times New Roman" w:hAnsi="Times New Roman" w:cs="Times New Roman"/>
          <w:color w:val="000000"/>
        </w:rPr>
        <w:t xml:space="preserve">. Among the selected top-k B3DB compounds, MACCS bit 139 </w:t>
      </w:r>
      <w:r w:rsidR="003B02F4">
        <w:rPr>
          <w:rFonts w:ascii="Times New Roman" w:hAnsi="Times New Roman" w:cs="Times New Roman"/>
          <w:color w:val="000000"/>
        </w:rPr>
        <w:t>(</w:t>
      </w:r>
      <w:r w:rsidRPr="007816F7">
        <w:rPr>
          <w:rFonts w:ascii="Times New Roman" w:hAnsi="Times New Roman" w:cs="Times New Roman" w:hint="eastAsia"/>
          <w:color w:val="000000"/>
        </w:rPr>
        <w:t>O</w:t>
      </w:r>
      <w:r w:rsidRPr="007816F7">
        <w:rPr>
          <w:rFonts w:ascii="Times New Roman" w:hAnsi="Times New Roman" w:cs="Times New Roman"/>
          <w:color w:val="000000"/>
        </w:rPr>
        <w:t>H</w:t>
      </w:r>
      <w:r w:rsidR="003B02F4">
        <w:rPr>
          <w:rFonts w:ascii="Times New Roman" w:hAnsi="Times New Roman" w:cs="Times New Roman"/>
          <w:color w:val="000000"/>
        </w:rPr>
        <w:t>)</w:t>
      </w:r>
      <w:r w:rsidRPr="007816F7">
        <w:rPr>
          <w:rFonts w:ascii="Times New Roman" w:hAnsi="Times New Roman" w:cs="Times New Roman"/>
          <w:color w:val="000000"/>
        </w:rPr>
        <w:t>, exhibited a consistent direction of contribution. Specifically, the absence of the OH feature supported BBBP-positive predictions, whereas its presence opposed BBBP-positive predictions</w:t>
      </w:r>
      <w:r w:rsidR="00D914C6">
        <w:rPr>
          <w:rFonts w:ascii="Times New Roman" w:hAnsi="Times New Roman" w:cs="Times New Roman" w:hint="eastAsia"/>
          <w:color w:val="000000"/>
        </w:rPr>
        <w:t xml:space="preserve"> </w:t>
      </w:r>
      <w:r w:rsidR="00D914C6">
        <w:rPr>
          <w:rFonts w:ascii="Times New Roman" w:hAnsi="Times New Roman" w:cs="Times New Roman"/>
          <w:color w:val="000000"/>
        </w:rPr>
        <w:t>(Supplementary 2 Table S38</w:t>
      </w:r>
      <w:r w:rsidR="00D914C6">
        <w:rPr>
          <w:rFonts w:ascii="Times New Roman" w:hAnsi="Times New Roman" w:cs="Times New Roman" w:hint="eastAsia"/>
          <w:color w:val="000000"/>
        </w:rPr>
        <w:t>)</w:t>
      </w:r>
      <w:r w:rsidRPr="007816F7">
        <w:rPr>
          <w:rFonts w:ascii="Times New Roman" w:hAnsi="Times New Roman" w:cs="Times New Roman"/>
          <w:color w:val="000000"/>
        </w:rPr>
        <w:t>.</w:t>
      </w:r>
    </w:p>
    <w:p w14:paraId="33EFA46C" w14:textId="6E2E0FDB" w:rsidR="007816F7" w:rsidRPr="007816F7" w:rsidRDefault="007816F7" w:rsidP="00D5466D">
      <w:pPr>
        <w:ind w:firstLine="480"/>
        <w:jc w:val="both"/>
        <w:rPr>
          <w:rFonts w:ascii="Times New Roman" w:hAnsi="Times New Roman" w:cs="Times New Roman"/>
          <w:color w:val="000000"/>
        </w:rPr>
      </w:pPr>
      <w:r w:rsidRPr="007816F7">
        <w:rPr>
          <w:rFonts w:ascii="Times New Roman" w:hAnsi="Times New Roman" w:cs="Times New Roman"/>
          <w:color w:val="000000"/>
        </w:rPr>
        <w:t xml:space="preserve">These results suggest that, for the examined external validation compounds, the BBBP-trained MLP+TL model regarded OH </w:t>
      </w:r>
      <w:r w:rsidR="003B02F4">
        <w:rPr>
          <w:rFonts w:ascii="Times New Roman" w:hAnsi="Times New Roman" w:cs="Times New Roman"/>
          <w:color w:val="000000"/>
        </w:rPr>
        <w:t>sub</w:t>
      </w:r>
      <w:r w:rsidRPr="007816F7">
        <w:rPr>
          <w:rFonts w:ascii="Times New Roman" w:hAnsi="Times New Roman" w:cs="Times New Roman"/>
          <w:color w:val="000000"/>
        </w:rPr>
        <w:t>structures as negative evidence for blood–brain barrier penetration. A possible chemical interpretation is that the presence of hydroxyl groups may increase molecular polarity and hydrogen-bonding capacity, thereby reducing passive diffusion across the blood–brain barrier. Nevertheless, because LIME explanations are molecule-specific and depend on the local neighborhood generated through fingerprint perturbation, this observation should not be interpreted as a universal relationship applicable to all compounds.</w:t>
      </w:r>
    </w:p>
    <w:p w14:paraId="0DA0E2E8" w14:textId="0B839489" w:rsidR="007816F7" w:rsidRPr="007816F7" w:rsidRDefault="007816F7" w:rsidP="007816F7">
      <w:pPr>
        <w:ind w:firstLine="480"/>
        <w:jc w:val="both"/>
        <w:rPr>
          <w:rFonts w:ascii="Times New Roman" w:hAnsi="Times New Roman" w:cs="Times New Roman"/>
          <w:color w:val="000000"/>
        </w:rPr>
      </w:pPr>
      <w:r w:rsidRPr="007816F7">
        <w:rPr>
          <w:rFonts w:ascii="Times New Roman" w:hAnsi="Times New Roman" w:cs="Times New Roman"/>
          <w:color w:val="000000"/>
        </w:rPr>
        <w:t xml:space="preserve">The direction of the LIME contribution associated with MACCS bit 139 was also consistent with the previously observed attention-weight patterns for heroin and morphine. Compared with heroin, morphine contains an additional free hydroxyl group and generally exhibits lower blood–brain barrier permeability. </w:t>
      </w:r>
      <w:r w:rsidRPr="007816F7">
        <w:rPr>
          <w:rFonts w:ascii="Times New Roman" w:hAnsi="Times New Roman" w:cs="Times New Roman"/>
          <w:color w:val="000000"/>
        </w:rPr>
        <w:lastRenderedPageBreak/>
        <w:t>Taken together, the LIME and attention-based analyses indicate that the trained model may have learned to associate exposed hydroxyl-containing structural features with reduced BBB penetration, at least within the local chemical environments represented by these compounds.</w:t>
      </w:r>
    </w:p>
    <w:p w14:paraId="25A3AF0F" w14:textId="5A46E82E" w:rsidR="003C6999" w:rsidRPr="0015700A" w:rsidRDefault="003C6999" w:rsidP="0015700A">
      <w:pPr>
        <w:jc w:val="both"/>
        <w:rPr>
          <w:rFonts w:ascii="Times New Roman" w:hAnsi="Times New Roman" w:cs="Times New Roman"/>
          <w:color w:val="000000"/>
        </w:rPr>
      </w:pPr>
      <w:r>
        <w:rPr>
          <w:rFonts w:ascii="Times New Roman" w:eastAsia="標楷體" w:hAnsi="Times New Roman" w:cs="Times New Roman"/>
          <w:b/>
          <w:bCs/>
          <w:color w:val="000000"/>
          <w:sz w:val="32"/>
          <w:szCs w:val="32"/>
        </w:rPr>
        <w:t>Table</w:t>
      </w:r>
    </w:p>
    <w:p w14:paraId="05DF9396" w14:textId="61DE13FC" w:rsidR="007168C0" w:rsidRDefault="007168C0" w:rsidP="007168C0">
      <w:pPr>
        <w:spacing w:before="100" w:beforeAutospacing="1" w:after="100" w:afterAutospacing="1"/>
        <w:jc w:val="both"/>
        <w:rPr>
          <w:rFonts w:ascii="Times New Roman" w:hAnsi="Times New Roman" w:cs="Times New Roman"/>
          <w:b/>
          <w:bCs/>
          <w:color w:val="000000" w:themeColor="text1"/>
        </w:rPr>
      </w:pPr>
      <w:bookmarkStart w:id="0" w:name="_Ref190796936"/>
      <w:r w:rsidRPr="00E25E4B">
        <w:rPr>
          <w:rFonts w:ascii="Times New Roman" w:hAnsi="Times New Roman" w:cs="Times New Roman"/>
          <w:b/>
          <w:bCs/>
          <w:color w:val="000000" w:themeColor="text1"/>
        </w:rPr>
        <w:t xml:space="preserve">Table </w:t>
      </w:r>
      <w:r w:rsidR="00713A4E">
        <w:rPr>
          <w:rFonts w:ascii="Times New Roman" w:hAnsi="Times New Roman" w:cs="Times New Roman"/>
          <w:b/>
          <w:bCs/>
          <w:color w:val="000000" w:themeColor="text1"/>
        </w:rPr>
        <w:t>S</w:t>
      </w:r>
      <w:r w:rsidRPr="00E25E4B">
        <w:rPr>
          <w:rFonts w:ascii="Times New Roman" w:hAnsi="Times New Roman" w:cs="Times New Roman"/>
          <w:b/>
          <w:bCs/>
          <w:color w:val="000000" w:themeColor="text1"/>
        </w:rPr>
        <w:fldChar w:fldCharType="begin"/>
      </w:r>
      <w:r w:rsidRPr="00E25E4B">
        <w:rPr>
          <w:rFonts w:ascii="Times New Roman" w:hAnsi="Times New Roman" w:cs="Times New Roman"/>
          <w:b/>
          <w:bCs/>
          <w:color w:val="000000" w:themeColor="text1"/>
        </w:rPr>
        <w:instrText xml:space="preserve"> SEQ Table \* ARABIC </w:instrText>
      </w:r>
      <w:r w:rsidRPr="00E25E4B">
        <w:rPr>
          <w:rFonts w:ascii="Times New Roman" w:hAnsi="Times New Roman" w:cs="Times New Roman"/>
          <w:b/>
          <w:bCs/>
          <w:color w:val="000000" w:themeColor="text1"/>
        </w:rPr>
        <w:fldChar w:fldCharType="separate"/>
      </w:r>
      <w:r w:rsidR="006F2EDA">
        <w:rPr>
          <w:rFonts w:ascii="Times New Roman" w:hAnsi="Times New Roman" w:cs="Times New Roman"/>
          <w:b/>
          <w:bCs/>
          <w:noProof/>
          <w:color w:val="000000" w:themeColor="text1"/>
        </w:rPr>
        <w:t>1</w:t>
      </w:r>
      <w:r w:rsidRPr="00E25E4B">
        <w:rPr>
          <w:rFonts w:ascii="Times New Roman" w:hAnsi="Times New Roman" w:cs="Times New Roman"/>
          <w:b/>
          <w:bCs/>
          <w:color w:val="000000" w:themeColor="text1"/>
        </w:rPr>
        <w:fldChar w:fldCharType="end"/>
      </w:r>
      <w:bookmarkStart w:id="1" w:name="_Ref190796930"/>
      <w:bookmarkEnd w:id="0"/>
      <w:r w:rsidRPr="00E25E4B">
        <w:rPr>
          <w:rFonts w:ascii="Times New Roman" w:hAnsi="Times New Roman" w:cs="Times New Roman"/>
          <w:b/>
          <w:bCs/>
          <w:color w:val="000000" w:themeColor="text1"/>
        </w:rPr>
        <w:t>.</w:t>
      </w:r>
      <w:r w:rsidRPr="00AD0EA7">
        <w:rPr>
          <w:rFonts w:ascii="Times New Roman" w:hAnsi="Times New Roman" w:cs="Times New Roman"/>
          <w:b/>
          <w:bCs/>
          <w:color w:val="000000" w:themeColor="text1"/>
        </w:rPr>
        <w:t xml:space="preserve"> </w:t>
      </w:r>
      <w:r w:rsidR="000F03CD" w:rsidRPr="00771498">
        <w:rPr>
          <w:rFonts w:ascii="Times New Roman" w:hAnsi="Times New Roman" w:cs="Times New Roman"/>
          <w:b/>
          <w:bCs/>
          <w:color w:val="000000" w:themeColor="text1"/>
          <w:kern w:val="2"/>
        </w:rPr>
        <w:t>Introduction of nine datasets including training sets and external validation sets.</w:t>
      </w:r>
      <w:bookmarkEnd w:id="1"/>
    </w:p>
    <w:tbl>
      <w:tblPr>
        <w:tblStyle w:val="a6"/>
        <w:tblpPr w:leftFromText="180" w:rightFromText="180" w:vertAnchor="text" w:tblpX="-284" w:tblpY="1"/>
        <w:tblOverlap w:val="never"/>
        <w:tblW w:w="521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4"/>
        <w:gridCol w:w="852"/>
        <w:gridCol w:w="1276"/>
        <w:gridCol w:w="992"/>
        <w:gridCol w:w="1134"/>
        <w:gridCol w:w="1136"/>
        <w:gridCol w:w="991"/>
        <w:gridCol w:w="1135"/>
        <w:gridCol w:w="1273"/>
        <w:gridCol w:w="1133"/>
      </w:tblGrid>
      <w:tr w:rsidR="000F03CD" w:rsidRPr="00771498" w14:paraId="44EAB616" w14:textId="77777777" w:rsidTr="00EA4338">
        <w:tc>
          <w:tcPr>
            <w:tcW w:w="455" w:type="pct"/>
            <w:tcBorders>
              <w:top w:val="single" w:sz="4" w:space="0" w:color="auto"/>
              <w:bottom w:val="single" w:sz="4" w:space="0" w:color="auto"/>
              <w:right w:val="single" w:sz="4" w:space="0" w:color="auto"/>
            </w:tcBorders>
          </w:tcPr>
          <w:p w14:paraId="2E2BD3E3" w14:textId="77777777" w:rsidR="000F03CD" w:rsidRPr="00771498" w:rsidRDefault="000F03CD" w:rsidP="00EA4338">
            <w:pPr>
              <w:widowControl w:val="0"/>
              <w:rPr>
                <w:rFonts w:ascii="Times New Roman" w:hAnsi="Times New Roman" w:cs="Times New Roman"/>
                <w:b/>
                <w:bCs/>
                <w:kern w:val="2"/>
                <w:sz w:val="20"/>
                <w:szCs w:val="20"/>
              </w:rPr>
            </w:pPr>
            <w:r w:rsidRPr="00771498">
              <w:rPr>
                <w:rFonts w:ascii="Times New Roman" w:hAnsi="Times New Roman" w:cs="Times New Roman"/>
                <w:b/>
                <w:bCs/>
                <w:kern w:val="2"/>
                <w:sz w:val="20"/>
                <w:szCs w:val="20"/>
              </w:rPr>
              <w:t>Dataset</w:t>
            </w:r>
          </w:p>
        </w:tc>
        <w:tc>
          <w:tcPr>
            <w:tcW w:w="390" w:type="pct"/>
            <w:tcBorders>
              <w:top w:val="single" w:sz="4" w:space="0" w:color="auto"/>
              <w:left w:val="single" w:sz="4" w:space="0" w:color="auto"/>
              <w:bottom w:val="single" w:sz="4" w:space="0" w:color="auto"/>
              <w:right w:val="single" w:sz="4" w:space="0" w:color="auto"/>
            </w:tcBorders>
          </w:tcPr>
          <w:p w14:paraId="626C7365" w14:textId="31268D77" w:rsidR="000F03CD" w:rsidRPr="00771498" w:rsidRDefault="000F03CD" w:rsidP="00EA4338">
            <w:pPr>
              <w:widowControl w:val="0"/>
              <w:rPr>
                <w:rFonts w:ascii="Times New Roman" w:hAnsi="Times New Roman" w:cs="Times New Roman"/>
                <w:b/>
                <w:bCs/>
                <w:kern w:val="2"/>
                <w:sz w:val="20"/>
                <w:szCs w:val="20"/>
              </w:rPr>
            </w:pPr>
            <w:r w:rsidRPr="00771498">
              <w:rPr>
                <w:rFonts w:ascii="Times New Roman" w:hAnsi="Times New Roman" w:cs="Times New Roman"/>
                <w:b/>
                <w:bCs/>
                <w:kern w:val="2"/>
                <w:sz w:val="20"/>
                <w:szCs w:val="20"/>
              </w:rPr>
              <w:t xml:space="preserve">BACE </w:t>
            </w:r>
            <w:r w:rsidRPr="00771498">
              <w:rPr>
                <w:rFonts w:ascii="Times New Roman" w:hAnsi="Times New Roman" w:cs="Times New Roman"/>
                <w:b/>
                <w:bCs/>
                <w:color w:val="000000"/>
                <w:kern w:val="2"/>
                <w:sz w:val="20"/>
                <w:szCs w:val="20"/>
              </w:rPr>
              <w:fldChar w:fldCharType="begin"/>
            </w:r>
            <w:r w:rsidR="00710919">
              <w:rPr>
                <w:rFonts w:ascii="Times New Roman" w:hAnsi="Times New Roman" w:cs="Times New Roman"/>
                <w:b/>
                <w:bCs/>
                <w:color w:val="000000"/>
                <w:kern w:val="2"/>
                <w:sz w:val="20"/>
                <w:szCs w:val="20"/>
              </w:rPr>
              <w:instrText xml:space="preserve"> ADDIN EN.CITE &lt;EndNote&gt;&lt;Cite&gt;&lt;Author&gt;Subramanian&lt;/Author&gt;&lt;Year&gt;2016&lt;/Year&gt;&lt;RecNum&gt;22&lt;/RecNum&gt;&lt;DisplayText&gt;[16]&lt;/DisplayText&gt;&lt;record&gt;&lt;rec-number&gt;22&lt;/rec-number&gt;&lt;foreign-keys&gt;&lt;key app="EN" db-id="xs529ea0upe0rbezpxp5aaw5f5xattxfpa5p" timestamp="1721226307"&gt;22&lt;/key&gt;&lt;/foreign-keys&gt;&lt;ref-type name="Journal Article"&gt;17&lt;/ref-type&gt;&lt;contributors&gt;&lt;authors&gt;&lt;author&gt;Subramanian, Govindan&lt;/author&gt;&lt;author&gt;Ramsundar, Bharath&lt;/author&gt;&lt;author&gt;Pande, Vijay&lt;/author&gt;&lt;author&gt;Denny, Rajiah Aldrin&lt;/author&gt;&lt;/authors&gt;&lt;/contributors&gt;&lt;titles&gt;&lt;title&gt;Computational modeling of β-secretase 1 (BACE-1) inhibitors using ligand based approaches&lt;/title&gt;&lt;secondary-title&gt;Journal of chemical information and modeling&lt;/secondary-title&gt;&lt;/titles&gt;&lt;periodical&gt;&lt;full-title&gt;Journal of chemical information and modeling&lt;/full-title&gt;&lt;/periodical&gt;&lt;pages&gt;1936-1949&lt;/pages&gt;&lt;volume&gt;56&lt;/volume&gt;&lt;number&gt;10&lt;/number&gt;&lt;dates&gt;&lt;year&gt;2016&lt;/year&gt;&lt;/dates&gt;&lt;isbn&gt;1549-9596&lt;/isbn&gt;&lt;urls&gt;&lt;/urls&gt;&lt;/record&gt;&lt;/Cite&gt;&lt;/EndNote&gt;</w:instrText>
            </w:r>
            <w:r w:rsidRPr="00771498">
              <w:rPr>
                <w:rFonts w:ascii="Times New Roman" w:hAnsi="Times New Roman" w:cs="Times New Roman"/>
                <w:b/>
                <w:bCs/>
                <w:color w:val="000000"/>
                <w:kern w:val="2"/>
                <w:sz w:val="20"/>
                <w:szCs w:val="20"/>
              </w:rPr>
              <w:fldChar w:fldCharType="separate"/>
            </w:r>
            <w:r w:rsidR="00710919">
              <w:rPr>
                <w:rFonts w:ascii="Times New Roman" w:hAnsi="Times New Roman" w:cs="Times New Roman"/>
                <w:b/>
                <w:bCs/>
                <w:noProof/>
                <w:color w:val="000000"/>
                <w:kern w:val="2"/>
                <w:sz w:val="20"/>
                <w:szCs w:val="20"/>
              </w:rPr>
              <w:t>[16]</w:t>
            </w:r>
            <w:r w:rsidRPr="00771498">
              <w:rPr>
                <w:rFonts w:ascii="Times New Roman" w:hAnsi="Times New Roman" w:cs="Times New Roman"/>
                <w:b/>
                <w:bCs/>
                <w:color w:val="000000"/>
                <w:kern w:val="2"/>
                <w:sz w:val="20"/>
                <w:szCs w:val="20"/>
              </w:rPr>
              <w:fldChar w:fldCharType="end"/>
            </w:r>
          </w:p>
        </w:tc>
        <w:tc>
          <w:tcPr>
            <w:tcW w:w="584" w:type="pct"/>
            <w:tcBorders>
              <w:top w:val="single" w:sz="4" w:space="0" w:color="auto"/>
              <w:left w:val="single" w:sz="4" w:space="0" w:color="auto"/>
              <w:bottom w:val="single" w:sz="4" w:space="0" w:color="auto"/>
              <w:right w:val="single" w:sz="4" w:space="0" w:color="auto"/>
            </w:tcBorders>
          </w:tcPr>
          <w:p w14:paraId="7593D1EA" w14:textId="037FC1A3" w:rsidR="000F03CD" w:rsidRPr="00771498" w:rsidRDefault="000F03CD" w:rsidP="00EA4338">
            <w:pPr>
              <w:widowControl w:val="0"/>
              <w:rPr>
                <w:rFonts w:ascii="Times New Roman" w:hAnsi="Times New Roman" w:cs="Times New Roman"/>
                <w:b/>
                <w:bCs/>
                <w:kern w:val="2"/>
                <w:sz w:val="20"/>
                <w:szCs w:val="20"/>
              </w:rPr>
            </w:pPr>
            <w:r w:rsidRPr="00771498">
              <w:rPr>
                <w:rFonts w:ascii="Times New Roman" w:hAnsi="Times New Roman" w:cs="Times New Roman"/>
                <w:b/>
                <w:bCs/>
                <w:kern w:val="2"/>
                <w:sz w:val="20"/>
                <w:szCs w:val="20"/>
              </w:rPr>
              <w:t xml:space="preserve">BBBP </w:t>
            </w:r>
            <w:r w:rsidRPr="00771498">
              <w:rPr>
                <w:rFonts w:ascii="Times New Roman" w:hAnsi="Times New Roman" w:cs="Times New Roman"/>
                <w:b/>
                <w:bCs/>
                <w:color w:val="000000"/>
                <w:kern w:val="2"/>
                <w:sz w:val="20"/>
                <w:szCs w:val="20"/>
              </w:rPr>
              <w:fldChar w:fldCharType="begin"/>
            </w:r>
            <w:r w:rsidR="00710919">
              <w:rPr>
                <w:rFonts w:ascii="Times New Roman" w:hAnsi="Times New Roman" w:cs="Times New Roman"/>
                <w:b/>
                <w:bCs/>
                <w:color w:val="000000"/>
                <w:kern w:val="2"/>
                <w:sz w:val="20"/>
                <w:szCs w:val="20"/>
              </w:rPr>
              <w:instrText xml:space="preserve"> ADDIN EN.CITE &lt;EndNote&gt;&lt;Cite&gt;&lt;Author&gt;Martins&lt;/Author&gt;&lt;Year&gt;2012&lt;/Year&gt;&lt;RecNum&gt;23&lt;/RecNum&gt;&lt;DisplayText&gt;[17]&lt;/DisplayText&gt;&lt;record&gt;&lt;rec-number&gt;23&lt;/rec-number&gt;&lt;foreign-keys&gt;&lt;key app="EN" db-id="xs529ea0upe0rbezpxp5aaw5f5xattxfpa5p" timestamp="1721226308"&gt;23&lt;/key&gt;&lt;/foreign-keys&gt;&lt;ref-type name="Journal Article"&gt;17&lt;/ref-type&gt;&lt;contributors&gt;&lt;authors&gt;&lt;author&gt;Martins, Ines Filipa&lt;/author&gt;&lt;author&gt;Teixeira, Ana L&lt;/author&gt;&lt;author&gt;Pinheiro, Luis&lt;/author&gt;&lt;author&gt;Falcao, Andre O&lt;/author&gt;&lt;/authors&gt;&lt;/contributors&gt;&lt;titles&gt;&lt;title&gt;A Bayesian approach to in silico blood-brain barrier penetration modeling&lt;/title&gt;&lt;secondary-title&gt;Journal of chemical information and modeling&lt;/secondary-title&gt;&lt;/titles&gt;&lt;periodical&gt;&lt;full-title&gt;Journal of chemical information and modeling&lt;/full-title&gt;&lt;/periodical&gt;&lt;pages&gt;1686-1697&lt;/pages&gt;&lt;volume&gt;52&lt;/volume&gt;&lt;number&gt;6&lt;/number&gt;&lt;dates&gt;&lt;year&gt;2012&lt;/year&gt;&lt;/dates&gt;&lt;isbn&gt;1549-9596&lt;/isbn&gt;&lt;urls&gt;&lt;/urls&gt;&lt;/record&gt;&lt;/Cite&gt;&lt;/EndNote&gt;</w:instrText>
            </w:r>
            <w:r w:rsidRPr="00771498">
              <w:rPr>
                <w:rFonts w:ascii="Times New Roman" w:hAnsi="Times New Roman" w:cs="Times New Roman"/>
                <w:b/>
                <w:bCs/>
                <w:color w:val="000000"/>
                <w:kern w:val="2"/>
                <w:sz w:val="20"/>
                <w:szCs w:val="20"/>
              </w:rPr>
              <w:fldChar w:fldCharType="separate"/>
            </w:r>
            <w:r w:rsidR="00710919">
              <w:rPr>
                <w:rFonts w:ascii="Times New Roman" w:hAnsi="Times New Roman" w:cs="Times New Roman"/>
                <w:b/>
                <w:bCs/>
                <w:noProof/>
                <w:color w:val="000000"/>
                <w:kern w:val="2"/>
                <w:sz w:val="20"/>
                <w:szCs w:val="20"/>
              </w:rPr>
              <w:t>[17]</w:t>
            </w:r>
            <w:r w:rsidRPr="00771498">
              <w:rPr>
                <w:rFonts w:ascii="Times New Roman" w:hAnsi="Times New Roman" w:cs="Times New Roman"/>
                <w:b/>
                <w:bCs/>
                <w:color w:val="000000"/>
                <w:kern w:val="2"/>
                <w:sz w:val="20"/>
                <w:szCs w:val="20"/>
              </w:rPr>
              <w:fldChar w:fldCharType="end"/>
            </w:r>
          </w:p>
        </w:tc>
        <w:tc>
          <w:tcPr>
            <w:tcW w:w="454" w:type="pct"/>
            <w:tcBorders>
              <w:top w:val="single" w:sz="4" w:space="0" w:color="auto"/>
              <w:left w:val="single" w:sz="4" w:space="0" w:color="auto"/>
              <w:bottom w:val="single" w:sz="4" w:space="0" w:color="auto"/>
              <w:right w:val="single" w:sz="4" w:space="0" w:color="auto"/>
            </w:tcBorders>
          </w:tcPr>
          <w:p w14:paraId="42E8F13F" w14:textId="1A935700" w:rsidR="000F03CD" w:rsidRPr="00771498" w:rsidRDefault="000F03CD" w:rsidP="00EA4338">
            <w:pPr>
              <w:widowControl w:val="0"/>
              <w:rPr>
                <w:rFonts w:ascii="Times New Roman" w:hAnsi="Times New Roman" w:cs="Times New Roman"/>
                <w:b/>
                <w:bCs/>
                <w:kern w:val="2"/>
                <w:sz w:val="20"/>
                <w:szCs w:val="20"/>
              </w:rPr>
            </w:pPr>
            <w:proofErr w:type="spellStart"/>
            <w:r w:rsidRPr="00771498">
              <w:rPr>
                <w:rFonts w:ascii="Times New Roman" w:hAnsi="Times New Roman" w:cs="Times New Roman"/>
                <w:b/>
                <w:bCs/>
                <w:kern w:val="2"/>
                <w:sz w:val="20"/>
                <w:szCs w:val="20"/>
              </w:rPr>
              <w:t>ClinTox</w:t>
            </w:r>
            <w:proofErr w:type="spellEnd"/>
            <w:r w:rsidRPr="00771498">
              <w:rPr>
                <w:rFonts w:ascii="Times New Roman" w:hAnsi="Times New Roman" w:cs="Times New Roman"/>
                <w:b/>
                <w:bCs/>
                <w:kern w:val="2"/>
                <w:sz w:val="20"/>
                <w:szCs w:val="20"/>
              </w:rPr>
              <w:t xml:space="preserve"> </w:t>
            </w:r>
            <w:r w:rsidRPr="00771498">
              <w:rPr>
                <w:rFonts w:ascii="Times New Roman" w:hAnsi="Times New Roman" w:cs="Times New Roman"/>
                <w:b/>
                <w:bCs/>
                <w:color w:val="000000"/>
                <w:kern w:val="2"/>
                <w:sz w:val="20"/>
                <w:szCs w:val="20"/>
              </w:rPr>
              <w:fldChar w:fldCharType="begin"/>
            </w:r>
            <w:r w:rsidR="00710919">
              <w:rPr>
                <w:rFonts w:ascii="Times New Roman" w:hAnsi="Times New Roman" w:cs="Times New Roman"/>
                <w:b/>
                <w:bCs/>
                <w:color w:val="000000"/>
                <w:kern w:val="2"/>
                <w:sz w:val="20"/>
                <w:szCs w:val="20"/>
              </w:rPr>
              <w:instrText xml:space="preserve"> ADDIN EN.CITE &lt;EndNote&gt;&lt;Cite&gt;&lt;Author&gt;Krewski&lt;/Author&gt;&lt;Year&gt;2010&lt;/Year&gt;&lt;RecNum&gt;61&lt;/RecNum&gt;&lt;DisplayText&gt;[18]&lt;/DisplayText&gt;&lt;record&gt;&lt;rec-number&gt;61&lt;/rec-number&gt;&lt;foreign-keys&gt;&lt;key app="EN" db-id="xs529ea0upe0rbezpxp5aaw5f5xattxfpa5p" timestamp="1722407977"&gt;61&lt;/key&gt;&lt;/foreign-keys&gt;&lt;ref-type name="Journal Article"&gt;17&lt;/ref-type&gt;&lt;contributors&gt;&lt;authors&gt;&lt;author&gt;Krewski, Daniel&lt;/author&gt;&lt;author&gt;Acosta Jr, Daniel&lt;/author&gt;&lt;author&gt;Andersen, Melvin&lt;/author&gt;&lt;author&gt;Anderson, Henry&lt;/author&gt;&lt;author&gt;Bailar III, John C&lt;/author&gt;&lt;author&gt;Boekelheide, Kim&lt;/author&gt;&lt;author&gt;Brent, Robert&lt;/author&gt;&lt;author&gt;Charnley, Gail&lt;/author&gt;&lt;author&gt;Cheung, Vivian G&lt;/author&gt;&lt;author&gt;Green Jr, Sidney&lt;/author&gt;&lt;/authors&gt;&lt;/contributors&gt;&lt;titles&gt;&lt;title&gt;Toxicity testing in the 21st century: a vision and a strategy&lt;/title&gt;&lt;secondary-title&gt;Journal of Toxicology and Environmental Health, Part B&lt;/secondary-title&gt;&lt;/titles&gt;&lt;periodical&gt;&lt;full-title&gt;Journal of Toxicology and Environmental Health, Part B&lt;/full-title&gt;&lt;/periodical&gt;&lt;pages&gt;51-138&lt;/pages&gt;&lt;volume&gt;13&lt;/volume&gt;&lt;number&gt;2-4&lt;/number&gt;&lt;dates&gt;&lt;year&gt;2010&lt;/year&gt;&lt;/dates&gt;&lt;isbn&gt;1093-7404&lt;/isbn&gt;&lt;urls&gt;&lt;/urls&gt;&lt;/record&gt;&lt;/Cite&gt;&lt;/EndNote&gt;</w:instrText>
            </w:r>
            <w:r w:rsidRPr="00771498">
              <w:rPr>
                <w:rFonts w:ascii="Times New Roman" w:hAnsi="Times New Roman" w:cs="Times New Roman"/>
                <w:b/>
                <w:bCs/>
                <w:color w:val="000000"/>
                <w:kern w:val="2"/>
                <w:sz w:val="20"/>
                <w:szCs w:val="20"/>
              </w:rPr>
              <w:fldChar w:fldCharType="separate"/>
            </w:r>
            <w:r w:rsidR="00710919">
              <w:rPr>
                <w:rFonts w:ascii="Times New Roman" w:hAnsi="Times New Roman" w:cs="Times New Roman"/>
                <w:b/>
                <w:bCs/>
                <w:noProof/>
                <w:color w:val="000000"/>
                <w:kern w:val="2"/>
                <w:sz w:val="20"/>
                <w:szCs w:val="20"/>
              </w:rPr>
              <w:t>[18]</w:t>
            </w:r>
            <w:r w:rsidRPr="00771498">
              <w:rPr>
                <w:rFonts w:ascii="Times New Roman" w:hAnsi="Times New Roman" w:cs="Times New Roman"/>
                <w:b/>
                <w:bCs/>
                <w:color w:val="000000"/>
                <w:kern w:val="2"/>
                <w:sz w:val="20"/>
                <w:szCs w:val="20"/>
              </w:rPr>
              <w:fldChar w:fldCharType="end"/>
            </w:r>
          </w:p>
        </w:tc>
        <w:tc>
          <w:tcPr>
            <w:tcW w:w="519" w:type="pct"/>
            <w:tcBorders>
              <w:top w:val="single" w:sz="4" w:space="0" w:color="auto"/>
              <w:left w:val="single" w:sz="4" w:space="0" w:color="auto"/>
              <w:bottom w:val="single" w:sz="4" w:space="0" w:color="auto"/>
              <w:right w:val="single" w:sz="4" w:space="0" w:color="auto"/>
            </w:tcBorders>
          </w:tcPr>
          <w:p w14:paraId="7D7BE5A9" w14:textId="77777777" w:rsidR="000F03CD" w:rsidRPr="00771498" w:rsidRDefault="000F03CD" w:rsidP="00EA4338">
            <w:pPr>
              <w:widowControl w:val="0"/>
              <w:rPr>
                <w:rFonts w:ascii="Times New Roman" w:hAnsi="Times New Roman" w:cs="Times New Roman"/>
                <w:b/>
                <w:bCs/>
                <w:color w:val="000000" w:themeColor="text1"/>
                <w:kern w:val="2"/>
                <w:sz w:val="20"/>
                <w:szCs w:val="20"/>
              </w:rPr>
            </w:pPr>
            <w:proofErr w:type="spellStart"/>
            <w:r w:rsidRPr="00771498">
              <w:rPr>
                <w:rFonts w:ascii="Times New Roman" w:hAnsi="Times New Roman" w:cs="Times New Roman"/>
                <w:b/>
                <w:bCs/>
                <w:color w:val="000000" w:themeColor="text1"/>
                <w:kern w:val="2"/>
                <w:sz w:val="20"/>
                <w:szCs w:val="20"/>
              </w:rPr>
              <w:t>ToxCast</w:t>
            </w:r>
            <w:proofErr w:type="spellEnd"/>
            <w:r w:rsidRPr="00771498">
              <w:rPr>
                <w:rFonts w:ascii="Times New Roman" w:hAnsi="Times New Roman" w:cs="Times New Roman"/>
                <w:b/>
                <w:bCs/>
                <w:color w:val="000000" w:themeColor="text1"/>
                <w:kern w:val="2"/>
                <w:sz w:val="20"/>
                <w:szCs w:val="20"/>
              </w:rPr>
              <w:t xml:space="preserve"> [67]</w:t>
            </w:r>
          </w:p>
        </w:tc>
        <w:tc>
          <w:tcPr>
            <w:tcW w:w="520" w:type="pct"/>
            <w:tcBorders>
              <w:top w:val="single" w:sz="4" w:space="0" w:color="auto"/>
              <w:left w:val="single" w:sz="4" w:space="0" w:color="auto"/>
              <w:bottom w:val="single" w:sz="4" w:space="0" w:color="auto"/>
              <w:right w:val="single" w:sz="4" w:space="0" w:color="auto"/>
            </w:tcBorders>
          </w:tcPr>
          <w:p w14:paraId="15267431" w14:textId="787ED71A" w:rsidR="000F03CD" w:rsidRPr="00771498" w:rsidRDefault="000F03CD" w:rsidP="00EA4338">
            <w:pPr>
              <w:widowControl w:val="0"/>
              <w:rPr>
                <w:rFonts w:ascii="Times New Roman" w:hAnsi="Times New Roman" w:cs="Times New Roman"/>
                <w:b/>
                <w:bCs/>
                <w:kern w:val="2"/>
                <w:sz w:val="20"/>
                <w:szCs w:val="20"/>
              </w:rPr>
            </w:pPr>
            <w:r w:rsidRPr="00771498">
              <w:rPr>
                <w:rFonts w:ascii="Times New Roman" w:hAnsi="Times New Roman" w:cs="Times New Roman"/>
                <w:b/>
                <w:bCs/>
                <w:kern w:val="2"/>
                <w:sz w:val="20"/>
                <w:szCs w:val="20"/>
              </w:rPr>
              <w:t xml:space="preserve">MUTAG </w:t>
            </w:r>
            <w:r w:rsidRPr="00771498">
              <w:rPr>
                <w:rFonts w:ascii="Times New Roman" w:hAnsi="Times New Roman" w:cs="Times New Roman"/>
                <w:b/>
                <w:bCs/>
                <w:kern w:val="2"/>
                <w:sz w:val="20"/>
                <w:szCs w:val="20"/>
              </w:rPr>
              <w:fldChar w:fldCharType="begin"/>
            </w:r>
            <w:r w:rsidR="00710919">
              <w:rPr>
                <w:rFonts w:ascii="Times New Roman" w:hAnsi="Times New Roman" w:cs="Times New Roman"/>
                <w:b/>
                <w:bCs/>
                <w:kern w:val="2"/>
                <w:sz w:val="20"/>
                <w:szCs w:val="20"/>
              </w:rPr>
              <w:instrText xml:space="preserve"> ADDIN EN.CITE &lt;EndNote&gt;&lt;Cite&gt;&lt;Author&gt;Debnath&lt;/Author&gt;&lt;Year&gt;1991&lt;/Year&gt;&lt;RecNum&gt;92&lt;/RecNum&gt;&lt;DisplayText&gt;[19]&lt;/DisplayText&gt;&lt;record&gt;&lt;rec-number&gt;92&lt;/rec-number&gt;&lt;foreign-keys&gt;&lt;key app="EN" db-id="r5s22w5rd0devle050v55zrfasde5xaxfzae" timestamp="1773762845"&gt;92&lt;/key&gt;&lt;/foreign-keys&gt;&lt;ref-type name="Journal Article"&gt;17&lt;/ref-type&gt;&lt;contributors&gt;&lt;authors&gt;&lt;author&gt;Debnath, Asim Kumar&lt;/author&gt;&lt;author&gt;Lopez de Compadre, Rosa L&lt;/author&gt;&lt;author&gt;Debnath, Gargi&lt;/author&gt;&lt;author&gt;Shusterman, Alan J&lt;/author&gt;&lt;author&gt;Hansch, Corwin&lt;/author&gt;&lt;/authors&gt;&lt;/contributors&gt;&lt;titles&gt;&lt;title&gt;Structure-activity relationship of mutagenic aromatic and heteroaromatic nitro compounds. correlation with molecular orbital energies and hydrophobicity&lt;/title&gt;&lt;secondary-title&gt;Journal of medicinal chemistry&lt;/secondary-title&gt;&lt;/titles&gt;&lt;periodical&gt;&lt;full-title&gt;Journal of medicinal chemistry&lt;/full-title&gt;&lt;/periodical&gt;&lt;pages&gt;786-797&lt;/pages&gt;&lt;volume&gt;34&lt;/volume&gt;&lt;number&gt;2&lt;/number&gt;&lt;dates&gt;&lt;year&gt;1991&lt;/year&gt;&lt;/dates&gt;&lt;isbn&gt;0022-2623&lt;/isbn&gt;&lt;urls&gt;&lt;/urls&gt;&lt;/record&gt;&lt;/Cite&gt;&lt;/EndNote&gt;</w:instrText>
            </w:r>
            <w:r w:rsidRPr="00771498">
              <w:rPr>
                <w:rFonts w:ascii="Times New Roman" w:hAnsi="Times New Roman" w:cs="Times New Roman"/>
                <w:b/>
                <w:bCs/>
                <w:kern w:val="2"/>
                <w:sz w:val="20"/>
                <w:szCs w:val="20"/>
              </w:rPr>
              <w:fldChar w:fldCharType="separate"/>
            </w:r>
            <w:r w:rsidR="00710919">
              <w:rPr>
                <w:rFonts w:ascii="Times New Roman" w:hAnsi="Times New Roman" w:cs="Times New Roman"/>
                <w:b/>
                <w:bCs/>
                <w:noProof/>
                <w:kern w:val="2"/>
                <w:sz w:val="20"/>
                <w:szCs w:val="20"/>
              </w:rPr>
              <w:t>[19]</w:t>
            </w:r>
            <w:r w:rsidRPr="00771498">
              <w:rPr>
                <w:rFonts w:ascii="Times New Roman" w:hAnsi="Times New Roman" w:cs="Times New Roman"/>
                <w:b/>
                <w:bCs/>
                <w:kern w:val="2"/>
                <w:sz w:val="20"/>
                <w:szCs w:val="20"/>
              </w:rPr>
              <w:fldChar w:fldCharType="end"/>
            </w:r>
          </w:p>
        </w:tc>
        <w:tc>
          <w:tcPr>
            <w:tcW w:w="454" w:type="pct"/>
            <w:tcBorders>
              <w:top w:val="single" w:sz="4" w:space="0" w:color="auto"/>
              <w:left w:val="single" w:sz="4" w:space="0" w:color="auto"/>
              <w:bottom w:val="single" w:sz="4" w:space="0" w:color="auto"/>
              <w:right w:val="single" w:sz="4" w:space="0" w:color="auto"/>
            </w:tcBorders>
          </w:tcPr>
          <w:p w14:paraId="7F442F93" w14:textId="5F4DA2D3" w:rsidR="000F03CD" w:rsidRPr="00771498" w:rsidRDefault="000F03CD" w:rsidP="00EA4338">
            <w:pPr>
              <w:widowControl w:val="0"/>
              <w:rPr>
                <w:rFonts w:ascii="Times New Roman" w:hAnsi="Times New Roman" w:cs="Times New Roman"/>
                <w:b/>
                <w:bCs/>
                <w:kern w:val="2"/>
                <w:sz w:val="20"/>
                <w:szCs w:val="20"/>
              </w:rPr>
            </w:pPr>
            <w:r w:rsidRPr="00771498">
              <w:rPr>
                <w:rFonts w:ascii="Times New Roman" w:hAnsi="Times New Roman" w:cs="Times New Roman"/>
                <w:b/>
                <w:bCs/>
                <w:color w:val="000000"/>
                <w:kern w:val="2"/>
                <w:sz w:val="20"/>
                <w:szCs w:val="20"/>
              </w:rPr>
              <w:t xml:space="preserve">SIDER  </w:t>
            </w:r>
            <w:r w:rsidRPr="00771498">
              <w:rPr>
                <w:rFonts w:ascii="Times New Roman" w:hAnsi="Times New Roman" w:cs="Times New Roman"/>
                <w:b/>
                <w:bCs/>
                <w:color w:val="000000"/>
                <w:kern w:val="2"/>
                <w:sz w:val="20"/>
                <w:szCs w:val="20"/>
              </w:rPr>
              <w:fldChar w:fldCharType="begin"/>
            </w:r>
            <w:r w:rsidR="00710919">
              <w:rPr>
                <w:rFonts w:ascii="Times New Roman" w:hAnsi="Times New Roman" w:cs="Times New Roman"/>
                <w:b/>
                <w:bCs/>
                <w:color w:val="000000"/>
                <w:kern w:val="2"/>
                <w:sz w:val="20"/>
                <w:szCs w:val="20"/>
              </w:rPr>
              <w:instrText xml:space="preserve"> ADDIN EN.CITE &lt;EndNote&gt;&lt;Cite&gt;&lt;Author&gt;Kuhn&lt;/Author&gt;&lt;Year&gt;2016&lt;/Year&gt;&lt;RecNum&gt;28&lt;/RecNum&gt;&lt;DisplayText&gt;[20]&lt;/DisplayText&gt;&lt;record&gt;&lt;rec-number&gt;28&lt;/rec-number&gt;&lt;foreign-keys&gt;&lt;key app="EN" db-id="xs529ea0upe0rbezpxp5aaw5f5xattxfpa5p" timestamp="1721226309"&gt;28&lt;/key&gt;&lt;/foreign-keys&gt;&lt;ref-type name="Journal Article"&gt;17&lt;/ref-type&gt;&lt;contributors&gt;&lt;authors&gt;&lt;author&gt;Kuhn, Michael&lt;/author&gt;&lt;author&gt;Letunic, Ivica&lt;/author&gt;&lt;author&gt;Jensen, Lars Juhl&lt;/author&gt;&lt;author&gt;Bork, Peer&lt;/author&gt;&lt;/authors&gt;&lt;/contributors&gt;&lt;titles&gt;&lt;title&gt;The SIDER database of drugs and side effects&lt;/title&gt;&lt;secondary-title&gt;Nucleic acids research&lt;/secondary-title&gt;&lt;/titles&gt;&lt;periodical&gt;&lt;full-title&gt;Nucleic acids research&lt;/full-title&gt;&lt;/periodical&gt;&lt;pages&gt;D1075-D1079&lt;/pages&gt;&lt;volume&gt;44&lt;/volume&gt;&lt;number&gt;D1&lt;/number&gt;&lt;dates&gt;&lt;year&gt;2016&lt;/year&gt;&lt;/dates&gt;&lt;isbn&gt;1362-4962&lt;/isbn&gt;&lt;urls&gt;&lt;/urls&gt;&lt;/record&gt;&lt;/Cite&gt;&lt;/EndNote&gt;</w:instrText>
            </w:r>
            <w:r w:rsidRPr="00771498">
              <w:rPr>
                <w:rFonts w:ascii="Times New Roman" w:hAnsi="Times New Roman" w:cs="Times New Roman"/>
                <w:b/>
                <w:bCs/>
                <w:color w:val="000000"/>
                <w:kern w:val="2"/>
                <w:sz w:val="20"/>
                <w:szCs w:val="20"/>
              </w:rPr>
              <w:fldChar w:fldCharType="separate"/>
            </w:r>
            <w:r w:rsidR="00710919">
              <w:rPr>
                <w:rFonts w:ascii="Times New Roman" w:hAnsi="Times New Roman" w:cs="Times New Roman"/>
                <w:b/>
                <w:bCs/>
                <w:noProof/>
                <w:color w:val="000000"/>
                <w:kern w:val="2"/>
                <w:sz w:val="20"/>
                <w:szCs w:val="20"/>
              </w:rPr>
              <w:t>[20]</w:t>
            </w:r>
            <w:r w:rsidRPr="00771498">
              <w:rPr>
                <w:rFonts w:ascii="Times New Roman" w:hAnsi="Times New Roman" w:cs="Times New Roman"/>
                <w:b/>
                <w:bCs/>
                <w:color w:val="000000"/>
                <w:kern w:val="2"/>
                <w:sz w:val="20"/>
                <w:szCs w:val="20"/>
              </w:rPr>
              <w:fldChar w:fldCharType="end"/>
            </w:r>
          </w:p>
        </w:tc>
        <w:tc>
          <w:tcPr>
            <w:tcW w:w="520" w:type="pct"/>
            <w:tcBorders>
              <w:top w:val="single" w:sz="4" w:space="0" w:color="auto"/>
              <w:left w:val="single" w:sz="4" w:space="0" w:color="auto"/>
              <w:bottom w:val="single" w:sz="4" w:space="0" w:color="auto"/>
            </w:tcBorders>
          </w:tcPr>
          <w:p w14:paraId="75E207F2" w14:textId="39796EEE" w:rsidR="000F03CD" w:rsidRPr="00771498" w:rsidRDefault="000F03CD" w:rsidP="00EA4338">
            <w:pPr>
              <w:widowControl w:val="0"/>
              <w:rPr>
                <w:rFonts w:ascii="Times New Roman" w:hAnsi="Times New Roman" w:cs="Times New Roman"/>
                <w:b/>
                <w:bCs/>
                <w:color w:val="000000"/>
                <w:kern w:val="2"/>
                <w:sz w:val="20"/>
                <w:szCs w:val="20"/>
              </w:rPr>
            </w:pPr>
            <w:r w:rsidRPr="00771498">
              <w:rPr>
                <w:rFonts w:ascii="Times New Roman" w:hAnsi="Times New Roman" w:cs="Times New Roman"/>
                <w:b/>
                <w:bCs/>
                <w:color w:val="000000" w:themeColor="text1"/>
                <w:kern w:val="2"/>
                <w:sz w:val="20"/>
                <w:szCs w:val="20"/>
              </w:rPr>
              <w:t>ESOL</w:t>
            </w:r>
            <w:r w:rsidRPr="00771498">
              <w:rPr>
                <w:rFonts w:ascii="Times New Roman" w:hAnsi="Times New Roman" w:cs="Times New Roman"/>
                <w:color w:val="000000" w:themeColor="text1"/>
                <w:kern w:val="2"/>
                <w:sz w:val="20"/>
                <w:szCs w:val="20"/>
              </w:rPr>
              <w:t xml:space="preserve"> </w:t>
            </w:r>
            <w:r w:rsidRPr="00771498">
              <w:rPr>
                <w:rFonts w:ascii="Times New Roman" w:hAnsi="Times New Roman" w:cs="Times New Roman"/>
                <w:color w:val="000000" w:themeColor="text1"/>
                <w:kern w:val="2"/>
                <w:sz w:val="20"/>
                <w:szCs w:val="20"/>
              </w:rPr>
              <w:fldChar w:fldCharType="begin"/>
            </w:r>
            <w:r w:rsidR="00710919">
              <w:rPr>
                <w:rFonts w:ascii="Times New Roman" w:hAnsi="Times New Roman" w:cs="Times New Roman"/>
                <w:color w:val="000000" w:themeColor="text1"/>
                <w:kern w:val="2"/>
                <w:sz w:val="20"/>
                <w:szCs w:val="20"/>
              </w:rPr>
              <w:instrText xml:space="preserve"> ADDIN EN.CITE &lt;EndNote&gt;&lt;Cite&gt;&lt;Author&gt;Delaney&lt;/Author&gt;&lt;Year&gt;2004&lt;/Year&gt;&lt;RecNum&gt;12&lt;/RecNum&gt;&lt;DisplayText&gt;[21]&lt;/DisplayText&gt;&lt;record&gt;&lt;rec-number&gt;12&lt;/rec-number&gt;&lt;foreign-keys&gt;&lt;key app="EN" db-id="r5s22w5rd0devle050v55zrfasde5xaxfzae" timestamp="1739107695"&gt;12&lt;/key&gt;&lt;/foreign-keys&gt;&lt;ref-type name="Journal Article"&gt;17&lt;/ref-type&gt;&lt;contributors&gt;&lt;authors&gt;&lt;author&gt;Delaney, John S&lt;/author&gt;&lt;/authors&gt;&lt;/contributors&gt;&lt;titles&gt;&lt;title&gt;ESOL: estimating aqueous solubility directly from molecular structure&lt;/title&gt;&lt;secondary-title&gt;Journal of chemical information and computer sciences&lt;/secondary-title&gt;&lt;/titles&gt;&lt;periodical&gt;&lt;full-title&gt;Journal of chemical information and computer sciences&lt;/full-title&gt;&lt;/periodical&gt;&lt;pages&gt;1000-1005&lt;/pages&gt;&lt;volume&gt;44&lt;/volume&gt;&lt;number&gt;3&lt;/number&gt;&lt;dates&gt;&lt;year&gt;2004&lt;/year&gt;&lt;/dates&gt;&lt;isbn&gt;0095-2338&lt;/isbn&gt;&lt;urls&gt;&lt;/urls&gt;&lt;/record&gt;&lt;/Cite&gt;&lt;/EndNote&gt;</w:instrText>
            </w:r>
            <w:r w:rsidRPr="00771498">
              <w:rPr>
                <w:rFonts w:ascii="Times New Roman" w:hAnsi="Times New Roman" w:cs="Times New Roman"/>
                <w:color w:val="000000" w:themeColor="text1"/>
                <w:kern w:val="2"/>
                <w:sz w:val="20"/>
                <w:szCs w:val="20"/>
              </w:rPr>
              <w:fldChar w:fldCharType="separate"/>
            </w:r>
            <w:r w:rsidR="00710919">
              <w:rPr>
                <w:rFonts w:ascii="Times New Roman" w:hAnsi="Times New Roman" w:cs="Times New Roman"/>
                <w:noProof/>
                <w:color w:val="000000" w:themeColor="text1"/>
                <w:kern w:val="2"/>
                <w:sz w:val="20"/>
                <w:szCs w:val="20"/>
              </w:rPr>
              <w:t>[21]</w:t>
            </w:r>
            <w:r w:rsidRPr="00771498">
              <w:rPr>
                <w:rFonts w:ascii="Times New Roman" w:hAnsi="Times New Roman" w:cs="Times New Roman"/>
                <w:color w:val="000000" w:themeColor="text1"/>
                <w:kern w:val="2"/>
                <w:sz w:val="20"/>
                <w:szCs w:val="20"/>
              </w:rPr>
              <w:fldChar w:fldCharType="end"/>
            </w:r>
          </w:p>
        </w:tc>
        <w:tc>
          <w:tcPr>
            <w:tcW w:w="583" w:type="pct"/>
            <w:tcBorders>
              <w:top w:val="single" w:sz="4" w:space="0" w:color="auto"/>
              <w:left w:val="single" w:sz="4" w:space="0" w:color="auto"/>
              <w:bottom w:val="single" w:sz="4" w:space="0" w:color="auto"/>
            </w:tcBorders>
          </w:tcPr>
          <w:p w14:paraId="7B57BE2E" w14:textId="2C72A4CC" w:rsidR="000F03CD" w:rsidRPr="00771498" w:rsidRDefault="000F03CD" w:rsidP="00EA4338">
            <w:pPr>
              <w:widowControl w:val="0"/>
              <w:rPr>
                <w:rFonts w:ascii="Times New Roman" w:hAnsi="Times New Roman" w:cs="Times New Roman"/>
                <w:b/>
                <w:bCs/>
                <w:color w:val="000000" w:themeColor="text1"/>
                <w:kern w:val="2"/>
                <w:sz w:val="20"/>
                <w:szCs w:val="20"/>
              </w:rPr>
            </w:pPr>
            <w:r w:rsidRPr="00771498">
              <w:rPr>
                <w:rFonts w:ascii="Times New Roman" w:hAnsi="Times New Roman" w:cs="Times New Roman"/>
                <w:b/>
                <w:bCs/>
                <w:color w:val="000000" w:themeColor="text1"/>
                <w:kern w:val="2"/>
                <w:sz w:val="20"/>
                <w:szCs w:val="20"/>
              </w:rPr>
              <w:t xml:space="preserve">B3DB </w:t>
            </w:r>
            <w:r w:rsidRPr="00771498">
              <w:rPr>
                <w:rFonts w:ascii="Times New Roman" w:hAnsi="Times New Roman" w:cs="Times New Roman"/>
                <w:b/>
                <w:bCs/>
                <w:color w:val="000000" w:themeColor="text1"/>
                <w:kern w:val="2"/>
                <w:sz w:val="20"/>
                <w:szCs w:val="20"/>
              </w:rPr>
              <w:fldChar w:fldCharType="begin"/>
            </w:r>
            <w:r w:rsidR="00710919">
              <w:rPr>
                <w:rFonts w:ascii="Times New Roman" w:hAnsi="Times New Roman" w:cs="Times New Roman"/>
                <w:b/>
                <w:bCs/>
                <w:color w:val="000000" w:themeColor="text1"/>
                <w:kern w:val="2"/>
                <w:sz w:val="20"/>
                <w:szCs w:val="20"/>
              </w:rPr>
              <w:instrText xml:space="preserve"> ADDIN EN.CITE &lt;EndNote&gt;&lt;Cite&gt;&lt;Author&gt;Meng&lt;/Author&gt;&lt;Year&gt;2021&lt;/Year&gt;&lt;RecNum&gt;88&lt;/RecNum&gt;&lt;DisplayText&gt;[9]&lt;/DisplayText&gt;&lt;record&gt;&lt;rec-number&gt;88&lt;/rec-number&gt;&lt;foreign-keys&gt;&lt;key app="EN" db-id="r5s22w5rd0devle050v55zrfasde5xaxfzae" timestamp="1773762098"&gt;88&lt;/key&gt;&lt;/foreign-keys&gt;&lt;ref-type name="Journal Article"&gt;17&lt;/ref-type&gt;&lt;contributors&gt;&lt;authors&gt;&lt;author&gt;Meng, Fanwang&lt;/author&gt;&lt;author&gt;Xi, Yang&lt;/author&gt;&lt;author&gt;Huang, Jinfeng&lt;/author&gt;&lt;author&gt;Ayers, Paul W&lt;/author&gt;&lt;/authors&gt;&lt;/contributors&gt;&lt;titles&gt;&lt;title&gt;A curated diverse molecular database of blood-brain barrier permeability with chemical descriptors&lt;/title&gt;&lt;secondary-title&gt;Scientific Data&lt;/secondary-title&gt;&lt;/titles&gt;&lt;periodical&gt;&lt;full-title&gt;Scientific Data&lt;/full-title&gt;&lt;/periodical&gt;&lt;pages&gt;289&lt;/pages&gt;&lt;volume&gt;8&lt;/volume&gt;&lt;number&gt;1&lt;/number&gt;&lt;dates&gt;&lt;year&gt;2021&lt;/year&gt;&lt;/dates&gt;&lt;isbn&gt;2052-4463&lt;/isbn&gt;&lt;urls&gt;&lt;/urls&gt;&lt;/record&gt;&lt;/Cite&gt;&lt;/EndNote&gt;</w:instrText>
            </w:r>
            <w:r w:rsidRPr="00771498">
              <w:rPr>
                <w:rFonts w:ascii="Times New Roman" w:hAnsi="Times New Roman" w:cs="Times New Roman"/>
                <w:b/>
                <w:bCs/>
                <w:color w:val="000000" w:themeColor="text1"/>
                <w:kern w:val="2"/>
                <w:sz w:val="20"/>
                <w:szCs w:val="20"/>
              </w:rPr>
              <w:fldChar w:fldCharType="separate"/>
            </w:r>
            <w:r w:rsidR="00710919">
              <w:rPr>
                <w:rFonts w:ascii="Times New Roman" w:hAnsi="Times New Roman" w:cs="Times New Roman"/>
                <w:b/>
                <w:bCs/>
                <w:noProof/>
                <w:color w:val="000000" w:themeColor="text1"/>
                <w:kern w:val="2"/>
                <w:sz w:val="20"/>
                <w:szCs w:val="20"/>
              </w:rPr>
              <w:t>[9]</w:t>
            </w:r>
            <w:r w:rsidRPr="00771498">
              <w:rPr>
                <w:rFonts w:ascii="Times New Roman" w:hAnsi="Times New Roman" w:cs="Times New Roman"/>
                <w:b/>
                <w:bCs/>
                <w:color w:val="000000" w:themeColor="text1"/>
                <w:kern w:val="2"/>
                <w:sz w:val="20"/>
                <w:szCs w:val="20"/>
              </w:rPr>
              <w:fldChar w:fldCharType="end"/>
            </w:r>
          </w:p>
        </w:tc>
        <w:tc>
          <w:tcPr>
            <w:tcW w:w="519" w:type="pct"/>
            <w:tcBorders>
              <w:top w:val="single" w:sz="4" w:space="0" w:color="auto"/>
              <w:left w:val="single" w:sz="4" w:space="0" w:color="auto"/>
              <w:bottom w:val="single" w:sz="4" w:space="0" w:color="auto"/>
            </w:tcBorders>
          </w:tcPr>
          <w:p w14:paraId="7027E0DF" w14:textId="2B084866" w:rsidR="000F03CD" w:rsidRPr="00771498" w:rsidRDefault="000F03CD" w:rsidP="00EA4338">
            <w:pPr>
              <w:widowControl w:val="0"/>
              <w:rPr>
                <w:rFonts w:ascii="Times New Roman" w:hAnsi="Times New Roman" w:cs="Times New Roman"/>
                <w:b/>
                <w:bCs/>
                <w:color w:val="000000" w:themeColor="text1"/>
                <w:kern w:val="2"/>
                <w:sz w:val="20"/>
                <w:szCs w:val="20"/>
              </w:rPr>
            </w:pPr>
            <w:r w:rsidRPr="00771498">
              <w:rPr>
                <w:rFonts w:ascii="Times New Roman" w:hAnsi="Times New Roman" w:cs="Times New Roman"/>
                <w:b/>
                <w:bCs/>
                <w:color w:val="000000" w:themeColor="text1"/>
                <w:kern w:val="2"/>
                <w:sz w:val="20"/>
                <w:szCs w:val="20"/>
              </w:rPr>
              <w:t xml:space="preserve">A+P </w:t>
            </w:r>
            <w:r w:rsidRPr="00771498">
              <w:rPr>
                <w:rFonts w:ascii="Times New Roman" w:hAnsi="Times New Roman" w:cs="Times New Roman"/>
                <w:b/>
                <w:bCs/>
                <w:color w:val="000000" w:themeColor="text1"/>
                <w:kern w:val="2"/>
                <w:sz w:val="20"/>
                <w:szCs w:val="20"/>
              </w:rPr>
              <w:fldChar w:fldCharType="begin"/>
            </w:r>
            <w:r w:rsidR="00710919">
              <w:rPr>
                <w:rFonts w:ascii="Times New Roman" w:hAnsi="Times New Roman" w:cs="Times New Roman"/>
                <w:b/>
                <w:bCs/>
                <w:color w:val="000000" w:themeColor="text1"/>
                <w:kern w:val="2"/>
                <w:sz w:val="20"/>
                <w:szCs w:val="20"/>
              </w:rPr>
              <w:instrText xml:space="preserve"> ADDIN EN.CITE &lt;EndNote&gt;&lt;Cite&gt;&lt;Author&gt;Meng&lt;/Author&gt;&lt;Year&gt;2021&lt;/Year&gt;&lt;RecNum&gt;88&lt;/RecNum&gt;&lt;DisplayText&gt;[9]&lt;/DisplayText&gt;&lt;record&gt;&lt;rec-number&gt;88&lt;/rec-number&gt;&lt;foreign-keys&gt;&lt;key app="EN" db-id="r5s22w5rd0devle050v55zrfasde5xaxfzae" timestamp="1773762098"&gt;88&lt;/key&gt;&lt;/foreign-keys&gt;&lt;ref-type name="Journal Article"&gt;17&lt;/ref-type&gt;&lt;contributors&gt;&lt;authors&gt;&lt;author&gt;Meng, Fanwang&lt;/author&gt;&lt;author&gt;Xi, Yang&lt;/author&gt;&lt;author&gt;Huang, Jinfeng&lt;/author&gt;&lt;author&gt;Ayers, Paul W&lt;/author&gt;&lt;/authors&gt;&lt;/contributors&gt;&lt;titles&gt;&lt;title&gt;A curated diverse molecular database of blood-brain barrier permeability with chemical descriptors&lt;/title&gt;&lt;secondary-title&gt;Scientific Data&lt;/secondary-title&gt;&lt;/titles&gt;&lt;periodical&gt;&lt;full-title&gt;Scientific Data&lt;/full-title&gt;&lt;/periodical&gt;&lt;pages&gt;289&lt;/pages&gt;&lt;volume&gt;8&lt;/volume&gt;&lt;number&gt;1&lt;/number&gt;&lt;dates&gt;&lt;year&gt;2021&lt;/year&gt;&lt;/dates&gt;&lt;isbn&gt;2052-4463&lt;/isbn&gt;&lt;urls&gt;&lt;/urls&gt;&lt;/record&gt;&lt;/Cite&gt;&lt;/EndNote&gt;</w:instrText>
            </w:r>
            <w:r w:rsidRPr="00771498">
              <w:rPr>
                <w:rFonts w:ascii="Times New Roman" w:hAnsi="Times New Roman" w:cs="Times New Roman"/>
                <w:b/>
                <w:bCs/>
                <w:color w:val="000000" w:themeColor="text1"/>
                <w:kern w:val="2"/>
                <w:sz w:val="20"/>
                <w:szCs w:val="20"/>
              </w:rPr>
              <w:fldChar w:fldCharType="separate"/>
            </w:r>
            <w:r w:rsidR="00710919">
              <w:rPr>
                <w:rFonts w:ascii="Times New Roman" w:hAnsi="Times New Roman" w:cs="Times New Roman"/>
                <w:b/>
                <w:bCs/>
                <w:noProof/>
                <w:color w:val="000000" w:themeColor="text1"/>
                <w:kern w:val="2"/>
                <w:sz w:val="20"/>
                <w:szCs w:val="20"/>
              </w:rPr>
              <w:t>[9]</w:t>
            </w:r>
            <w:r w:rsidRPr="00771498">
              <w:rPr>
                <w:rFonts w:ascii="Times New Roman" w:hAnsi="Times New Roman" w:cs="Times New Roman"/>
                <w:b/>
                <w:bCs/>
                <w:color w:val="000000" w:themeColor="text1"/>
                <w:kern w:val="2"/>
                <w:sz w:val="20"/>
                <w:szCs w:val="20"/>
              </w:rPr>
              <w:fldChar w:fldCharType="end"/>
            </w:r>
          </w:p>
        </w:tc>
      </w:tr>
      <w:tr w:rsidR="000F03CD" w:rsidRPr="00771498" w14:paraId="65F8CC19" w14:textId="77777777" w:rsidTr="00EA4338">
        <w:tc>
          <w:tcPr>
            <w:tcW w:w="455" w:type="pct"/>
            <w:tcBorders>
              <w:top w:val="single" w:sz="4" w:space="0" w:color="auto"/>
              <w:bottom w:val="single" w:sz="4" w:space="0" w:color="auto"/>
              <w:right w:val="single" w:sz="4" w:space="0" w:color="auto"/>
            </w:tcBorders>
          </w:tcPr>
          <w:p w14:paraId="7B583332" w14:textId="77777777" w:rsidR="000F03CD" w:rsidRPr="00771498" w:rsidRDefault="000F03CD" w:rsidP="00EA4338">
            <w:pPr>
              <w:widowControl w:val="0"/>
              <w:rPr>
                <w:rFonts w:ascii="Times New Roman" w:hAnsi="Times New Roman" w:cs="Times New Roman"/>
                <w:b/>
                <w:bCs/>
                <w:kern w:val="2"/>
                <w:sz w:val="20"/>
                <w:szCs w:val="20"/>
              </w:rPr>
            </w:pPr>
            <w:r w:rsidRPr="00771498">
              <w:rPr>
                <w:rFonts w:ascii="Times New Roman" w:hAnsi="Times New Roman" w:cs="Times New Roman"/>
                <w:b/>
                <w:bCs/>
                <w:kern w:val="2"/>
                <w:sz w:val="20"/>
                <w:szCs w:val="20"/>
              </w:rPr>
              <w:t>Size</w:t>
            </w:r>
          </w:p>
        </w:tc>
        <w:tc>
          <w:tcPr>
            <w:tcW w:w="390" w:type="pct"/>
            <w:tcBorders>
              <w:top w:val="single" w:sz="4" w:space="0" w:color="auto"/>
              <w:left w:val="single" w:sz="4" w:space="0" w:color="auto"/>
              <w:bottom w:val="single" w:sz="4" w:space="0" w:color="auto"/>
              <w:right w:val="single" w:sz="4" w:space="0" w:color="auto"/>
            </w:tcBorders>
          </w:tcPr>
          <w:p w14:paraId="01B0F0C4" w14:textId="77777777" w:rsidR="000F03CD" w:rsidRPr="00771498" w:rsidRDefault="000F03CD" w:rsidP="00EA4338">
            <w:pPr>
              <w:spacing w:before="100" w:beforeAutospacing="1" w:after="100" w:afterAutospacing="1"/>
              <w:rPr>
                <w:rFonts w:ascii="Times New Roman" w:hAnsi="Times New Roman" w:cs="Times New Roman"/>
                <w:sz w:val="20"/>
                <w:szCs w:val="20"/>
              </w:rPr>
            </w:pPr>
            <w:r w:rsidRPr="00771498">
              <w:rPr>
                <w:rFonts w:ascii="Times New Roman" w:hAnsi="Times New Roman" w:cs="Times New Roman"/>
                <w:sz w:val="20"/>
                <w:szCs w:val="20"/>
              </w:rPr>
              <w:t xml:space="preserve">1513 </w:t>
            </w:r>
          </w:p>
        </w:tc>
        <w:tc>
          <w:tcPr>
            <w:tcW w:w="584" w:type="pct"/>
            <w:tcBorders>
              <w:top w:val="single" w:sz="4" w:space="0" w:color="auto"/>
              <w:left w:val="single" w:sz="4" w:space="0" w:color="auto"/>
              <w:bottom w:val="single" w:sz="4" w:space="0" w:color="auto"/>
              <w:right w:val="single" w:sz="4" w:space="0" w:color="auto"/>
            </w:tcBorders>
          </w:tcPr>
          <w:p w14:paraId="7C113C62" w14:textId="77777777" w:rsidR="000F03CD" w:rsidRPr="00771498" w:rsidRDefault="000F03CD" w:rsidP="00EA4338">
            <w:pPr>
              <w:spacing w:before="100" w:beforeAutospacing="1" w:after="100" w:afterAutospacing="1"/>
              <w:rPr>
                <w:rFonts w:ascii="Times New Roman" w:hAnsi="Times New Roman" w:cs="Times New Roman"/>
                <w:sz w:val="20"/>
                <w:szCs w:val="20"/>
              </w:rPr>
            </w:pPr>
            <w:r w:rsidRPr="00771498">
              <w:rPr>
                <w:rFonts w:ascii="Times New Roman" w:hAnsi="Times New Roman" w:cs="Times New Roman"/>
                <w:sz w:val="20"/>
                <w:szCs w:val="20"/>
              </w:rPr>
              <w:t xml:space="preserve">2050 </w:t>
            </w:r>
          </w:p>
        </w:tc>
        <w:tc>
          <w:tcPr>
            <w:tcW w:w="454" w:type="pct"/>
            <w:tcBorders>
              <w:top w:val="single" w:sz="4" w:space="0" w:color="auto"/>
              <w:left w:val="single" w:sz="4" w:space="0" w:color="auto"/>
              <w:bottom w:val="single" w:sz="4" w:space="0" w:color="auto"/>
              <w:right w:val="single" w:sz="4" w:space="0" w:color="auto"/>
            </w:tcBorders>
          </w:tcPr>
          <w:p w14:paraId="3C4669C0" w14:textId="77777777" w:rsidR="000F03CD" w:rsidRPr="00771498" w:rsidRDefault="000F03CD" w:rsidP="00EA4338">
            <w:pPr>
              <w:spacing w:before="100" w:beforeAutospacing="1" w:after="100" w:afterAutospacing="1"/>
              <w:rPr>
                <w:rFonts w:ascii="Times New Roman" w:hAnsi="Times New Roman" w:cs="Times New Roman"/>
                <w:sz w:val="20"/>
                <w:szCs w:val="20"/>
              </w:rPr>
            </w:pPr>
            <w:r w:rsidRPr="00771498">
              <w:rPr>
                <w:rFonts w:ascii="Times New Roman" w:hAnsi="Times New Roman" w:cs="Times New Roman"/>
                <w:sz w:val="20"/>
                <w:szCs w:val="20"/>
              </w:rPr>
              <w:t xml:space="preserve">1483 </w:t>
            </w:r>
          </w:p>
        </w:tc>
        <w:tc>
          <w:tcPr>
            <w:tcW w:w="519" w:type="pct"/>
            <w:tcBorders>
              <w:top w:val="single" w:sz="4" w:space="0" w:color="auto"/>
              <w:left w:val="single" w:sz="4" w:space="0" w:color="auto"/>
              <w:bottom w:val="single" w:sz="4" w:space="0" w:color="auto"/>
              <w:right w:val="single" w:sz="4" w:space="0" w:color="auto"/>
            </w:tcBorders>
          </w:tcPr>
          <w:p w14:paraId="7453B59A" w14:textId="77777777" w:rsidR="000F03CD" w:rsidRPr="00771498" w:rsidRDefault="000F03CD" w:rsidP="00EA4338">
            <w:pPr>
              <w:spacing w:before="100" w:beforeAutospacing="1" w:after="100" w:afterAutospacing="1"/>
              <w:rPr>
                <w:rFonts w:ascii="Times New Roman" w:hAnsi="Times New Roman" w:cs="Times New Roman"/>
                <w:sz w:val="20"/>
                <w:szCs w:val="20"/>
              </w:rPr>
            </w:pPr>
            <w:r w:rsidRPr="00771498">
              <w:rPr>
                <w:rFonts w:ascii="Times New Roman" w:hAnsi="Times New Roman" w:cs="Times New Roman"/>
                <w:sz w:val="20"/>
                <w:szCs w:val="20"/>
              </w:rPr>
              <w:t xml:space="preserve">8597 </w:t>
            </w:r>
          </w:p>
        </w:tc>
        <w:tc>
          <w:tcPr>
            <w:tcW w:w="520" w:type="pct"/>
            <w:tcBorders>
              <w:top w:val="single" w:sz="4" w:space="0" w:color="auto"/>
              <w:left w:val="single" w:sz="4" w:space="0" w:color="auto"/>
              <w:bottom w:val="single" w:sz="4" w:space="0" w:color="auto"/>
              <w:right w:val="single" w:sz="4" w:space="0" w:color="auto"/>
            </w:tcBorders>
          </w:tcPr>
          <w:p w14:paraId="4A6AC064" w14:textId="77777777" w:rsidR="000F03CD" w:rsidRPr="00771498" w:rsidRDefault="000F03CD" w:rsidP="00EA4338">
            <w:pPr>
              <w:spacing w:before="100" w:beforeAutospacing="1" w:after="100" w:afterAutospacing="1"/>
              <w:rPr>
                <w:rFonts w:ascii="Times New Roman" w:hAnsi="Times New Roman" w:cs="Times New Roman"/>
                <w:sz w:val="20"/>
                <w:szCs w:val="20"/>
              </w:rPr>
            </w:pPr>
            <w:r w:rsidRPr="00771498">
              <w:rPr>
                <w:rFonts w:ascii="Times New Roman" w:hAnsi="Times New Roman" w:cs="Times New Roman"/>
                <w:sz w:val="20"/>
                <w:szCs w:val="20"/>
              </w:rPr>
              <w:t xml:space="preserve">188 </w:t>
            </w:r>
          </w:p>
        </w:tc>
        <w:tc>
          <w:tcPr>
            <w:tcW w:w="454" w:type="pct"/>
            <w:tcBorders>
              <w:top w:val="single" w:sz="4" w:space="0" w:color="auto"/>
              <w:left w:val="single" w:sz="4" w:space="0" w:color="auto"/>
              <w:bottom w:val="single" w:sz="4" w:space="0" w:color="auto"/>
              <w:right w:val="single" w:sz="4" w:space="0" w:color="auto"/>
            </w:tcBorders>
          </w:tcPr>
          <w:p w14:paraId="7C63A84C" w14:textId="77777777" w:rsidR="000F03CD" w:rsidRPr="00771498" w:rsidRDefault="000F03CD" w:rsidP="00EA4338">
            <w:pPr>
              <w:spacing w:before="100" w:beforeAutospacing="1" w:after="100" w:afterAutospacing="1"/>
              <w:rPr>
                <w:rFonts w:ascii="Times New Roman" w:hAnsi="Times New Roman" w:cs="Times New Roman"/>
                <w:sz w:val="20"/>
                <w:szCs w:val="20"/>
              </w:rPr>
            </w:pPr>
            <w:r w:rsidRPr="00771498">
              <w:rPr>
                <w:rFonts w:ascii="Times New Roman" w:hAnsi="Times New Roman" w:cs="Times New Roman"/>
                <w:sz w:val="20"/>
                <w:szCs w:val="20"/>
              </w:rPr>
              <w:t xml:space="preserve">1427 </w:t>
            </w:r>
          </w:p>
        </w:tc>
        <w:tc>
          <w:tcPr>
            <w:tcW w:w="520" w:type="pct"/>
            <w:tcBorders>
              <w:top w:val="single" w:sz="4" w:space="0" w:color="auto"/>
              <w:left w:val="single" w:sz="4" w:space="0" w:color="auto"/>
              <w:bottom w:val="single" w:sz="4" w:space="0" w:color="auto"/>
            </w:tcBorders>
          </w:tcPr>
          <w:p w14:paraId="163C6200" w14:textId="77777777" w:rsidR="000F03CD" w:rsidRPr="00771498" w:rsidRDefault="000F03CD" w:rsidP="00EA4338">
            <w:pPr>
              <w:spacing w:before="100" w:beforeAutospacing="1" w:after="100" w:afterAutospacing="1"/>
              <w:rPr>
                <w:rFonts w:ascii="Times New Roman" w:hAnsi="Times New Roman" w:cs="Times New Roman"/>
                <w:sz w:val="20"/>
                <w:szCs w:val="20"/>
              </w:rPr>
            </w:pPr>
            <w:r w:rsidRPr="00771498">
              <w:rPr>
                <w:rFonts w:ascii="Times New Roman" w:hAnsi="Times New Roman" w:cs="Times New Roman"/>
                <w:sz w:val="20"/>
                <w:szCs w:val="20"/>
              </w:rPr>
              <w:t>1128</w:t>
            </w:r>
          </w:p>
        </w:tc>
        <w:tc>
          <w:tcPr>
            <w:tcW w:w="583" w:type="pct"/>
            <w:tcBorders>
              <w:top w:val="single" w:sz="4" w:space="0" w:color="auto"/>
              <w:left w:val="single" w:sz="4" w:space="0" w:color="auto"/>
              <w:bottom w:val="single" w:sz="4" w:space="0" w:color="auto"/>
            </w:tcBorders>
          </w:tcPr>
          <w:p w14:paraId="25884D2E" w14:textId="77777777" w:rsidR="000F03CD" w:rsidRPr="00771498" w:rsidRDefault="000F03CD" w:rsidP="00EA4338">
            <w:pPr>
              <w:spacing w:before="100" w:beforeAutospacing="1" w:after="100" w:afterAutospacing="1"/>
              <w:rPr>
                <w:rFonts w:ascii="Times New Roman" w:hAnsi="Times New Roman" w:cs="Times New Roman"/>
                <w:sz w:val="20"/>
                <w:szCs w:val="20"/>
              </w:rPr>
            </w:pPr>
            <w:r w:rsidRPr="00771498">
              <w:rPr>
                <w:rFonts w:ascii="Times New Roman" w:hAnsi="Times New Roman" w:cs="Times New Roman"/>
                <w:sz w:val="20"/>
                <w:szCs w:val="20"/>
              </w:rPr>
              <w:t>7807</w:t>
            </w:r>
          </w:p>
        </w:tc>
        <w:tc>
          <w:tcPr>
            <w:tcW w:w="519" w:type="pct"/>
            <w:tcBorders>
              <w:top w:val="single" w:sz="4" w:space="0" w:color="auto"/>
              <w:left w:val="single" w:sz="4" w:space="0" w:color="auto"/>
              <w:bottom w:val="single" w:sz="4" w:space="0" w:color="auto"/>
            </w:tcBorders>
          </w:tcPr>
          <w:p w14:paraId="79059382" w14:textId="77777777" w:rsidR="000F03CD" w:rsidRPr="00771498" w:rsidRDefault="000F03CD" w:rsidP="00EA4338">
            <w:pPr>
              <w:spacing w:before="100" w:beforeAutospacing="1" w:after="100" w:afterAutospacing="1"/>
              <w:rPr>
                <w:rFonts w:ascii="Times New Roman" w:hAnsi="Times New Roman" w:cs="Times New Roman"/>
                <w:sz w:val="20"/>
                <w:szCs w:val="20"/>
              </w:rPr>
            </w:pPr>
            <w:r w:rsidRPr="00771498">
              <w:rPr>
                <w:rFonts w:ascii="Times New Roman" w:hAnsi="Times New Roman" w:cs="Times New Roman"/>
                <w:sz w:val="20"/>
                <w:szCs w:val="20"/>
              </w:rPr>
              <w:t>3321</w:t>
            </w:r>
          </w:p>
        </w:tc>
      </w:tr>
      <w:tr w:rsidR="000F03CD" w:rsidRPr="00771498" w14:paraId="78DF07B5" w14:textId="77777777" w:rsidTr="00EA4338">
        <w:tc>
          <w:tcPr>
            <w:tcW w:w="455" w:type="pct"/>
            <w:tcBorders>
              <w:top w:val="single" w:sz="4" w:space="0" w:color="auto"/>
              <w:right w:val="single" w:sz="4" w:space="0" w:color="auto"/>
            </w:tcBorders>
          </w:tcPr>
          <w:p w14:paraId="14BACE40" w14:textId="77777777" w:rsidR="000F03CD" w:rsidRPr="00771498" w:rsidRDefault="000F03CD" w:rsidP="00EA4338">
            <w:pPr>
              <w:widowControl w:val="0"/>
              <w:rPr>
                <w:rFonts w:ascii="Times New Roman" w:hAnsi="Times New Roman" w:cs="Times New Roman"/>
                <w:b/>
                <w:bCs/>
                <w:kern w:val="2"/>
                <w:sz w:val="20"/>
                <w:szCs w:val="20"/>
              </w:rPr>
            </w:pPr>
            <w:r w:rsidRPr="00771498">
              <w:rPr>
                <w:rFonts w:ascii="Times New Roman" w:hAnsi="Times New Roman" w:cs="Times New Roman"/>
                <w:b/>
                <w:bCs/>
                <w:kern w:val="2"/>
                <w:sz w:val="20"/>
                <w:szCs w:val="20"/>
              </w:rPr>
              <w:t>Y-label</w:t>
            </w:r>
          </w:p>
        </w:tc>
        <w:tc>
          <w:tcPr>
            <w:tcW w:w="390" w:type="pct"/>
            <w:tcBorders>
              <w:top w:val="single" w:sz="4" w:space="0" w:color="auto"/>
              <w:left w:val="single" w:sz="4" w:space="0" w:color="auto"/>
              <w:right w:val="single" w:sz="4" w:space="0" w:color="auto"/>
            </w:tcBorders>
          </w:tcPr>
          <w:p w14:paraId="5D8727B1" w14:textId="77777777" w:rsidR="000F03CD" w:rsidRPr="00771498" w:rsidRDefault="000F03CD" w:rsidP="00EA4338">
            <w:pPr>
              <w:widowControl w:val="0"/>
              <w:rPr>
                <w:rFonts w:ascii="Times New Roman" w:hAnsi="Times New Roman" w:cs="Times New Roman"/>
                <w:color w:val="000000"/>
                <w:kern w:val="2"/>
                <w:sz w:val="20"/>
                <w:szCs w:val="20"/>
              </w:rPr>
            </w:pPr>
            <w:r w:rsidRPr="00771498">
              <w:rPr>
                <w:rFonts w:ascii="Times New Roman" w:hAnsi="Times New Roman" w:cs="Times New Roman"/>
                <w:color w:val="000000"/>
                <w:kern w:val="2"/>
                <w:sz w:val="20"/>
                <w:szCs w:val="20"/>
              </w:rPr>
              <w:t>active vs. inactive</w:t>
            </w:r>
          </w:p>
        </w:tc>
        <w:tc>
          <w:tcPr>
            <w:tcW w:w="584" w:type="pct"/>
            <w:tcBorders>
              <w:top w:val="single" w:sz="4" w:space="0" w:color="auto"/>
              <w:left w:val="single" w:sz="4" w:space="0" w:color="auto"/>
              <w:right w:val="single" w:sz="4" w:space="0" w:color="auto"/>
            </w:tcBorders>
          </w:tcPr>
          <w:p w14:paraId="250AA538" w14:textId="77777777" w:rsidR="000F03CD" w:rsidRPr="00771498" w:rsidRDefault="000F03CD" w:rsidP="00EA4338">
            <w:pPr>
              <w:widowControl w:val="0"/>
              <w:rPr>
                <w:rFonts w:ascii="Times New Roman" w:hAnsi="Times New Roman" w:cs="Times New Roman"/>
                <w:kern w:val="2"/>
                <w:sz w:val="20"/>
                <w:szCs w:val="20"/>
              </w:rPr>
            </w:pPr>
            <w:r w:rsidRPr="00771498">
              <w:rPr>
                <w:rFonts w:ascii="Times New Roman" w:hAnsi="Times New Roman" w:cs="Times New Roman"/>
                <w:kern w:val="2"/>
                <w:sz w:val="20"/>
                <w:szCs w:val="20"/>
              </w:rPr>
              <w:t>penetration of the BBB</w:t>
            </w:r>
          </w:p>
        </w:tc>
        <w:tc>
          <w:tcPr>
            <w:tcW w:w="454" w:type="pct"/>
            <w:tcBorders>
              <w:top w:val="single" w:sz="4" w:space="0" w:color="auto"/>
              <w:left w:val="single" w:sz="4" w:space="0" w:color="auto"/>
              <w:right w:val="single" w:sz="4" w:space="0" w:color="auto"/>
            </w:tcBorders>
          </w:tcPr>
          <w:p w14:paraId="247108BF" w14:textId="77777777" w:rsidR="000F03CD" w:rsidRPr="00771498" w:rsidRDefault="000F03CD" w:rsidP="00EA4338">
            <w:pPr>
              <w:widowControl w:val="0"/>
              <w:rPr>
                <w:rFonts w:ascii="Times New Roman" w:hAnsi="Times New Roman" w:cs="Times New Roman"/>
                <w:kern w:val="2"/>
                <w:sz w:val="20"/>
                <w:szCs w:val="20"/>
              </w:rPr>
            </w:pPr>
            <w:r w:rsidRPr="00771498">
              <w:rPr>
                <w:rFonts w:ascii="Times New Roman" w:hAnsi="Times New Roman" w:cs="Times New Roman"/>
                <w:kern w:val="2"/>
                <w:sz w:val="20"/>
                <w:szCs w:val="20"/>
              </w:rPr>
              <w:t>toxic and non-toxic</w:t>
            </w:r>
          </w:p>
        </w:tc>
        <w:tc>
          <w:tcPr>
            <w:tcW w:w="519" w:type="pct"/>
            <w:tcBorders>
              <w:top w:val="single" w:sz="4" w:space="0" w:color="auto"/>
              <w:left w:val="single" w:sz="4" w:space="0" w:color="auto"/>
              <w:right w:val="single" w:sz="4" w:space="0" w:color="auto"/>
            </w:tcBorders>
          </w:tcPr>
          <w:p w14:paraId="1F695218" w14:textId="77777777" w:rsidR="000F03CD" w:rsidRPr="00771498" w:rsidRDefault="000F03CD" w:rsidP="00EA4338">
            <w:pPr>
              <w:widowControl w:val="0"/>
              <w:rPr>
                <w:rFonts w:ascii="Times New Roman" w:hAnsi="Times New Roman" w:cs="Times New Roman"/>
                <w:color w:val="000000"/>
                <w:kern w:val="2"/>
                <w:sz w:val="20"/>
                <w:szCs w:val="20"/>
              </w:rPr>
            </w:pPr>
            <w:r w:rsidRPr="00771498">
              <w:rPr>
                <w:rFonts w:ascii="Times New Roman" w:hAnsi="Times New Roman" w:cs="Times New Roman"/>
                <w:color w:val="000000"/>
                <w:kern w:val="2"/>
                <w:sz w:val="20"/>
                <w:szCs w:val="20"/>
              </w:rPr>
              <w:t>Various biological assay results</w:t>
            </w:r>
          </w:p>
        </w:tc>
        <w:tc>
          <w:tcPr>
            <w:tcW w:w="520" w:type="pct"/>
            <w:tcBorders>
              <w:top w:val="single" w:sz="4" w:space="0" w:color="auto"/>
              <w:left w:val="single" w:sz="4" w:space="0" w:color="auto"/>
              <w:right w:val="single" w:sz="4" w:space="0" w:color="auto"/>
            </w:tcBorders>
          </w:tcPr>
          <w:p w14:paraId="267F19DE" w14:textId="77777777" w:rsidR="000F03CD" w:rsidRPr="00771498" w:rsidRDefault="000F03CD" w:rsidP="00EA4338">
            <w:pPr>
              <w:widowControl w:val="0"/>
              <w:rPr>
                <w:rFonts w:ascii="Times New Roman" w:hAnsi="Times New Roman" w:cs="Times New Roman"/>
                <w:kern w:val="2"/>
                <w:sz w:val="20"/>
                <w:szCs w:val="20"/>
              </w:rPr>
            </w:pPr>
            <w:r w:rsidRPr="00771498">
              <w:rPr>
                <w:rFonts w:ascii="Times New Roman" w:hAnsi="Times New Roman" w:cs="Times New Roman"/>
                <w:kern w:val="2"/>
                <w:sz w:val="20"/>
                <w:szCs w:val="20"/>
              </w:rPr>
              <w:t>mutagenic vs. non-mutagenic</w:t>
            </w:r>
          </w:p>
        </w:tc>
        <w:tc>
          <w:tcPr>
            <w:tcW w:w="454" w:type="pct"/>
            <w:tcBorders>
              <w:top w:val="single" w:sz="4" w:space="0" w:color="auto"/>
              <w:left w:val="single" w:sz="4" w:space="0" w:color="auto"/>
              <w:right w:val="single" w:sz="4" w:space="0" w:color="auto"/>
            </w:tcBorders>
          </w:tcPr>
          <w:p w14:paraId="7510277F" w14:textId="77777777" w:rsidR="000F03CD" w:rsidRPr="00771498" w:rsidRDefault="000F03CD" w:rsidP="00EA4338">
            <w:pPr>
              <w:widowControl w:val="0"/>
              <w:rPr>
                <w:rFonts w:ascii="Times New Roman" w:hAnsi="Times New Roman" w:cs="Times New Roman"/>
                <w:color w:val="000000"/>
                <w:kern w:val="2"/>
                <w:sz w:val="20"/>
                <w:szCs w:val="20"/>
              </w:rPr>
            </w:pPr>
            <w:r w:rsidRPr="00771498">
              <w:rPr>
                <w:rFonts w:ascii="Times New Roman" w:hAnsi="Times New Roman" w:cs="Times New Roman"/>
                <w:color w:val="000000"/>
                <w:kern w:val="2"/>
                <w:sz w:val="20"/>
                <w:szCs w:val="20"/>
              </w:rPr>
              <w:t>Side effects</w:t>
            </w:r>
          </w:p>
        </w:tc>
        <w:tc>
          <w:tcPr>
            <w:tcW w:w="520" w:type="pct"/>
            <w:tcBorders>
              <w:top w:val="single" w:sz="4" w:space="0" w:color="auto"/>
              <w:left w:val="single" w:sz="4" w:space="0" w:color="auto"/>
            </w:tcBorders>
          </w:tcPr>
          <w:p w14:paraId="07C828C7" w14:textId="77777777" w:rsidR="000F03CD" w:rsidRPr="00771498" w:rsidRDefault="000F03CD" w:rsidP="00EA4338">
            <w:pPr>
              <w:widowControl w:val="0"/>
              <w:rPr>
                <w:rFonts w:ascii="Times New Roman" w:hAnsi="Times New Roman" w:cs="Times New Roman"/>
                <w:color w:val="000000"/>
                <w:kern w:val="2"/>
                <w:sz w:val="20"/>
                <w:szCs w:val="20"/>
              </w:rPr>
            </w:pPr>
            <w:r w:rsidRPr="00771498">
              <w:rPr>
                <w:rFonts w:ascii="Times New Roman" w:hAnsi="Times New Roman" w:cs="Times New Roman"/>
                <w:color w:val="000000"/>
                <w:kern w:val="2"/>
                <w:sz w:val="20"/>
                <w:szCs w:val="20"/>
              </w:rPr>
              <w:t>log solubility values in mol/L</w:t>
            </w:r>
          </w:p>
        </w:tc>
        <w:tc>
          <w:tcPr>
            <w:tcW w:w="583" w:type="pct"/>
            <w:tcBorders>
              <w:top w:val="single" w:sz="4" w:space="0" w:color="auto"/>
              <w:left w:val="single" w:sz="4" w:space="0" w:color="auto"/>
            </w:tcBorders>
          </w:tcPr>
          <w:p w14:paraId="24D11484" w14:textId="77777777" w:rsidR="000F03CD" w:rsidRPr="00771498" w:rsidRDefault="000F03CD" w:rsidP="00EA4338">
            <w:pPr>
              <w:widowControl w:val="0"/>
              <w:rPr>
                <w:rFonts w:ascii="Times New Roman" w:hAnsi="Times New Roman" w:cs="Times New Roman"/>
                <w:color w:val="000000"/>
                <w:kern w:val="2"/>
                <w:sz w:val="20"/>
                <w:szCs w:val="20"/>
              </w:rPr>
            </w:pPr>
            <w:r w:rsidRPr="00771498">
              <w:rPr>
                <w:rFonts w:ascii="Times New Roman" w:hAnsi="Times New Roman" w:cs="Times New Roman"/>
                <w:kern w:val="2"/>
                <w:sz w:val="20"/>
                <w:szCs w:val="20"/>
              </w:rPr>
              <w:t>penetration of the BBB</w:t>
            </w:r>
          </w:p>
        </w:tc>
        <w:tc>
          <w:tcPr>
            <w:tcW w:w="519" w:type="pct"/>
            <w:tcBorders>
              <w:top w:val="single" w:sz="4" w:space="0" w:color="auto"/>
              <w:left w:val="single" w:sz="4" w:space="0" w:color="auto"/>
            </w:tcBorders>
          </w:tcPr>
          <w:p w14:paraId="040CC49A" w14:textId="77777777" w:rsidR="000F03CD" w:rsidRPr="00771498" w:rsidRDefault="000F03CD" w:rsidP="00EA4338">
            <w:pPr>
              <w:widowControl w:val="0"/>
              <w:rPr>
                <w:rFonts w:ascii="Times New Roman" w:hAnsi="Times New Roman" w:cs="Times New Roman"/>
                <w:color w:val="000000"/>
                <w:kern w:val="2"/>
                <w:sz w:val="20"/>
                <w:szCs w:val="20"/>
              </w:rPr>
            </w:pPr>
            <w:r w:rsidRPr="00771498">
              <w:rPr>
                <w:rFonts w:ascii="Times New Roman" w:hAnsi="Times New Roman" w:cs="Times New Roman"/>
                <w:color w:val="000000"/>
                <w:kern w:val="2"/>
                <w:sz w:val="20"/>
                <w:szCs w:val="20"/>
              </w:rPr>
              <w:t>log solubility values in mol/L</w:t>
            </w:r>
          </w:p>
        </w:tc>
      </w:tr>
      <w:tr w:rsidR="000F03CD" w:rsidRPr="00771498" w14:paraId="6BB08611" w14:textId="77777777" w:rsidTr="00EA4338">
        <w:tc>
          <w:tcPr>
            <w:tcW w:w="455" w:type="pct"/>
            <w:tcBorders>
              <w:bottom w:val="single" w:sz="4" w:space="0" w:color="auto"/>
              <w:right w:val="single" w:sz="4" w:space="0" w:color="auto"/>
            </w:tcBorders>
          </w:tcPr>
          <w:p w14:paraId="1F379AB3" w14:textId="77777777" w:rsidR="000F03CD" w:rsidRPr="00771498" w:rsidRDefault="000F03CD" w:rsidP="00EA4338">
            <w:pPr>
              <w:widowControl w:val="0"/>
              <w:rPr>
                <w:rFonts w:ascii="Times New Roman" w:hAnsi="Times New Roman" w:cs="Times New Roman"/>
                <w:b/>
                <w:bCs/>
                <w:kern w:val="2"/>
                <w:sz w:val="20"/>
                <w:szCs w:val="20"/>
              </w:rPr>
            </w:pPr>
            <w:r w:rsidRPr="00771498">
              <w:rPr>
                <w:rFonts w:ascii="Times New Roman" w:hAnsi="Times New Roman" w:cs="Times New Roman"/>
                <w:b/>
                <w:bCs/>
                <w:kern w:val="2"/>
                <w:sz w:val="20"/>
                <w:szCs w:val="20"/>
              </w:rPr>
              <w:t>Problem type</w:t>
            </w:r>
          </w:p>
        </w:tc>
        <w:tc>
          <w:tcPr>
            <w:tcW w:w="390" w:type="pct"/>
            <w:tcBorders>
              <w:left w:val="single" w:sz="4" w:space="0" w:color="auto"/>
              <w:bottom w:val="single" w:sz="4" w:space="0" w:color="auto"/>
              <w:right w:val="single" w:sz="4" w:space="0" w:color="auto"/>
            </w:tcBorders>
          </w:tcPr>
          <w:p w14:paraId="333686BE" w14:textId="77777777" w:rsidR="000F03CD" w:rsidRPr="00771498" w:rsidRDefault="000F03CD" w:rsidP="00EA4338">
            <w:pPr>
              <w:widowControl w:val="0"/>
              <w:rPr>
                <w:rFonts w:ascii="Times New Roman" w:hAnsi="Times New Roman" w:cs="Times New Roman"/>
                <w:kern w:val="2"/>
                <w:sz w:val="20"/>
                <w:szCs w:val="20"/>
              </w:rPr>
            </w:pPr>
            <w:r w:rsidRPr="00771498">
              <w:rPr>
                <w:rFonts w:ascii="Times New Roman" w:hAnsi="Times New Roman" w:cs="Times New Roman"/>
                <w:color w:val="000000"/>
                <w:kern w:val="2"/>
                <w:sz w:val="20"/>
                <w:szCs w:val="20"/>
              </w:rPr>
              <w:t>Binary classification</w:t>
            </w:r>
          </w:p>
        </w:tc>
        <w:tc>
          <w:tcPr>
            <w:tcW w:w="584" w:type="pct"/>
            <w:tcBorders>
              <w:left w:val="single" w:sz="4" w:space="0" w:color="auto"/>
              <w:bottom w:val="single" w:sz="4" w:space="0" w:color="auto"/>
              <w:right w:val="single" w:sz="4" w:space="0" w:color="auto"/>
            </w:tcBorders>
          </w:tcPr>
          <w:p w14:paraId="4DDBE5F6" w14:textId="77777777" w:rsidR="000F03CD" w:rsidRPr="00771498" w:rsidRDefault="000F03CD" w:rsidP="00EA4338">
            <w:pPr>
              <w:widowControl w:val="0"/>
              <w:rPr>
                <w:rFonts w:ascii="Times New Roman" w:hAnsi="Times New Roman" w:cs="Times New Roman"/>
                <w:kern w:val="2"/>
                <w:sz w:val="20"/>
                <w:szCs w:val="20"/>
              </w:rPr>
            </w:pPr>
            <w:r w:rsidRPr="00771498">
              <w:rPr>
                <w:rFonts w:ascii="Times New Roman" w:hAnsi="Times New Roman" w:cs="Times New Roman"/>
                <w:kern w:val="2"/>
                <w:sz w:val="20"/>
                <w:szCs w:val="20"/>
              </w:rPr>
              <w:t>Binary classification</w:t>
            </w:r>
          </w:p>
        </w:tc>
        <w:tc>
          <w:tcPr>
            <w:tcW w:w="454" w:type="pct"/>
            <w:tcBorders>
              <w:left w:val="single" w:sz="4" w:space="0" w:color="auto"/>
              <w:bottom w:val="single" w:sz="4" w:space="0" w:color="auto"/>
              <w:right w:val="single" w:sz="4" w:space="0" w:color="auto"/>
            </w:tcBorders>
          </w:tcPr>
          <w:p w14:paraId="0811FE64" w14:textId="77777777" w:rsidR="000F03CD" w:rsidRPr="00771498" w:rsidRDefault="000F03CD" w:rsidP="00EA4338">
            <w:pPr>
              <w:widowControl w:val="0"/>
              <w:rPr>
                <w:rFonts w:ascii="Times New Roman" w:hAnsi="Times New Roman" w:cs="Times New Roman"/>
                <w:kern w:val="2"/>
                <w:sz w:val="20"/>
                <w:szCs w:val="20"/>
              </w:rPr>
            </w:pPr>
            <w:r w:rsidRPr="00771498">
              <w:rPr>
                <w:rFonts w:ascii="Times New Roman" w:hAnsi="Times New Roman" w:cs="Times New Roman"/>
                <w:kern w:val="2"/>
                <w:sz w:val="20"/>
                <w:szCs w:val="20"/>
              </w:rPr>
              <w:t>Binary classification</w:t>
            </w:r>
          </w:p>
        </w:tc>
        <w:tc>
          <w:tcPr>
            <w:tcW w:w="519" w:type="pct"/>
            <w:tcBorders>
              <w:left w:val="single" w:sz="4" w:space="0" w:color="auto"/>
              <w:bottom w:val="single" w:sz="4" w:space="0" w:color="auto"/>
              <w:right w:val="single" w:sz="4" w:space="0" w:color="auto"/>
            </w:tcBorders>
          </w:tcPr>
          <w:p w14:paraId="3558E4A5" w14:textId="77777777" w:rsidR="000F03CD" w:rsidRPr="00771498" w:rsidRDefault="000F03CD" w:rsidP="00EA4338">
            <w:pPr>
              <w:widowControl w:val="0"/>
              <w:rPr>
                <w:rFonts w:ascii="Times New Roman" w:hAnsi="Times New Roman" w:cs="Times New Roman"/>
                <w:kern w:val="2"/>
                <w:sz w:val="20"/>
                <w:szCs w:val="20"/>
              </w:rPr>
            </w:pPr>
            <w:r w:rsidRPr="00771498">
              <w:rPr>
                <w:rFonts w:ascii="Times New Roman" w:hAnsi="Times New Roman" w:cs="Times New Roman"/>
                <w:color w:val="000000"/>
                <w:kern w:val="2"/>
                <w:sz w:val="20"/>
                <w:szCs w:val="20"/>
              </w:rPr>
              <w:t>Multi-label classification</w:t>
            </w:r>
          </w:p>
        </w:tc>
        <w:tc>
          <w:tcPr>
            <w:tcW w:w="520" w:type="pct"/>
            <w:tcBorders>
              <w:left w:val="single" w:sz="4" w:space="0" w:color="auto"/>
              <w:bottom w:val="single" w:sz="4" w:space="0" w:color="auto"/>
              <w:right w:val="single" w:sz="4" w:space="0" w:color="auto"/>
            </w:tcBorders>
          </w:tcPr>
          <w:p w14:paraId="2E486F20" w14:textId="77777777" w:rsidR="000F03CD" w:rsidRPr="00771498" w:rsidRDefault="000F03CD" w:rsidP="00EA4338">
            <w:pPr>
              <w:widowControl w:val="0"/>
              <w:rPr>
                <w:rFonts w:ascii="Times New Roman" w:hAnsi="Times New Roman" w:cs="Times New Roman"/>
                <w:kern w:val="2"/>
                <w:sz w:val="20"/>
                <w:szCs w:val="20"/>
              </w:rPr>
            </w:pPr>
            <w:r w:rsidRPr="00771498">
              <w:rPr>
                <w:rFonts w:ascii="Times New Roman" w:hAnsi="Times New Roman" w:cs="Times New Roman"/>
                <w:kern w:val="2"/>
                <w:sz w:val="20"/>
                <w:szCs w:val="20"/>
              </w:rPr>
              <w:t>Binary classification</w:t>
            </w:r>
          </w:p>
        </w:tc>
        <w:tc>
          <w:tcPr>
            <w:tcW w:w="454" w:type="pct"/>
            <w:tcBorders>
              <w:left w:val="single" w:sz="4" w:space="0" w:color="auto"/>
              <w:bottom w:val="single" w:sz="4" w:space="0" w:color="auto"/>
              <w:right w:val="single" w:sz="4" w:space="0" w:color="auto"/>
            </w:tcBorders>
          </w:tcPr>
          <w:p w14:paraId="2BDBE8A8" w14:textId="77777777" w:rsidR="000F03CD" w:rsidRPr="00771498" w:rsidRDefault="000F03CD" w:rsidP="00EA4338">
            <w:pPr>
              <w:widowControl w:val="0"/>
              <w:rPr>
                <w:rFonts w:ascii="Times New Roman" w:hAnsi="Times New Roman" w:cs="Times New Roman"/>
                <w:kern w:val="2"/>
                <w:sz w:val="20"/>
                <w:szCs w:val="20"/>
              </w:rPr>
            </w:pPr>
            <w:r w:rsidRPr="00771498">
              <w:rPr>
                <w:rFonts w:ascii="Times New Roman" w:hAnsi="Times New Roman" w:cs="Times New Roman"/>
                <w:color w:val="000000"/>
                <w:kern w:val="2"/>
                <w:sz w:val="20"/>
                <w:szCs w:val="20"/>
              </w:rPr>
              <w:t>Multi-label classification</w:t>
            </w:r>
          </w:p>
        </w:tc>
        <w:tc>
          <w:tcPr>
            <w:tcW w:w="520" w:type="pct"/>
            <w:tcBorders>
              <w:left w:val="single" w:sz="4" w:space="0" w:color="auto"/>
              <w:bottom w:val="single" w:sz="4" w:space="0" w:color="auto"/>
            </w:tcBorders>
          </w:tcPr>
          <w:p w14:paraId="2E793A31" w14:textId="77777777" w:rsidR="000F03CD" w:rsidRPr="00771498" w:rsidRDefault="000F03CD" w:rsidP="00EA4338">
            <w:pPr>
              <w:widowControl w:val="0"/>
              <w:rPr>
                <w:rFonts w:ascii="Times New Roman" w:hAnsi="Times New Roman" w:cs="Times New Roman"/>
                <w:color w:val="000000"/>
                <w:kern w:val="2"/>
                <w:sz w:val="20"/>
                <w:szCs w:val="20"/>
              </w:rPr>
            </w:pPr>
            <w:r w:rsidRPr="00771498">
              <w:rPr>
                <w:rFonts w:ascii="Times New Roman" w:hAnsi="Times New Roman" w:cs="Times New Roman"/>
                <w:color w:val="000000"/>
                <w:kern w:val="2"/>
                <w:sz w:val="20"/>
                <w:szCs w:val="20"/>
              </w:rPr>
              <w:t>Regression</w:t>
            </w:r>
          </w:p>
        </w:tc>
        <w:tc>
          <w:tcPr>
            <w:tcW w:w="583" w:type="pct"/>
            <w:tcBorders>
              <w:left w:val="single" w:sz="4" w:space="0" w:color="auto"/>
              <w:bottom w:val="single" w:sz="4" w:space="0" w:color="auto"/>
            </w:tcBorders>
          </w:tcPr>
          <w:p w14:paraId="7BBA3660" w14:textId="77777777" w:rsidR="000F03CD" w:rsidRPr="00771498" w:rsidRDefault="000F03CD" w:rsidP="00EA4338">
            <w:pPr>
              <w:widowControl w:val="0"/>
              <w:rPr>
                <w:rFonts w:ascii="Times New Roman" w:hAnsi="Times New Roman" w:cs="Times New Roman"/>
                <w:color w:val="000000"/>
                <w:kern w:val="2"/>
                <w:sz w:val="20"/>
                <w:szCs w:val="20"/>
              </w:rPr>
            </w:pPr>
            <w:r w:rsidRPr="00771498">
              <w:rPr>
                <w:rFonts w:ascii="Times New Roman" w:hAnsi="Times New Roman" w:cs="Times New Roman"/>
                <w:kern w:val="2"/>
                <w:sz w:val="20"/>
                <w:szCs w:val="20"/>
              </w:rPr>
              <w:t>Binary classification</w:t>
            </w:r>
          </w:p>
        </w:tc>
        <w:tc>
          <w:tcPr>
            <w:tcW w:w="519" w:type="pct"/>
            <w:tcBorders>
              <w:left w:val="single" w:sz="4" w:space="0" w:color="auto"/>
              <w:bottom w:val="single" w:sz="4" w:space="0" w:color="auto"/>
            </w:tcBorders>
          </w:tcPr>
          <w:p w14:paraId="31C4F324" w14:textId="77777777" w:rsidR="000F03CD" w:rsidRPr="00771498" w:rsidRDefault="000F03CD" w:rsidP="00EA4338">
            <w:pPr>
              <w:widowControl w:val="0"/>
              <w:rPr>
                <w:rFonts w:ascii="Times New Roman" w:hAnsi="Times New Roman" w:cs="Times New Roman"/>
                <w:color w:val="000000"/>
                <w:kern w:val="2"/>
                <w:sz w:val="20"/>
                <w:szCs w:val="20"/>
              </w:rPr>
            </w:pPr>
            <w:r w:rsidRPr="00771498">
              <w:rPr>
                <w:rFonts w:ascii="Times New Roman" w:hAnsi="Times New Roman" w:cs="Times New Roman"/>
                <w:kern w:val="2"/>
                <w:sz w:val="20"/>
                <w:szCs w:val="20"/>
              </w:rPr>
              <w:t>Binary classification</w:t>
            </w:r>
          </w:p>
        </w:tc>
      </w:tr>
    </w:tbl>
    <w:p w14:paraId="48FBD3C1" w14:textId="4CA161B2" w:rsidR="000F03CD" w:rsidRDefault="000F03CD" w:rsidP="000F03CD">
      <w:pPr>
        <w:jc w:val="both"/>
        <w:rPr>
          <w:rFonts w:ascii="Times New Roman" w:hAnsi="Times New Roman" w:cs="Times New Roman"/>
          <w:color w:val="000000"/>
          <w:kern w:val="2"/>
          <w:sz w:val="20"/>
          <w:szCs w:val="20"/>
        </w:rPr>
      </w:pPr>
      <w:r w:rsidRPr="00771498">
        <w:rPr>
          <w:rFonts w:ascii="Times New Roman" w:hAnsi="Times New Roman" w:cs="Times New Roman"/>
          <w:color w:val="000000"/>
          <w:kern w:val="2"/>
          <w:sz w:val="20"/>
          <w:szCs w:val="20"/>
        </w:rPr>
        <w:t xml:space="preserve">A+P: </w:t>
      </w:r>
      <w:r w:rsidRPr="00771498">
        <w:rPr>
          <w:rFonts w:ascii="Times New Roman" w:hAnsi="Times New Roman" w:cs="Times New Roman"/>
          <w:color w:val="000000" w:themeColor="text1"/>
          <w:kern w:val="2"/>
          <w:sz w:val="20"/>
          <w:szCs w:val="20"/>
        </w:rPr>
        <w:t>AQUA and PHYS</w:t>
      </w:r>
      <w:r w:rsidRPr="00771498" w:rsidDel="00710809">
        <w:rPr>
          <w:rFonts w:ascii="Times New Roman" w:hAnsi="Times New Roman" w:cs="Times New Roman"/>
          <w:color w:val="000000"/>
          <w:kern w:val="2"/>
          <w:sz w:val="20"/>
          <w:szCs w:val="20"/>
        </w:rPr>
        <w:t xml:space="preserve"> </w:t>
      </w:r>
      <w:r w:rsidRPr="00771498">
        <w:rPr>
          <w:rFonts w:ascii="Times New Roman" w:hAnsi="Times New Roman" w:cs="Times New Roman"/>
          <w:color w:val="000000"/>
          <w:kern w:val="2"/>
          <w:sz w:val="20"/>
          <w:szCs w:val="20"/>
        </w:rPr>
        <w:t>dataset</w:t>
      </w:r>
    </w:p>
    <w:p w14:paraId="4FCFF1F9" w14:textId="77777777" w:rsidR="000F03CD" w:rsidRPr="00401FB9" w:rsidRDefault="000F03CD" w:rsidP="0084120A">
      <w:pPr>
        <w:jc w:val="both"/>
        <w:rPr>
          <w:rFonts w:ascii="Times New Roman" w:hAnsi="Times New Roman" w:cs="Times New Roman"/>
          <w:color w:val="000000"/>
          <w:kern w:val="2"/>
          <w:sz w:val="20"/>
          <w:szCs w:val="20"/>
        </w:rPr>
      </w:pPr>
    </w:p>
    <w:p w14:paraId="1C8F1AA4" w14:textId="580370A1" w:rsidR="000F03CD" w:rsidRPr="00401FB9" w:rsidRDefault="00771498" w:rsidP="00401FB9">
      <w:pPr>
        <w:widowControl w:val="0"/>
        <w:rPr>
          <w:rFonts w:ascii="Times New Roman" w:hAnsi="Times New Roman" w:cs="Times New Roman"/>
          <w:b/>
          <w:bCs/>
          <w:color w:val="000000" w:themeColor="text1"/>
          <w:kern w:val="2"/>
        </w:rPr>
      </w:pPr>
      <w:r w:rsidRPr="00771498">
        <w:rPr>
          <w:rFonts w:ascii="Times New Roman" w:hAnsi="Times New Roman" w:cs="Times New Roman"/>
          <w:b/>
          <w:bCs/>
          <w:kern w:val="2"/>
        </w:rPr>
        <w:t xml:space="preserve">Table </w:t>
      </w:r>
      <w:r w:rsidR="003D5C0A">
        <w:rPr>
          <w:rFonts w:ascii="Times New Roman" w:hAnsi="Times New Roman" w:cs="Times New Roman"/>
          <w:b/>
          <w:bCs/>
          <w:kern w:val="2"/>
        </w:rPr>
        <w:t>S2</w:t>
      </w:r>
      <w:r w:rsidRPr="00771498">
        <w:rPr>
          <w:rFonts w:ascii="Times New Roman" w:hAnsi="Times New Roman" w:cs="Times New Roman"/>
          <w:b/>
          <w:bCs/>
          <w:kern w:val="2"/>
        </w:rPr>
        <w:t>.</w:t>
      </w:r>
      <w:r w:rsidR="000F03CD" w:rsidRPr="000F03CD">
        <w:rPr>
          <w:rFonts w:ascii="Times New Roman" w:hAnsi="Times New Roman" w:cs="Times New Roman"/>
          <w:b/>
          <w:bCs/>
          <w:color w:val="000000" w:themeColor="text1"/>
        </w:rPr>
        <w:t xml:space="preserve"> </w:t>
      </w:r>
      <w:r w:rsidR="000F03CD" w:rsidRPr="00AD0EA7">
        <w:rPr>
          <w:rFonts w:ascii="Times New Roman" w:hAnsi="Times New Roman" w:cs="Times New Roman"/>
          <w:b/>
          <w:bCs/>
          <w:color w:val="000000" w:themeColor="text1"/>
        </w:rPr>
        <w:t>Comparison of fingerprints.</w:t>
      </w:r>
    </w:p>
    <w:tbl>
      <w:tblPr>
        <w:tblStyle w:val="a6"/>
        <w:tblpPr w:leftFromText="180" w:rightFromText="180" w:vertAnchor="text" w:tblpX="-142" w:tblpY="1"/>
        <w:tblOverlap w:val="never"/>
        <w:tblW w:w="506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51"/>
        <w:gridCol w:w="1309"/>
        <w:gridCol w:w="1309"/>
        <w:gridCol w:w="1309"/>
        <w:gridCol w:w="1309"/>
        <w:gridCol w:w="1309"/>
        <w:gridCol w:w="1502"/>
        <w:gridCol w:w="1110"/>
      </w:tblGrid>
      <w:tr w:rsidR="000F03CD" w:rsidRPr="00301D6B" w14:paraId="24F828DD" w14:textId="77777777" w:rsidTr="00EA4338">
        <w:tc>
          <w:tcPr>
            <w:tcW w:w="684" w:type="pct"/>
            <w:tcBorders>
              <w:top w:val="single" w:sz="4" w:space="0" w:color="auto"/>
              <w:bottom w:val="single" w:sz="4" w:space="0" w:color="auto"/>
            </w:tcBorders>
          </w:tcPr>
          <w:p w14:paraId="38FDB4B5" w14:textId="77777777" w:rsidR="000F03CD" w:rsidRPr="00301D6B" w:rsidRDefault="000F03CD" w:rsidP="00EA4338">
            <w:pPr>
              <w:rPr>
                <w:rFonts w:ascii="Times New Roman" w:hAnsi="Times New Roman" w:cs="Times New Roman"/>
                <w:b/>
                <w:bCs/>
                <w:color w:val="000000"/>
                <w:sz w:val="20"/>
                <w:szCs w:val="20"/>
              </w:rPr>
            </w:pPr>
            <w:r w:rsidRPr="00301D6B">
              <w:rPr>
                <w:rStyle w:val="notion-enable-hover"/>
                <w:rFonts w:ascii="Times New Roman" w:hAnsi="Times New Roman" w:cs="Times New Roman"/>
                <w:b/>
                <w:bCs/>
                <w:sz w:val="20"/>
                <w:szCs w:val="20"/>
              </w:rPr>
              <w:t>Characteristic</w:t>
            </w:r>
          </w:p>
        </w:tc>
        <w:tc>
          <w:tcPr>
            <w:tcW w:w="617" w:type="pct"/>
            <w:tcBorders>
              <w:top w:val="single" w:sz="4" w:space="0" w:color="auto"/>
              <w:bottom w:val="single" w:sz="4" w:space="0" w:color="auto"/>
            </w:tcBorders>
          </w:tcPr>
          <w:p w14:paraId="780A6741" w14:textId="7D8645E2" w:rsidR="000F03CD" w:rsidRPr="00301D6B" w:rsidRDefault="000F03CD" w:rsidP="00EA4338">
            <w:pPr>
              <w:rPr>
                <w:rFonts w:ascii="Times New Roman" w:hAnsi="Times New Roman" w:cs="Times New Roman"/>
                <w:b/>
                <w:bCs/>
                <w:color w:val="000000"/>
                <w:sz w:val="20"/>
                <w:szCs w:val="20"/>
              </w:rPr>
            </w:pPr>
            <w:r w:rsidRPr="00301D6B">
              <w:rPr>
                <w:rStyle w:val="notion-enable-hover"/>
                <w:rFonts w:ascii="Times New Roman" w:hAnsi="Times New Roman" w:cs="Times New Roman"/>
                <w:b/>
                <w:bCs/>
                <w:sz w:val="20"/>
                <w:szCs w:val="20"/>
              </w:rPr>
              <w:t xml:space="preserve">ECFPs </w:t>
            </w:r>
            <w:r w:rsidRPr="00301D6B">
              <w:rPr>
                <w:rStyle w:val="notion-enable-hover"/>
                <w:rFonts w:ascii="Times New Roman" w:hAnsi="Times New Roman" w:cs="Times New Roman"/>
                <w:b/>
                <w:bCs/>
                <w:sz w:val="20"/>
                <w:szCs w:val="20"/>
              </w:rPr>
              <w:fldChar w:fldCharType="begin"/>
            </w:r>
            <w:r w:rsidR="00710919">
              <w:rPr>
                <w:rStyle w:val="notion-enable-hover"/>
                <w:rFonts w:ascii="Times New Roman" w:hAnsi="Times New Roman" w:cs="Times New Roman"/>
                <w:b/>
                <w:bCs/>
                <w:sz w:val="20"/>
                <w:szCs w:val="20"/>
              </w:rPr>
              <w:instrText xml:space="preserve"> ADDIN EN.CITE &lt;EndNote&gt;&lt;Cite&gt;&lt;Author&gt;Rogers&lt;/Author&gt;&lt;Year&gt;2010&lt;/Year&gt;&lt;RecNum&gt;23&lt;/RecNum&gt;&lt;DisplayText&gt;[1]&lt;/DisplayText&gt;&lt;record&gt;&lt;rec-number&gt;23&lt;/rec-number&gt;&lt;foreign-keys&gt;&lt;key app="EN" db-id="r5s22w5rd0devle050v55zrfasde5xaxfzae" timestamp="1756433013"&gt;23&lt;/key&gt;&lt;/foreign-keys&gt;&lt;ref-type name="Journal Article"&gt;17&lt;/ref-type&gt;&lt;contributors&gt;&lt;authors&gt;&lt;author&gt;Rogers, David&lt;/author&gt;&lt;author&gt;Hahn, Mathew&lt;/author&gt;&lt;/authors&gt;&lt;/contributors&gt;&lt;titles&gt;&lt;title&gt;Extended-connectivity fingerprints&lt;/title&gt;&lt;secondary-title&gt;Journal of chemical information and modeling&lt;/secondary-title&gt;&lt;/titles&gt;&lt;periodical&gt;&lt;full-title&gt;Journal of chemical information and modeling&lt;/full-title&gt;&lt;/periodical&gt;&lt;pages&gt;742-754&lt;/pages&gt;&lt;volume&gt;50&lt;/volume&gt;&lt;number&gt;5&lt;/number&gt;&lt;dates&gt;&lt;year&gt;2010&lt;/year&gt;&lt;/dates&gt;&lt;isbn&gt;1549-9596&lt;/isbn&gt;&lt;urls&gt;&lt;/urls&gt;&lt;/record&gt;&lt;/Cite&gt;&lt;/EndNote&gt;</w:instrText>
            </w:r>
            <w:r w:rsidRPr="00301D6B">
              <w:rPr>
                <w:rStyle w:val="notion-enable-hover"/>
                <w:rFonts w:ascii="Times New Roman" w:hAnsi="Times New Roman" w:cs="Times New Roman"/>
                <w:b/>
                <w:bCs/>
                <w:sz w:val="20"/>
                <w:szCs w:val="20"/>
              </w:rPr>
              <w:fldChar w:fldCharType="separate"/>
            </w:r>
            <w:r w:rsidR="00710919">
              <w:rPr>
                <w:rStyle w:val="notion-enable-hover"/>
                <w:rFonts w:ascii="Times New Roman" w:hAnsi="Times New Roman" w:cs="Times New Roman"/>
                <w:b/>
                <w:bCs/>
                <w:noProof/>
                <w:sz w:val="20"/>
                <w:szCs w:val="20"/>
              </w:rPr>
              <w:t>[1]</w:t>
            </w:r>
            <w:r w:rsidRPr="00301D6B">
              <w:rPr>
                <w:rStyle w:val="notion-enable-hover"/>
                <w:rFonts w:ascii="Times New Roman" w:hAnsi="Times New Roman" w:cs="Times New Roman"/>
                <w:b/>
                <w:bCs/>
                <w:sz w:val="20"/>
                <w:szCs w:val="20"/>
              </w:rPr>
              <w:fldChar w:fldCharType="end"/>
            </w:r>
          </w:p>
        </w:tc>
        <w:tc>
          <w:tcPr>
            <w:tcW w:w="617" w:type="pct"/>
            <w:tcBorders>
              <w:top w:val="single" w:sz="4" w:space="0" w:color="auto"/>
              <w:bottom w:val="single" w:sz="4" w:space="0" w:color="auto"/>
            </w:tcBorders>
          </w:tcPr>
          <w:p w14:paraId="42283135" w14:textId="7FBF7D21" w:rsidR="000F03CD" w:rsidRPr="00301D6B" w:rsidRDefault="000F03CD" w:rsidP="00EA4338">
            <w:pPr>
              <w:rPr>
                <w:rFonts w:ascii="Times New Roman" w:hAnsi="Times New Roman" w:cs="Times New Roman"/>
                <w:b/>
                <w:bCs/>
                <w:color w:val="000000"/>
                <w:sz w:val="20"/>
                <w:szCs w:val="20"/>
              </w:rPr>
            </w:pPr>
            <w:r w:rsidRPr="00301D6B">
              <w:rPr>
                <w:rStyle w:val="notion-enable-hover"/>
                <w:rFonts w:ascii="Times New Roman" w:hAnsi="Times New Roman" w:cs="Times New Roman"/>
                <w:b/>
                <w:bCs/>
                <w:sz w:val="20"/>
                <w:szCs w:val="20"/>
              </w:rPr>
              <w:t xml:space="preserve">FCFPs </w:t>
            </w:r>
            <w:r w:rsidRPr="00301D6B">
              <w:rPr>
                <w:rStyle w:val="notion-enable-hover"/>
                <w:rFonts w:ascii="Times New Roman" w:hAnsi="Times New Roman" w:cs="Times New Roman"/>
                <w:b/>
                <w:bCs/>
                <w:sz w:val="20"/>
                <w:szCs w:val="20"/>
              </w:rPr>
              <w:fldChar w:fldCharType="begin"/>
            </w:r>
            <w:r w:rsidR="00710919">
              <w:rPr>
                <w:rStyle w:val="notion-enable-hover"/>
                <w:rFonts w:ascii="Times New Roman" w:hAnsi="Times New Roman" w:cs="Times New Roman"/>
                <w:b/>
                <w:bCs/>
                <w:sz w:val="20"/>
                <w:szCs w:val="20"/>
              </w:rPr>
              <w:instrText xml:space="preserve"> ADDIN EN.CITE &lt;EndNote&gt;&lt;Cite&gt;&lt;Author&gt;Rogers&lt;/Author&gt;&lt;Year&gt;2010&lt;/Year&gt;&lt;RecNum&gt;23&lt;/RecNum&gt;&lt;DisplayText&gt;[1]&lt;/DisplayText&gt;&lt;record&gt;&lt;rec-number&gt;23&lt;/rec-number&gt;&lt;foreign-keys&gt;&lt;key app="EN" db-id="r5s22w5rd0devle050v55zrfasde5xaxfzae" timestamp="1756433013"&gt;23&lt;/key&gt;&lt;/foreign-keys&gt;&lt;ref-type name="Journal Article"&gt;17&lt;/ref-type&gt;&lt;contributors&gt;&lt;authors&gt;&lt;author&gt;Rogers, David&lt;/author&gt;&lt;author&gt;Hahn, Mathew&lt;/author&gt;&lt;/authors&gt;&lt;/contributors&gt;&lt;titles&gt;&lt;title&gt;Extended-connectivity fingerprints&lt;/title&gt;&lt;secondary-title&gt;Journal of chemical information and modeling&lt;/secondary-title&gt;&lt;/titles&gt;&lt;periodical&gt;&lt;full-title&gt;Journal of chemical information and modeling&lt;/full-title&gt;&lt;/periodical&gt;&lt;pages&gt;742-754&lt;/pages&gt;&lt;volume&gt;50&lt;/volume&gt;&lt;number&gt;5&lt;/number&gt;&lt;dates&gt;&lt;year&gt;2010&lt;/year&gt;&lt;/dates&gt;&lt;isbn&gt;1549-9596&lt;/isbn&gt;&lt;urls&gt;&lt;/urls&gt;&lt;/record&gt;&lt;/Cite&gt;&lt;/EndNote&gt;</w:instrText>
            </w:r>
            <w:r w:rsidRPr="00301D6B">
              <w:rPr>
                <w:rStyle w:val="notion-enable-hover"/>
                <w:rFonts w:ascii="Times New Roman" w:hAnsi="Times New Roman" w:cs="Times New Roman"/>
                <w:b/>
                <w:bCs/>
                <w:sz w:val="20"/>
                <w:szCs w:val="20"/>
              </w:rPr>
              <w:fldChar w:fldCharType="separate"/>
            </w:r>
            <w:r w:rsidR="00710919">
              <w:rPr>
                <w:rStyle w:val="notion-enable-hover"/>
                <w:rFonts w:ascii="Times New Roman" w:hAnsi="Times New Roman" w:cs="Times New Roman"/>
                <w:b/>
                <w:bCs/>
                <w:noProof/>
                <w:sz w:val="20"/>
                <w:szCs w:val="20"/>
              </w:rPr>
              <w:t>[1]</w:t>
            </w:r>
            <w:r w:rsidRPr="00301D6B">
              <w:rPr>
                <w:rStyle w:val="notion-enable-hover"/>
                <w:rFonts w:ascii="Times New Roman" w:hAnsi="Times New Roman" w:cs="Times New Roman"/>
                <w:b/>
                <w:bCs/>
                <w:sz w:val="20"/>
                <w:szCs w:val="20"/>
              </w:rPr>
              <w:fldChar w:fldCharType="end"/>
            </w:r>
          </w:p>
        </w:tc>
        <w:tc>
          <w:tcPr>
            <w:tcW w:w="617" w:type="pct"/>
            <w:tcBorders>
              <w:top w:val="single" w:sz="4" w:space="0" w:color="auto"/>
              <w:bottom w:val="single" w:sz="4" w:space="0" w:color="auto"/>
            </w:tcBorders>
          </w:tcPr>
          <w:p w14:paraId="1AF49D31" w14:textId="285E7536" w:rsidR="000F03CD" w:rsidRPr="00301D6B" w:rsidRDefault="000F03CD" w:rsidP="00EA4338">
            <w:pPr>
              <w:rPr>
                <w:rFonts w:ascii="Times New Roman" w:hAnsi="Times New Roman" w:cs="Times New Roman"/>
                <w:b/>
                <w:bCs/>
                <w:color w:val="000000"/>
                <w:sz w:val="20"/>
                <w:szCs w:val="20"/>
              </w:rPr>
            </w:pPr>
            <w:r w:rsidRPr="00301D6B">
              <w:rPr>
                <w:rStyle w:val="notion-enable-hover"/>
                <w:rFonts w:ascii="Times New Roman" w:hAnsi="Times New Roman" w:cs="Times New Roman"/>
                <w:b/>
                <w:bCs/>
                <w:sz w:val="20"/>
                <w:szCs w:val="20"/>
              </w:rPr>
              <w:t xml:space="preserve">InChI </w:t>
            </w:r>
            <w:r>
              <w:rPr>
                <w:rStyle w:val="notion-enable-hover"/>
                <w:rFonts w:ascii="Times New Roman" w:hAnsi="Times New Roman" w:cs="Times New Roman"/>
                <w:b/>
                <w:bCs/>
                <w:sz w:val="20"/>
                <w:szCs w:val="20"/>
              </w:rPr>
              <w:fldChar w:fldCharType="begin"/>
            </w:r>
            <w:r w:rsidR="00710919">
              <w:rPr>
                <w:rStyle w:val="notion-enable-hover"/>
                <w:rFonts w:ascii="Times New Roman" w:hAnsi="Times New Roman" w:cs="Times New Roman"/>
                <w:b/>
                <w:bCs/>
                <w:sz w:val="20"/>
                <w:szCs w:val="20"/>
              </w:rPr>
              <w:instrText xml:space="preserve"> ADDIN EN.CITE &lt;EndNote&gt;&lt;Cite&gt;&lt;Author&gt;Heller&lt;/Author&gt;&lt;Year&gt;2015&lt;/Year&gt;&lt;RecNum&gt;79&lt;/RecNum&gt;&lt;DisplayText&gt;[2]&lt;/DisplayText&gt;&lt;record&gt;&lt;rec-number&gt;79&lt;/rec-number&gt;&lt;foreign-keys&gt;&lt;key app="EN" db-id="r5s22w5rd0devle050v55zrfasde5xaxfzae" timestamp="1773760235"&gt;79&lt;/key&gt;&lt;/foreign-keys&gt;&lt;ref-type name="Journal Article"&gt;17&lt;/ref-type&gt;&lt;contributors&gt;&lt;authors&gt;&lt;author&gt;Heller, Stephen R&lt;/author&gt;&lt;author&gt;McNaught, Alan&lt;/author&gt;&lt;author&gt;Pletnev, Igor&lt;/author&gt;&lt;author&gt;Stein, Stephen&lt;/author&gt;&lt;author&gt;Tchekhovskoi, Dmitrii&lt;/author&gt;&lt;/authors&gt;&lt;/contributors&gt;&lt;titles&gt;&lt;title&gt;InChI, the IUPAC international chemical identifier&lt;/title&gt;&lt;secondary-title&gt;Journal of cheminformatics&lt;/secondary-title&gt;&lt;/titles&gt;&lt;periodical&gt;&lt;full-title&gt;Journal of cheminformatics&lt;/full-title&gt;&lt;/periodical&gt;&lt;pages&gt;23&lt;/pages&gt;&lt;volume&gt;7&lt;/volume&gt;&lt;number&gt;1&lt;/number&gt;&lt;dates&gt;&lt;year&gt;2015&lt;/year&gt;&lt;/dates&gt;&lt;isbn&gt;1758-2946&lt;/isbn&gt;&lt;urls&gt;&lt;/urls&gt;&lt;/record&gt;&lt;/Cite&gt;&lt;/EndNote&gt;</w:instrText>
            </w:r>
            <w:r>
              <w:rPr>
                <w:rStyle w:val="notion-enable-hover"/>
                <w:rFonts w:ascii="Times New Roman" w:hAnsi="Times New Roman" w:cs="Times New Roman"/>
                <w:b/>
                <w:bCs/>
                <w:sz w:val="20"/>
                <w:szCs w:val="20"/>
              </w:rPr>
              <w:fldChar w:fldCharType="separate"/>
            </w:r>
            <w:r w:rsidR="00710919">
              <w:rPr>
                <w:rStyle w:val="notion-enable-hover"/>
                <w:rFonts w:ascii="Times New Roman" w:hAnsi="Times New Roman" w:cs="Times New Roman"/>
                <w:b/>
                <w:bCs/>
                <w:noProof/>
                <w:sz w:val="20"/>
                <w:szCs w:val="20"/>
              </w:rPr>
              <w:t>[2]</w:t>
            </w:r>
            <w:r>
              <w:rPr>
                <w:rStyle w:val="notion-enable-hover"/>
                <w:rFonts w:ascii="Times New Roman" w:hAnsi="Times New Roman" w:cs="Times New Roman"/>
                <w:b/>
                <w:bCs/>
                <w:sz w:val="20"/>
                <w:szCs w:val="20"/>
              </w:rPr>
              <w:fldChar w:fldCharType="end"/>
            </w:r>
          </w:p>
        </w:tc>
        <w:tc>
          <w:tcPr>
            <w:tcW w:w="617" w:type="pct"/>
            <w:tcBorders>
              <w:top w:val="single" w:sz="4" w:space="0" w:color="auto"/>
              <w:bottom w:val="single" w:sz="4" w:space="0" w:color="auto"/>
            </w:tcBorders>
          </w:tcPr>
          <w:p w14:paraId="353F1999" w14:textId="06E97122" w:rsidR="000F03CD" w:rsidRPr="00301D6B" w:rsidRDefault="000F03CD" w:rsidP="00EA4338">
            <w:pPr>
              <w:rPr>
                <w:rStyle w:val="notion-enable-hover"/>
                <w:rFonts w:ascii="Times New Roman" w:hAnsi="Times New Roman" w:cs="Times New Roman"/>
                <w:b/>
                <w:bCs/>
                <w:sz w:val="20"/>
                <w:szCs w:val="20"/>
              </w:rPr>
            </w:pPr>
            <w:r w:rsidRPr="00301D6B">
              <w:rPr>
                <w:rStyle w:val="notion-enable-hover"/>
                <w:rFonts w:ascii="Times New Roman" w:hAnsi="Times New Roman" w:cs="Times New Roman"/>
                <w:b/>
                <w:bCs/>
                <w:sz w:val="20"/>
                <w:szCs w:val="20"/>
              </w:rPr>
              <w:t>MACCS Keys</w:t>
            </w:r>
            <w:r w:rsidRPr="00301D6B">
              <w:rPr>
                <w:rFonts w:ascii="Times New Roman" w:hAnsi="Times New Roman" w:cs="Times New Roman"/>
                <w:sz w:val="20"/>
                <w:szCs w:val="20"/>
              </w:rPr>
              <w:t xml:space="preserve"> </w:t>
            </w:r>
            <w:r w:rsidRPr="00DF7431">
              <w:rPr>
                <w:rFonts w:ascii="Times New Roman" w:hAnsi="Times New Roman" w:cs="Times New Roman"/>
                <w:b/>
                <w:bCs/>
                <w:sz w:val="20"/>
                <w:szCs w:val="20"/>
              </w:rPr>
              <w:fldChar w:fldCharType="begin"/>
            </w:r>
            <w:r w:rsidR="00710919">
              <w:rPr>
                <w:rFonts w:ascii="Times New Roman" w:hAnsi="Times New Roman" w:cs="Times New Roman"/>
                <w:b/>
                <w:bCs/>
                <w:sz w:val="20"/>
                <w:szCs w:val="20"/>
              </w:rPr>
              <w:instrText xml:space="preserve"> ADDIN EN.CITE &lt;EndNote&gt;&lt;Cite&gt;&lt;Author&gt;Durant&lt;/Author&gt;&lt;Year&gt;2002&lt;/Year&gt;&lt;RecNum&gt;26&lt;/RecNum&gt;&lt;DisplayText&gt;[3]&lt;/DisplayText&gt;&lt;record&gt;&lt;rec-number&gt;26&lt;/rec-number&gt;&lt;foreign-keys&gt;&lt;key app="EN" db-id="r5s22w5rd0devle050v55zrfasde5xaxfzae" timestamp="1756433018"&gt;26&lt;/key&gt;&lt;/foreign-keys&gt;&lt;ref-type name="Journal Article"&gt;17&lt;/ref-type&gt;&lt;contributors&gt;&lt;authors&gt;&lt;author&gt;Durant, Joseph L&lt;/author&gt;&lt;author&gt;Leland, Burton A&lt;/author&gt;&lt;author&gt;Henry, Douglas R&lt;/author&gt;&lt;author&gt;Nourse, James G&lt;/author&gt;&lt;/authors&gt;&lt;/contributors&gt;&lt;titles&gt;&lt;title&gt;Reoptimization of MDL keys for use in drug discovery&lt;/title&gt;&lt;secondary-title&gt;Journal of chemical information and computer sciences&lt;/secondary-title&gt;&lt;/titles&gt;&lt;periodical&gt;&lt;full-title&gt;Journal of chemical information and computer sciences&lt;/full-title&gt;&lt;/periodical&gt;&lt;pages&gt;1273-1280&lt;/pages&gt;&lt;volume&gt;42&lt;/volume&gt;&lt;number&gt;6&lt;/number&gt;&lt;dates&gt;&lt;year&gt;2002&lt;/year&gt;&lt;/dates&gt;&lt;isbn&gt;0095-2338&lt;/isbn&gt;&lt;urls&gt;&lt;/urls&gt;&lt;/record&gt;&lt;/Cite&gt;&lt;/EndNote&gt;</w:instrText>
            </w:r>
            <w:r w:rsidRPr="00DF7431">
              <w:rPr>
                <w:rFonts w:ascii="Times New Roman" w:hAnsi="Times New Roman" w:cs="Times New Roman"/>
                <w:b/>
                <w:bCs/>
                <w:sz w:val="20"/>
                <w:szCs w:val="20"/>
              </w:rPr>
              <w:fldChar w:fldCharType="separate"/>
            </w:r>
            <w:r w:rsidR="00710919">
              <w:rPr>
                <w:rFonts w:ascii="Times New Roman" w:hAnsi="Times New Roman" w:cs="Times New Roman"/>
                <w:b/>
                <w:bCs/>
                <w:noProof/>
                <w:sz w:val="20"/>
                <w:szCs w:val="20"/>
              </w:rPr>
              <w:t>[3]</w:t>
            </w:r>
            <w:r w:rsidRPr="00DF7431">
              <w:rPr>
                <w:rFonts w:ascii="Times New Roman" w:hAnsi="Times New Roman" w:cs="Times New Roman"/>
                <w:b/>
                <w:bCs/>
                <w:sz w:val="20"/>
                <w:szCs w:val="20"/>
              </w:rPr>
              <w:fldChar w:fldCharType="end"/>
            </w:r>
          </w:p>
        </w:tc>
        <w:tc>
          <w:tcPr>
            <w:tcW w:w="617" w:type="pct"/>
            <w:tcBorders>
              <w:top w:val="single" w:sz="4" w:space="0" w:color="auto"/>
              <w:bottom w:val="single" w:sz="4" w:space="0" w:color="auto"/>
            </w:tcBorders>
          </w:tcPr>
          <w:p w14:paraId="50C5D048" w14:textId="77777777" w:rsidR="000F03CD" w:rsidRPr="00301D6B" w:rsidRDefault="000F03CD" w:rsidP="00EA4338">
            <w:pPr>
              <w:rPr>
                <w:rStyle w:val="notion-enable-hover"/>
                <w:rFonts w:ascii="Times New Roman" w:hAnsi="Times New Roman" w:cs="Times New Roman"/>
                <w:b/>
                <w:bCs/>
                <w:sz w:val="20"/>
                <w:szCs w:val="20"/>
              </w:rPr>
            </w:pPr>
            <w:r w:rsidRPr="00301D6B">
              <w:rPr>
                <w:rStyle w:val="notion-enable-hover"/>
                <w:rFonts w:ascii="Times New Roman" w:hAnsi="Times New Roman" w:cs="Times New Roman"/>
                <w:b/>
                <w:bCs/>
                <w:sz w:val="20"/>
                <w:szCs w:val="20"/>
              </w:rPr>
              <w:t>PubChem</w:t>
            </w:r>
          </w:p>
        </w:tc>
        <w:tc>
          <w:tcPr>
            <w:tcW w:w="708" w:type="pct"/>
            <w:tcBorders>
              <w:top w:val="single" w:sz="4" w:space="0" w:color="auto"/>
              <w:bottom w:val="single" w:sz="4" w:space="0" w:color="auto"/>
            </w:tcBorders>
          </w:tcPr>
          <w:p w14:paraId="4FD441DB" w14:textId="77777777" w:rsidR="000F03CD" w:rsidRPr="00301D6B" w:rsidRDefault="000F03CD" w:rsidP="00EA4338">
            <w:pPr>
              <w:rPr>
                <w:rStyle w:val="notion-enable-hover"/>
                <w:rFonts w:ascii="Times New Roman" w:hAnsi="Times New Roman" w:cs="Times New Roman"/>
                <w:b/>
                <w:bCs/>
                <w:sz w:val="20"/>
                <w:szCs w:val="20"/>
              </w:rPr>
            </w:pPr>
            <w:proofErr w:type="spellStart"/>
            <w:r w:rsidRPr="00301D6B">
              <w:rPr>
                <w:rStyle w:val="notion-enable-hover"/>
                <w:rFonts w:ascii="Times New Roman" w:hAnsi="Times New Roman" w:cs="Times New Roman"/>
                <w:b/>
                <w:bCs/>
                <w:sz w:val="20"/>
                <w:szCs w:val="20"/>
              </w:rPr>
              <w:t>RDKit</w:t>
            </w:r>
            <w:proofErr w:type="spellEnd"/>
          </w:p>
        </w:tc>
        <w:tc>
          <w:tcPr>
            <w:tcW w:w="523" w:type="pct"/>
            <w:tcBorders>
              <w:top w:val="single" w:sz="4" w:space="0" w:color="auto"/>
              <w:bottom w:val="single" w:sz="4" w:space="0" w:color="auto"/>
            </w:tcBorders>
          </w:tcPr>
          <w:p w14:paraId="1CEF5763" w14:textId="77777777" w:rsidR="000F03CD" w:rsidRPr="00301D6B" w:rsidRDefault="000F03CD" w:rsidP="00EA4338">
            <w:pPr>
              <w:rPr>
                <w:rStyle w:val="notion-enable-hover"/>
                <w:rFonts w:ascii="Times New Roman" w:hAnsi="Times New Roman" w:cs="Times New Roman"/>
                <w:b/>
                <w:bCs/>
                <w:sz w:val="20"/>
                <w:szCs w:val="20"/>
              </w:rPr>
            </w:pPr>
            <w:r w:rsidRPr="00301D6B">
              <w:rPr>
                <w:rStyle w:val="notion-enable-hover"/>
                <w:rFonts w:ascii="Times New Roman" w:hAnsi="Times New Roman" w:cs="Times New Roman"/>
                <w:b/>
                <w:bCs/>
                <w:sz w:val="20"/>
                <w:szCs w:val="20"/>
              </w:rPr>
              <w:t>SMARTS</w:t>
            </w:r>
          </w:p>
        </w:tc>
      </w:tr>
      <w:tr w:rsidR="000F03CD" w:rsidRPr="00301D6B" w14:paraId="4C34FE4E" w14:textId="77777777" w:rsidTr="00EA4338">
        <w:tc>
          <w:tcPr>
            <w:tcW w:w="684" w:type="pct"/>
            <w:tcBorders>
              <w:top w:val="single" w:sz="4" w:space="0" w:color="auto"/>
              <w:bottom w:val="single" w:sz="4" w:space="0" w:color="auto"/>
            </w:tcBorders>
          </w:tcPr>
          <w:p w14:paraId="5F446D17" w14:textId="77777777" w:rsidR="000F03CD" w:rsidRPr="00301D6B" w:rsidRDefault="000F03CD" w:rsidP="00EA4338">
            <w:pPr>
              <w:spacing w:line="14" w:lineRule="auto"/>
              <w:rPr>
                <w:rStyle w:val="notion-enable-hover"/>
                <w:rFonts w:ascii="Times New Roman" w:hAnsi="Times New Roman" w:cs="Times New Roman"/>
                <w:b/>
                <w:bCs/>
                <w:sz w:val="20"/>
                <w:szCs w:val="20"/>
              </w:rPr>
            </w:pPr>
            <w:r w:rsidRPr="00301D6B">
              <w:rPr>
                <w:rStyle w:val="notion-enable-hover"/>
                <w:rFonts w:ascii="Times New Roman" w:hAnsi="Times New Roman" w:cs="Times New Roman"/>
                <w:b/>
                <w:bCs/>
                <w:sz w:val="20"/>
                <w:szCs w:val="20"/>
              </w:rPr>
              <w:t>Type</w:t>
            </w:r>
          </w:p>
        </w:tc>
        <w:tc>
          <w:tcPr>
            <w:tcW w:w="617" w:type="pct"/>
            <w:tcBorders>
              <w:top w:val="single" w:sz="4" w:space="0" w:color="auto"/>
              <w:bottom w:val="single" w:sz="4" w:space="0" w:color="auto"/>
            </w:tcBorders>
          </w:tcPr>
          <w:p w14:paraId="5F19FE25" w14:textId="77777777" w:rsidR="000F03CD" w:rsidRPr="00301D6B" w:rsidRDefault="000F03CD" w:rsidP="00EA4338">
            <w:pPr>
              <w:pStyle w:val="ad"/>
              <w:spacing w:line="14" w:lineRule="auto"/>
              <w:rPr>
                <w:rStyle w:val="notion-enable-hover"/>
                <w:rFonts w:ascii="Times New Roman" w:hAnsi="Times New Roman" w:cs="Times New Roman"/>
                <w:sz w:val="20"/>
                <w:szCs w:val="20"/>
              </w:rPr>
            </w:pPr>
            <w:r w:rsidRPr="00301D6B">
              <w:rPr>
                <w:rFonts w:ascii="Times New Roman" w:hAnsi="Times New Roman" w:cs="Times New Roman"/>
                <w:sz w:val="20"/>
                <w:szCs w:val="20"/>
              </w:rPr>
              <w:t>Circular</w:t>
            </w:r>
          </w:p>
        </w:tc>
        <w:tc>
          <w:tcPr>
            <w:tcW w:w="617" w:type="pct"/>
            <w:tcBorders>
              <w:top w:val="single" w:sz="4" w:space="0" w:color="auto"/>
              <w:bottom w:val="single" w:sz="4" w:space="0" w:color="auto"/>
            </w:tcBorders>
          </w:tcPr>
          <w:p w14:paraId="0337B5C6" w14:textId="77777777" w:rsidR="000F03CD" w:rsidRPr="00301D6B" w:rsidRDefault="000F03CD" w:rsidP="00EA4338">
            <w:pPr>
              <w:pStyle w:val="ad"/>
              <w:spacing w:line="14" w:lineRule="auto"/>
              <w:rPr>
                <w:rFonts w:ascii="Times New Roman" w:hAnsi="Times New Roman" w:cs="Times New Roman"/>
                <w:color w:val="000000"/>
                <w:sz w:val="20"/>
                <w:szCs w:val="20"/>
              </w:rPr>
            </w:pPr>
            <w:r w:rsidRPr="00301D6B">
              <w:rPr>
                <w:rFonts w:ascii="Times New Roman" w:hAnsi="Times New Roman" w:cs="Times New Roman"/>
                <w:sz w:val="20"/>
                <w:szCs w:val="20"/>
              </w:rPr>
              <w:t xml:space="preserve">Circular </w:t>
            </w:r>
          </w:p>
        </w:tc>
        <w:tc>
          <w:tcPr>
            <w:tcW w:w="617" w:type="pct"/>
            <w:tcBorders>
              <w:top w:val="single" w:sz="4" w:space="0" w:color="auto"/>
              <w:bottom w:val="single" w:sz="4" w:space="0" w:color="auto"/>
            </w:tcBorders>
          </w:tcPr>
          <w:p w14:paraId="0B4528BA" w14:textId="77777777" w:rsidR="000F03CD" w:rsidRPr="00301D6B" w:rsidRDefault="000F03CD" w:rsidP="00EA4338">
            <w:pPr>
              <w:pStyle w:val="ad"/>
              <w:spacing w:line="14" w:lineRule="auto"/>
              <w:rPr>
                <w:rFonts w:ascii="Times New Roman" w:hAnsi="Times New Roman" w:cs="Times New Roman"/>
                <w:sz w:val="20"/>
                <w:szCs w:val="20"/>
              </w:rPr>
            </w:pPr>
            <w:r w:rsidRPr="00301D6B">
              <w:rPr>
                <w:rFonts w:ascii="Times New Roman" w:hAnsi="Times New Roman" w:cs="Times New Roman"/>
                <w:sz w:val="20"/>
                <w:szCs w:val="20"/>
              </w:rPr>
              <w:t>String-based</w:t>
            </w:r>
          </w:p>
        </w:tc>
        <w:tc>
          <w:tcPr>
            <w:tcW w:w="617" w:type="pct"/>
            <w:tcBorders>
              <w:top w:val="single" w:sz="4" w:space="0" w:color="auto"/>
              <w:bottom w:val="single" w:sz="4" w:space="0" w:color="auto"/>
            </w:tcBorders>
          </w:tcPr>
          <w:p w14:paraId="77381919" w14:textId="77777777" w:rsidR="000F03CD" w:rsidRPr="00301D6B" w:rsidRDefault="000F03CD" w:rsidP="00EA4338">
            <w:pPr>
              <w:pStyle w:val="ad"/>
              <w:spacing w:line="14" w:lineRule="auto"/>
              <w:rPr>
                <w:rFonts w:ascii="Times New Roman" w:hAnsi="Times New Roman" w:cs="Times New Roman"/>
                <w:sz w:val="20"/>
                <w:szCs w:val="20"/>
              </w:rPr>
            </w:pPr>
            <w:r w:rsidRPr="00301D6B">
              <w:rPr>
                <w:rFonts w:ascii="Times New Roman" w:hAnsi="Times New Roman" w:cs="Times New Roman"/>
                <w:sz w:val="20"/>
                <w:szCs w:val="20"/>
              </w:rPr>
              <w:t>Structure-based</w:t>
            </w:r>
          </w:p>
        </w:tc>
        <w:tc>
          <w:tcPr>
            <w:tcW w:w="617" w:type="pct"/>
            <w:tcBorders>
              <w:top w:val="single" w:sz="4" w:space="0" w:color="auto"/>
              <w:bottom w:val="single" w:sz="4" w:space="0" w:color="auto"/>
            </w:tcBorders>
          </w:tcPr>
          <w:p w14:paraId="3E27C763" w14:textId="77777777" w:rsidR="000F03CD" w:rsidRPr="00301D6B" w:rsidRDefault="000F03CD" w:rsidP="00EA4338">
            <w:pPr>
              <w:pStyle w:val="ad"/>
              <w:spacing w:line="14" w:lineRule="auto"/>
              <w:rPr>
                <w:rFonts w:ascii="Times New Roman" w:hAnsi="Times New Roman" w:cs="Times New Roman"/>
                <w:sz w:val="20"/>
                <w:szCs w:val="20"/>
              </w:rPr>
            </w:pPr>
            <w:r w:rsidRPr="00301D6B">
              <w:rPr>
                <w:rFonts w:ascii="Times New Roman" w:hAnsi="Times New Roman" w:cs="Times New Roman"/>
                <w:sz w:val="20"/>
                <w:szCs w:val="20"/>
              </w:rPr>
              <w:t>Structure-based</w:t>
            </w:r>
          </w:p>
        </w:tc>
        <w:tc>
          <w:tcPr>
            <w:tcW w:w="708" w:type="pct"/>
            <w:tcBorders>
              <w:top w:val="single" w:sz="4" w:space="0" w:color="auto"/>
              <w:bottom w:val="single" w:sz="4" w:space="0" w:color="auto"/>
            </w:tcBorders>
          </w:tcPr>
          <w:p w14:paraId="17190080" w14:textId="77777777" w:rsidR="000F03CD" w:rsidRPr="00301D6B" w:rsidRDefault="000F03CD" w:rsidP="00EA4338">
            <w:pPr>
              <w:pStyle w:val="ad"/>
              <w:spacing w:line="14" w:lineRule="auto"/>
              <w:rPr>
                <w:rFonts w:ascii="Times New Roman" w:hAnsi="Times New Roman" w:cs="Times New Roman"/>
                <w:sz w:val="20"/>
                <w:szCs w:val="20"/>
              </w:rPr>
            </w:pPr>
            <w:r w:rsidRPr="00301D6B">
              <w:rPr>
                <w:rFonts w:ascii="Times New Roman" w:hAnsi="Times New Roman" w:cs="Times New Roman"/>
                <w:sz w:val="20"/>
                <w:szCs w:val="20"/>
              </w:rPr>
              <w:t>Structure-based</w:t>
            </w:r>
          </w:p>
        </w:tc>
        <w:tc>
          <w:tcPr>
            <w:tcW w:w="523" w:type="pct"/>
            <w:tcBorders>
              <w:top w:val="single" w:sz="4" w:space="0" w:color="auto"/>
              <w:bottom w:val="single" w:sz="4" w:space="0" w:color="auto"/>
            </w:tcBorders>
          </w:tcPr>
          <w:p w14:paraId="3534F8AE" w14:textId="77777777" w:rsidR="000F03CD" w:rsidRPr="00301D6B" w:rsidRDefault="000F03CD" w:rsidP="00EA4338">
            <w:pPr>
              <w:pStyle w:val="ad"/>
              <w:spacing w:line="14" w:lineRule="auto"/>
              <w:rPr>
                <w:rFonts w:ascii="Times New Roman" w:hAnsi="Times New Roman" w:cs="Times New Roman"/>
                <w:sz w:val="20"/>
                <w:szCs w:val="20"/>
              </w:rPr>
            </w:pPr>
            <w:r w:rsidRPr="00301D6B">
              <w:rPr>
                <w:rFonts w:ascii="Times New Roman" w:hAnsi="Times New Roman" w:cs="Times New Roman"/>
                <w:sz w:val="20"/>
                <w:szCs w:val="20"/>
              </w:rPr>
              <w:t>String-based</w:t>
            </w:r>
          </w:p>
        </w:tc>
      </w:tr>
      <w:tr w:rsidR="000F03CD" w:rsidRPr="00301D6B" w14:paraId="2A0AA13D" w14:textId="77777777" w:rsidTr="00EA4338">
        <w:tc>
          <w:tcPr>
            <w:tcW w:w="684" w:type="pct"/>
            <w:tcBorders>
              <w:top w:val="single" w:sz="4" w:space="0" w:color="auto"/>
              <w:bottom w:val="single" w:sz="4" w:space="0" w:color="auto"/>
            </w:tcBorders>
          </w:tcPr>
          <w:p w14:paraId="280CE109" w14:textId="77777777" w:rsidR="000F03CD" w:rsidRPr="00301D6B" w:rsidRDefault="000F03CD" w:rsidP="00EA4338">
            <w:pPr>
              <w:spacing w:line="14" w:lineRule="auto"/>
              <w:rPr>
                <w:rStyle w:val="notion-enable-hover"/>
                <w:rFonts w:ascii="Times New Roman" w:hAnsi="Times New Roman" w:cs="Times New Roman"/>
                <w:b/>
                <w:bCs/>
                <w:sz w:val="20"/>
                <w:szCs w:val="20"/>
              </w:rPr>
            </w:pPr>
            <w:r w:rsidRPr="00301D6B">
              <w:rPr>
                <w:rStyle w:val="notion-enable-hover"/>
                <w:rFonts w:ascii="Times New Roman" w:hAnsi="Times New Roman" w:cs="Times New Roman"/>
                <w:b/>
                <w:bCs/>
                <w:sz w:val="20"/>
                <w:szCs w:val="20"/>
              </w:rPr>
              <w:t>Length</w:t>
            </w:r>
          </w:p>
        </w:tc>
        <w:tc>
          <w:tcPr>
            <w:tcW w:w="617" w:type="pct"/>
            <w:tcBorders>
              <w:top w:val="single" w:sz="4" w:space="0" w:color="auto"/>
              <w:bottom w:val="single" w:sz="4" w:space="0" w:color="auto"/>
            </w:tcBorders>
          </w:tcPr>
          <w:p w14:paraId="1121E2ED" w14:textId="77777777" w:rsidR="000F03CD" w:rsidRPr="00301D6B" w:rsidRDefault="000F03CD" w:rsidP="00EA4338">
            <w:pPr>
              <w:pStyle w:val="ad"/>
              <w:spacing w:line="14" w:lineRule="auto"/>
              <w:rPr>
                <w:rStyle w:val="notion-enable-hover"/>
                <w:rFonts w:ascii="Times New Roman" w:hAnsi="Times New Roman" w:cs="Times New Roman"/>
                <w:sz w:val="20"/>
                <w:szCs w:val="20"/>
              </w:rPr>
            </w:pPr>
            <w:proofErr w:type="gramStart"/>
            <w:r w:rsidRPr="00301D6B">
              <w:rPr>
                <w:rFonts w:ascii="Times New Roman" w:hAnsi="Times New Roman" w:cs="Times New Roman"/>
                <w:sz w:val="20"/>
                <w:szCs w:val="20"/>
              </w:rPr>
              <w:t>typically</w:t>
            </w:r>
            <w:proofErr w:type="gramEnd"/>
            <w:r w:rsidRPr="00301D6B">
              <w:rPr>
                <w:rFonts w:ascii="Times New Roman" w:hAnsi="Times New Roman" w:cs="Times New Roman"/>
                <w:sz w:val="20"/>
                <w:szCs w:val="20"/>
              </w:rPr>
              <w:t xml:space="preserve"> 1024 or 2048bits</w:t>
            </w:r>
          </w:p>
        </w:tc>
        <w:tc>
          <w:tcPr>
            <w:tcW w:w="617" w:type="pct"/>
            <w:tcBorders>
              <w:top w:val="single" w:sz="4" w:space="0" w:color="auto"/>
              <w:bottom w:val="single" w:sz="4" w:space="0" w:color="auto"/>
            </w:tcBorders>
          </w:tcPr>
          <w:p w14:paraId="5C0B4A9B" w14:textId="77777777" w:rsidR="000F03CD" w:rsidRPr="00301D6B" w:rsidRDefault="000F03CD" w:rsidP="00EA4338">
            <w:pPr>
              <w:pStyle w:val="ad"/>
              <w:spacing w:line="14" w:lineRule="auto"/>
              <w:rPr>
                <w:rFonts w:ascii="Times New Roman" w:hAnsi="Times New Roman" w:cs="Times New Roman"/>
                <w:color w:val="000000"/>
                <w:sz w:val="20"/>
                <w:szCs w:val="20"/>
              </w:rPr>
            </w:pPr>
            <w:proofErr w:type="gramStart"/>
            <w:r w:rsidRPr="00301D6B">
              <w:rPr>
                <w:rFonts w:ascii="Times New Roman" w:hAnsi="Times New Roman" w:cs="Times New Roman"/>
                <w:sz w:val="20"/>
                <w:szCs w:val="20"/>
              </w:rPr>
              <w:t>typically</w:t>
            </w:r>
            <w:proofErr w:type="gramEnd"/>
            <w:r w:rsidRPr="00301D6B">
              <w:rPr>
                <w:rFonts w:ascii="Times New Roman" w:hAnsi="Times New Roman" w:cs="Times New Roman"/>
                <w:sz w:val="20"/>
                <w:szCs w:val="20"/>
              </w:rPr>
              <w:t xml:space="preserve"> 1024 or 2048bits</w:t>
            </w:r>
          </w:p>
        </w:tc>
        <w:tc>
          <w:tcPr>
            <w:tcW w:w="617" w:type="pct"/>
            <w:tcBorders>
              <w:top w:val="single" w:sz="4" w:space="0" w:color="auto"/>
              <w:bottom w:val="single" w:sz="4" w:space="0" w:color="auto"/>
            </w:tcBorders>
          </w:tcPr>
          <w:p w14:paraId="3839F21A" w14:textId="77777777" w:rsidR="000F03CD" w:rsidRPr="00301D6B" w:rsidRDefault="000F03CD" w:rsidP="00EA4338">
            <w:pPr>
              <w:pStyle w:val="ad"/>
              <w:spacing w:line="14" w:lineRule="auto"/>
              <w:rPr>
                <w:rFonts w:ascii="Times New Roman" w:hAnsi="Times New Roman" w:cs="Times New Roman"/>
                <w:color w:val="000000"/>
                <w:sz w:val="20"/>
                <w:szCs w:val="20"/>
              </w:rPr>
            </w:pPr>
            <w:r w:rsidRPr="00301D6B">
              <w:rPr>
                <w:rFonts w:ascii="Times New Roman" w:hAnsi="Times New Roman" w:cs="Times New Roman"/>
                <w:sz w:val="20"/>
                <w:szCs w:val="20"/>
              </w:rPr>
              <w:t>Variable</w:t>
            </w:r>
          </w:p>
        </w:tc>
        <w:tc>
          <w:tcPr>
            <w:tcW w:w="617" w:type="pct"/>
            <w:tcBorders>
              <w:top w:val="single" w:sz="4" w:space="0" w:color="auto"/>
              <w:bottom w:val="single" w:sz="4" w:space="0" w:color="auto"/>
            </w:tcBorders>
          </w:tcPr>
          <w:p w14:paraId="2209A876" w14:textId="77777777" w:rsidR="000F03CD" w:rsidRPr="00301D6B" w:rsidRDefault="000F03CD" w:rsidP="00EA4338">
            <w:pPr>
              <w:pStyle w:val="ad"/>
              <w:spacing w:line="14" w:lineRule="auto"/>
              <w:rPr>
                <w:rFonts w:ascii="Times New Roman" w:hAnsi="Times New Roman" w:cs="Times New Roman"/>
                <w:sz w:val="20"/>
                <w:szCs w:val="20"/>
              </w:rPr>
            </w:pPr>
            <w:r w:rsidRPr="00301D6B">
              <w:rPr>
                <w:rFonts w:ascii="Times New Roman" w:hAnsi="Times New Roman" w:cs="Times New Roman"/>
                <w:sz w:val="20"/>
                <w:szCs w:val="20"/>
              </w:rPr>
              <w:t>16</w:t>
            </w:r>
            <w:r>
              <w:rPr>
                <w:rFonts w:ascii="Times New Roman" w:hAnsi="Times New Roman" w:cs="Times New Roman"/>
                <w:sz w:val="20"/>
                <w:szCs w:val="20"/>
              </w:rPr>
              <w:t>7</w:t>
            </w:r>
            <w:r w:rsidRPr="00301D6B">
              <w:rPr>
                <w:rFonts w:ascii="Times New Roman" w:hAnsi="Times New Roman" w:cs="Times New Roman"/>
                <w:sz w:val="20"/>
                <w:szCs w:val="20"/>
              </w:rPr>
              <w:t xml:space="preserve"> bits</w:t>
            </w:r>
          </w:p>
        </w:tc>
        <w:tc>
          <w:tcPr>
            <w:tcW w:w="617" w:type="pct"/>
            <w:tcBorders>
              <w:top w:val="single" w:sz="4" w:space="0" w:color="auto"/>
              <w:bottom w:val="single" w:sz="4" w:space="0" w:color="auto"/>
            </w:tcBorders>
          </w:tcPr>
          <w:p w14:paraId="6790889D" w14:textId="77777777" w:rsidR="000F03CD" w:rsidRPr="00301D6B" w:rsidRDefault="000F03CD" w:rsidP="00EA4338">
            <w:pPr>
              <w:pStyle w:val="ad"/>
              <w:spacing w:line="14" w:lineRule="auto"/>
              <w:rPr>
                <w:rFonts w:ascii="Times New Roman" w:hAnsi="Times New Roman" w:cs="Times New Roman"/>
                <w:color w:val="000000"/>
                <w:sz w:val="20"/>
                <w:szCs w:val="20"/>
              </w:rPr>
            </w:pPr>
            <w:r w:rsidRPr="00301D6B">
              <w:rPr>
                <w:rFonts w:ascii="Times New Roman" w:hAnsi="Times New Roman" w:cs="Times New Roman"/>
                <w:color w:val="000000"/>
                <w:sz w:val="20"/>
                <w:szCs w:val="20"/>
              </w:rPr>
              <w:t>881 bits</w:t>
            </w:r>
          </w:p>
        </w:tc>
        <w:tc>
          <w:tcPr>
            <w:tcW w:w="708" w:type="pct"/>
            <w:tcBorders>
              <w:top w:val="single" w:sz="4" w:space="0" w:color="auto"/>
              <w:bottom w:val="single" w:sz="4" w:space="0" w:color="auto"/>
            </w:tcBorders>
          </w:tcPr>
          <w:p w14:paraId="2ED5CF65" w14:textId="77777777" w:rsidR="000F03CD" w:rsidRPr="00301D6B" w:rsidRDefault="000F03CD" w:rsidP="00EA4338">
            <w:pPr>
              <w:pStyle w:val="ad"/>
              <w:spacing w:line="14" w:lineRule="auto"/>
              <w:rPr>
                <w:rFonts w:ascii="Times New Roman" w:hAnsi="Times New Roman" w:cs="Times New Roman"/>
                <w:sz w:val="20"/>
                <w:szCs w:val="20"/>
              </w:rPr>
            </w:pPr>
            <w:proofErr w:type="gramStart"/>
            <w:r w:rsidRPr="00301D6B">
              <w:rPr>
                <w:rFonts w:ascii="Times New Roman" w:hAnsi="Times New Roman" w:cs="Times New Roman"/>
                <w:color w:val="000000"/>
                <w:sz w:val="20"/>
                <w:szCs w:val="20"/>
              </w:rPr>
              <w:t>typically</w:t>
            </w:r>
            <w:proofErr w:type="gramEnd"/>
            <w:r w:rsidRPr="00301D6B">
              <w:rPr>
                <w:rFonts w:ascii="Times New Roman" w:hAnsi="Times New Roman" w:cs="Times New Roman"/>
                <w:color w:val="000000"/>
                <w:sz w:val="20"/>
                <w:szCs w:val="20"/>
              </w:rPr>
              <w:t xml:space="preserve"> 1024 bits</w:t>
            </w:r>
            <w:r w:rsidRPr="00301D6B">
              <w:rPr>
                <w:rStyle w:val="apple-converted-space"/>
                <w:rFonts w:ascii="Times New Roman" w:hAnsi="Times New Roman" w:cs="Times New Roman"/>
                <w:color w:val="000000"/>
                <w:sz w:val="20"/>
                <w:szCs w:val="20"/>
              </w:rPr>
              <w:t> </w:t>
            </w:r>
          </w:p>
        </w:tc>
        <w:tc>
          <w:tcPr>
            <w:tcW w:w="523" w:type="pct"/>
            <w:tcBorders>
              <w:top w:val="single" w:sz="4" w:space="0" w:color="auto"/>
              <w:bottom w:val="single" w:sz="4" w:space="0" w:color="auto"/>
            </w:tcBorders>
          </w:tcPr>
          <w:p w14:paraId="5B821FCB" w14:textId="77777777" w:rsidR="000F03CD" w:rsidRPr="00301D6B" w:rsidRDefault="000F03CD" w:rsidP="00EA4338">
            <w:pPr>
              <w:pStyle w:val="ad"/>
              <w:spacing w:line="14" w:lineRule="auto"/>
              <w:rPr>
                <w:rFonts w:ascii="Times New Roman" w:hAnsi="Times New Roman" w:cs="Times New Roman"/>
                <w:sz w:val="20"/>
                <w:szCs w:val="20"/>
              </w:rPr>
            </w:pPr>
            <w:r w:rsidRPr="00301D6B">
              <w:rPr>
                <w:rFonts w:ascii="Times New Roman" w:hAnsi="Times New Roman" w:cs="Times New Roman"/>
                <w:sz w:val="20"/>
                <w:szCs w:val="20"/>
              </w:rPr>
              <w:t>Variable</w:t>
            </w:r>
          </w:p>
        </w:tc>
      </w:tr>
      <w:tr w:rsidR="000F03CD" w:rsidRPr="00301D6B" w14:paraId="40C7E9CB" w14:textId="77777777" w:rsidTr="00EA4338">
        <w:trPr>
          <w:trHeight w:val="304"/>
        </w:trPr>
        <w:tc>
          <w:tcPr>
            <w:tcW w:w="684" w:type="pct"/>
            <w:tcBorders>
              <w:top w:val="single" w:sz="4" w:space="0" w:color="auto"/>
              <w:bottom w:val="single" w:sz="4" w:space="0" w:color="auto"/>
            </w:tcBorders>
          </w:tcPr>
          <w:p w14:paraId="74D8699D" w14:textId="77777777" w:rsidR="000F03CD" w:rsidRPr="00301D6B" w:rsidRDefault="000F03CD" w:rsidP="00EA4338">
            <w:pPr>
              <w:spacing w:line="14" w:lineRule="auto"/>
              <w:rPr>
                <w:rStyle w:val="notion-enable-hover"/>
                <w:rFonts w:ascii="Times New Roman" w:hAnsi="Times New Roman" w:cs="Times New Roman"/>
                <w:b/>
                <w:bCs/>
                <w:sz w:val="20"/>
                <w:szCs w:val="20"/>
              </w:rPr>
            </w:pPr>
            <w:r w:rsidRPr="00301D6B">
              <w:rPr>
                <w:rStyle w:val="notion-enable-hover"/>
                <w:rFonts w:ascii="Times New Roman" w:hAnsi="Times New Roman" w:cs="Times New Roman"/>
                <w:b/>
                <w:bCs/>
                <w:sz w:val="20"/>
                <w:szCs w:val="20"/>
              </w:rPr>
              <w:t>Generation</w:t>
            </w:r>
          </w:p>
        </w:tc>
        <w:tc>
          <w:tcPr>
            <w:tcW w:w="617" w:type="pct"/>
            <w:tcBorders>
              <w:top w:val="single" w:sz="4" w:space="0" w:color="auto"/>
              <w:bottom w:val="single" w:sz="4" w:space="0" w:color="auto"/>
            </w:tcBorders>
          </w:tcPr>
          <w:p w14:paraId="2D589EAD" w14:textId="77777777" w:rsidR="000F03CD" w:rsidRPr="00301D6B" w:rsidRDefault="000F03CD" w:rsidP="00EA4338">
            <w:pPr>
              <w:pStyle w:val="ad"/>
              <w:spacing w:line="14" w:lineRule="auto"/>
              <w:rPr>
                <w:rStyle w:val="notion-enable-hover"/>
                <w:rFonts w:ascii="Times New Roman" w:hAnsi="Times New Roman" w:cs="Times New Roman"/>
                <w:sz w:val="20"/>
                <w:szCs w:val="20"/>
              </w:rPr>
            </w:pPr>
            <w:r w:rsidRPr="00301D6B">
              <w:rPr>
                <w:rFonts w:ascii="Times New Roman" w:hAnsi="Times New Roman" w:cs="Times New Roman"/>
                <w:sz w:val="20"/>
                <w:szCs w:val="20"/>
              </w:rPr>
              <w:t>Morgan algorithm</w:t>
            </w:r>
          </w:p>
        </w:tc>
        <w:tc>
          <w:tcPr>
            <w:tcW w:w="617" w:type="pct"/>
            <w:tcBorders>
              <w:top w:val="single" w:sz="4" w:space="0" w:color="auto"/>
              <w:bottom w:val="single" w:sz="4" w:space="0" w:color="auto"/>
            </w:tcBorders>
          </w:tcPr>
          <w:p w14:paraId="3BCC293E" w14:textId="77777777" w:rsidR="000F03CD" w:rsidRPr="00301D6B" w:rsidRDefault="000F03CD" w:rsidP="00EA4338">
            <w:pPr>
              <w:pStyle w:val="ad"/>
              <w:spacing w:line="14" w:lineRule="auto"/>
              <w:rPr>
                <w:rFonts w:ascii="Times New Roman" w:hAnsi="Times New Roman" w:cs="Times New Roman"/>
                <w:color w:val="000000"/>
                <w:sz w:val="20"/>
                <w:szCs w:val="20"/>
              </w:rPr>
            </w:pPr>
            <w:r w:rsidRPr="00301D6B">
              <w:rPr>
                <w:rFonts w:ascii="Times New Roman" w:hAnsi="Times New Roman" w:cs="Times New Roman"/>
                <w:sz w:val="20"/>
                <w:szCs w:val="20"/>
              </w:rPr>
              <w:t>Functional groups</w:t>
            </w:r>
          </w:p>
        </w:tc>
        <w:tc>
          <w:tcPr>
            <w:tcW w:w="617" w:type="pct"/>
            <w:tcBorders>
              <w:top w:val="single" w:sz="4" w:space="0" w:color="auto"/>
              <w:bottom w:val="single" w:sz="4" w:space="0" w:color="auto"/>
            </w:tcBorders>
          </w:tcPr>
          <w:p w14:paraId="2256F38F" w14:textId="77777777" w:rsidR="000F03CD" w:rsidRPr="00301D6B" w:rsidRDefault="000F03CD" w:rsidP="00EA4338">
            <w:pPr>
              <w:pStyle w:val="ad"/>
              <w:spacing w:line="14" w:lineRule="auto"/>
              <w:rPr>
                <w:rFonts w:ascii="Times New Roman" w:hAnsi="Times New Roman" w:cs="Times New Roman"/>
                <w:color w:val="000000"/>
                <w:sz w:val="20"/>
                <w:szCs w:val="20"/>
              </w:rPr>
            </w:pPr>
            <w:r w:rsidRPr="00301D6B">
              <w:rPr>
                <w:rFonts w:ascii="Times New Roman" w:hAnsi="Times New Roman" w:cs="Times New Roman"/>
                <w:sz w:val="20"/>
                <w:szCs w:val="20"/>
              </w:rPr>
              <w:t>Textual encoding</w:t>
            </w:r>
          </w:p>
        </w:tc>
        <w:tc>
          <w:tcPr>
            <w:tcW w:w="617" w:type="pct"/>
            <w:tcBorders>
              <w:top w:val="single" w:sz="4" w:space="0" w:color="auto"/>
              <w:bottom w:val="single" w:sz="4" w:space="0" w:color="auto"/>
            </w:tcBorders>
          </w:tcPr>
          <w:p w14:paraId="7CCA8C16" w14:textId="77777777" w:rsidR="000F03CD" w:rsidRPr="00301D6B" w:rsidRDefault="000F03CD" w:rsidP="00EA4338">
            <w:pPr>
              <w:pStyle w:val="ad"/>
              <w:spacing w:line="14" w:lineRule="auto"/>
              <w:rPr>
                <w:rFonts w:ascii="Times New Roman" w:hAnsi="Times New Roman" w:cs="Times New Roman"/>
                <w:sz w:val="20"/>
                <w:szCs w:val="20"/>
              </w:rPr>
            </w:pPr>
            <w:r w:rsidRPr="00301D6B">
              <w:rPr>
                <w:rFonts w:ascii="Times New Roman" w:hAnsi="Times New Roman" w:cs="Times New Roman"/>
                <w:sz w:val="20"/>
                <w:szCs w:val="20"/>
              </w:rPr>
              <w:t>Binary vector</w:t>
            </w:r>
          </w:p>
        </w:tc>
        <w:tc>
          <w:tcPr>
            <w:tcW w:w="617" w:type="pct"/>
            <w:tcBorders>
              <w:top w:val="single" w:sz="4" w:space="0" w:color="auto"/>
              <w:bottom w:val="single" w:sz="4" w:space="0" w:color="auto"/>
            </w:tcBorders>
          </w:tcPr>
          <w:p w14:paraId="016D31B7" w14:textId="77777777" w:rsidR="000F03CD" w:rsidRPr="00301D6B" w:rsidRDefault="000F03CD" w:rsidP="00EA4338">
            <w:pPr>
              <w:pStyle w:val="ad"/>
              <w:spacing w:line="14" w:lineRule="auto"/>
              <w:rPr>
                <w:rFonts w:ascii="Times New Roman" w:hAnsi="Times New Roman" w:cs="Times New Roman"/>
                <w:sz w:val="20"/>
                <w:szCs w:val="20"/>
              </w:rPr>
            </w:pPr>
            <w:r w:rsidRPr="00301D6B">
              <w:rPr>
                <w:rFonts w:ascii="Times New Roman" w:hAnsi="Times New Roman" w:cs="Times New Roman"/>
                <w:sz w:val="20"/>
                <w:szCs w:val="20"/>
              </w:rPr>
              <w:t>Binary vector</w:t>
            </w:r>
          </w:p>
        </w:tc>
        <w:tc>
          <w:tcPr>
            <w:tcW w:w="708" w:type="pct"/>
            <w:tcBorders>
              <w:top w:val="single" w:sz="4" w:space="0" w:color="auto"/>
              <w:bottom w:val="single" w:sz="4" w:space="0" w:color="auto"/>
            </w:tcBorders>
          </w:tcPr>
          <w:p w14:paraId="5518E769" w14:textId="77777777" w:rsidR="000F03CD" w:rsidRPr="00301D6B" w:rsidRDefault="000F03CD" w:rsidP="00EA4338">
            <w:pPr>
              <w:pStyle w:val="ad"/>
              <w:spacing w:line="14" w:lineRule="auto"/>
              <w:rPr>
                <w:rFonts w:ascii="Times New Roman" w:hAnsi="Times New Roman" w:cs="Times New Roman"/>
                <w:sz w:val="20"/>
                <w:szCs w:val="20"/>
              </w:rPr>
            </w:pPr>
            <w:r w:rsidRPr="00301D6B">
              <w:rPr>
                <w:rFonts w:ascii="Times New Roman" w:hAnsi="Times New Roman" w:cs="Times New Roman"/>
                <w:sz w:val="20"/>
                <w:szCs w:val="20"/>
              </w:rPr>
              <w:t>Binary vector</w:t>
            </w:r>
          </w:p>
        </w:tc>
        <w:tc>
          <w:tcPr>
            <w:tcW w:w="523" w:type="pct"/>
            <w:tcBorders>
              <w:top w:val="single" w:sz="4" w:space="0" w:color="auto"/>
              <w:bottom w:val="single" w:sz="4" w:space="0" w:color="auto"/>
            </w:tcBorders>
          </w:tcPr>
          <w:p w14:paraId="37728E3F" w14:textId="77777777" w:rsidR="000F03CD" w:rsidRPr="00301D6B" w:rsidRDefault="000F03CD" w:rsidP="00EA4338">
            <w:pPr>
              <w:pStyle w:val="ad"/>
              <w:spacing w:line="14" w:lineRule="auto"/>
              <w:rPr>
                <w:rFonts w:ascii="Times New Roman" w:hAnsi="Times New Roman" w:cs="Times New Roman"/>
                <w:sz w:val="20"/>
                <w:szCs w:val="20"/>
              </w:rPr>
            </w:pPr>
            <w:r w:rsidRPr="00301D6B">
              <w:rPr>
                <w:rFonts w:ascii="Times New Roman" w:hAnsi="Times New Roman" w:cs="Times New Roman"/>
                <w:sz w:val="20"/>
                <w:szCs w:val="20"/>
              </w:rPr>
              <w:t>Pattern definitions</w:t>
            </w:r>
          </w:p>
        </w:tc>
      </w:tr>
      <w:tr w:rsidR="000F03CD" w:rsidRPr="00301D6B" w14:paraId="10D3754D" w14:textId="77777777" w:rsidTr="00EA4338">
        <w:tc>
          <w:tcPr>
            <w:tcW w:w="684" w:type="pct"/>
            <w:tcBorders>
              <w:top w:val="single" w:sz="4" w:space="0" w:color="auto"/>
              <w:bottom w:val="single" w:sz="4" w:space="0" w:color="auto"/>
            </w:tcBorders>
          </w:tcPr>
          <w:p w14:paraId="5060E198" w14:textId="77777777" w:rsidR="000F03CD" w:rsidRPr="00301D6B" w:rsidRDefault="000F03CD" w:rsidP="00EA4338">
            <w:pPr>
              <w:spacing w:line="14" w:lineRule="auto"/>
              <w:rPr>
                <w:rStyle w:val="notion-enable-hover"/>
                <w:rFonts w:ascii="Times New Roman" w:hAnsi="Times New Roman" w:cs="Times New Roman"/>
                <w:b/>
                <w:bCs/>
                <w:sz w:val="20"/>
                <w:szCs w:val="20"/>
              </w:rPr>
            </w:pPr>
            <w:r w:rsidRPr="00301D6B">
              <w:rPr>
                <w:rStyle w:val="notion-enable-hover"/>
                <w:rFonts w:ascii="Times New Roman" w:hAnsi="Times New Roman" w:cs="Times New Roman"/>
                <w:b/>
                <w:bCs/>
                <w:sz w:val="20"/>
                <w:szCs w:val="20"/>
              </w:rPr>
              <w:t>Advantages</w:t>
            </w:r>
          </w:p>
        </w:tc>
        <w:tc>
          <w:tcPr>
            <w:tcW w:w="617" w:type="pct"/>
            <w:tcBorders>
              <w:top w:val="single" w:sz="4" w:space="0" w:color="auto"/>
              <w:bottom w:val="single" w:sz="4" w:space="0" w:color="auto"/>
            </w:tcBorders>
          </w:tcPr>
          <w:p w14:paraId="2FBB5DAF" w14:textId="77777777" w:rsidR="000F03CD" w:rsidRPr="00301D6B" w:rsidRDefault="000F03CD" w:rsidP="00EA4338">
            <w:pPr>
              <w:pStyle w:val="ad"/>
              <w:spacing w:line="14" w:lineRule="auto"/>
              <w:rPr>
                <w:rStyle w:val="notion-enable-hover"/>
                <w:rFonts w:ascii="Times New Roman" w:hAnsi="Times New Roman" w:cs="Times New Roman"/>
                <w:sz w:val="20"/>
                <w:szCs w:val="20"/>
              </w:rPr>
            </w:pPr>
            <w:r w:rsidRPr="00301D6B">
              <w:rPr>
                <w:rFonts w:ascii="Times New Roman" w:hAnsi="Times New Roman" w:cs="Times New Roman"/>
                <w:sz w:val="20"/>
                <w:szCs w:val="20"/>
              </w:rPr>
              <w:t>Detailed, Stereochemistry</w:t>
            </w:r>
          </w:p>
        </w:tc>
        <w:tc>
          <w:tcPr>
            <w:tcW w:w="617" w:type="pct"/>
            <w:tcBorders>
              <w:top w:val="single" w:sz="4" w:space="0" w:color="auto"/>
              <w:bottom w:val="single" w:sz="4" w:space="0" w:color="auto"/>
            </w:tcBorders>
          </w:tcPr>
          <w:p w14:paraId="4205D7C5" w14:textId="77777777" w:rsidR="000F03CD" w:rsidRPr="00301D6B" w:rsidRDefault="000F03CD" w:rsidP="00EA4338">
            <w:pPr>
              <w:pStyle w:val="ad"/>
              <w:spacing w:line="14" w:lineRule="auto"/>
              <w:rPr>
                <w:rFonts w:ascii="Times New Roman" w:hAnsi="Times New Roman" w:cs="Times New Roman"/>
                <w:color w:val="000000"/>
                <w:sz w:val="20"/>
                <w:szCs w:val="20"/>
              </w:rPr>
            </w:pPr>
            <w:r w:rsidRPr="00301D6B">
              <w:rPr>
                <w:rFonts w:ascii="Times New Roman" w:hAnsi="Times New Roman" w:cs="Times New Roman"/>
                <w:sz w:val="20"/>
                <w:szCs w:val="20"/>
              </w:rPr>
              <w:t>functional groups-based</w:t>
            </w:r>
          </w:p>
        </w:tc>
        <w:tc>
          <w:tcPr>
            <w:tcW w:w="617" w:type="pct"/>
            <w:tcBorders>
              <w:top w:val="single" w:sz="4" w:space="0" w:color="auto"/>
              <w:bottom w:val="single" w:sz="4" w:space="0" w:color="auto"/>
            </w:tcBorders>
          </w:tcPr>
          <w:p w14:paraId="75336832" w14:textId="77777777" w:rsidR="000F03CD" w:rsidRPr="00301D6B" w:rsidRDefault="000F03CD" w:rsidP="00EA4338">
            <w:pPr>
              <w:pStyle w:val="ad"/>
              <w:spacing w:line="14" w:lineRule="auto"/>
              <w:rPr>
                <w:rFonts w:ascii="Times New Roman" w:hAnsi="Times New Roman" w:cs="Times New Roman"/>
                <w:sz w:val="20"/>
                <w:szCs w:val="20"/>
              </w:rPr>
            </w:pPr>
            <w:proofErr w:type="spellStart"/>
            <w:r w:rsidRPr="00301D6B">
              <w:rPr>
                <w:rFonts w:ascii="Times New Roman" w:hAnsi="Times New Roman" w:cs="Times New Roman"/>
                <w:sz w:val="20"/>
                <w:szCs w:val="20"/>
              </w:rPr>
              <w:t>Stansardized</w:t>
            </w:r>
            <w:proofErr w:type="spellEnd"/>
            <w:r w:rsidRPr="00301D6B">
              <w:rPr>
                <w:rFonts w:ascii="Times New Roman" w:hAnsi="Times New Roman" w:cs="Times New Roman"/>
                <w:sz w:val="20"/>
                <w:szCs w:val="20"/>
              </w:rPr>
              <w:t>, unique, Human-readable</w:t>
            </w:r>
          </w:p>
        </w:tc>
        <w:tc>
          <w:tcPr>
            <w:tcW w:w="617" w:type="pct"/>
            <w:tcBorders>
              <w:top w:val="single" w:sz="4" w:space="0" w:color="auto"/>
              <w:bottom w:val="single" w:sz="4" w:space="0" w:color="auto"/>
            </w:tcBorders>
          </w:tcPr>
          <w:p w14:paraId="503138E1" w14:textId="77777777" w:rsidR="000F03CD" w:rsidRPr="00301D6B" w:rsidRDefault="000F03CD" w:rsidP="00EA4338">
            <w:pPr>
              <w:pStyle w:val="ad"/>
              <w:spacing w:line="14" w:lineRule="auto"/>
              <w:rPr>
                <w:rFonts w:ascii="Times New Roman" w:hAnsi="Times New Roman" w:cs="Times New Roman"/>
                <w:sz w:val="20"/>
                <w:szCs w:val="20"/>
              </w:rPr>
            </w:pPr>
            <w:r w:rsidRPr="00301D6B">
              <w:rPr>
                <w:rFonts w:ascii="Times New Roman" w:hAnsi="Times New Roman" w:cs="Times New Roman"/>
                <w:sz w:val="20"/>
                <w:szCs w:val="20"/>
              </w:rPr>
              <w:t>Simple, fast</w:t>
            </w:r>
          </w:p>
        </w:tc>
        <w:tc>
          <w:tcPr>
            <w:tcW w:w="617" w:type="pct"/>
            <w:tcBorders>
              <w:top w:val="single" w:sz="4" w:space="0" w:color="auto"/>
              <w:bottom w:val="single" w:sz="4" w:space="0" w:color="auto"/>
            </w:tcBorders>
          </w:tcPr>
          <w:p w14:paraId="0B5FED2D" w14:textId="77777777" w:rsidR="000F03CD" w:rsidRPr="00301D6B" w:rsidRDefault="000F03CD" w:rsidP="00EA4338">
            <w:pPr>
              <w:pStyle w:val="ad"/>
              <w:spacing w:line="14" w:lineRule="auto"/>
              <w:rPr>
                <w:rFonts w:ascii="Times New Roman" w:hAnsi="Times New Roman" w:cs="Times New Roman"/>
                <w:sz w:val="20"/>
                <w:szCs w:val="20"/>
              </w:rPr>
            </w:pPr>
            <w:r w:rsidRPr="00301D6B">
              <w:rPr>
                <w:rFonts w:ascii="Times New Roman" w:hAnsi="Times New Roman" w:cs="Times New Roman"/>
                <w:sz w:val="20"/>
                <w:szCs w:val="20"/>
              </w:rPr>
              <w:t>Comprehensive and standardized</w:t>
            </w:r>
          </w:p>
        </w:tc>
        <w:tc>
          <w:tcPr>
            <w:tcW w:w="708" w:type="pct"/>
            <w:tcBorders>
              <w:top w:val="single" w:sz="4" w:space="0" w:color="auto"/>
              <w:bottom w:val="single" w:sz="4" w:space="0" w:color="auto"/>
            </w:tcBorders>
          </w:tcPr>
          <w:p w14:paraId="7A1A9E3A" w14:textId="77777777" w:rsidR="000F03CD" w:rsidRPr="00301D6B" w:rsidRDefault="000F03CD" w:rsidP="00EA4338">
            <w:pPr>
              <w:pStyle w:val="ad"/>
              <w:spacing w:line="14" w:lineRule="auto"/>
              <w:rPr>
                <w:rFonts w:ascii="Times New Roman" w:hAnsi="Times New Roman" w:cs="Times New Roman"/>
                <w:sz w:val="20"/>
                <w:szCs w:val="20"/>
              </w:rPr>
            </w:pPr>
            <w:r w:rsidRPr="00301D6B">
              <w:rPr>
                <w:rFonts w:ascii="Times New Roman" w:hAnsi="Times New Roman" w:cs="Times New Roman"/>
                <w:sz w:val="20"/>
                <w:szCs w:val="20"/>
              </w:rPr>
              <w:t>Speed, customization, compatibility, availability</w:t>
            </w:r>
          </w:p>
        </w:tc>
        <w:tc>
          <w:tcPr>
            <w:tcW w:w="523" w:type="pct"/>
            <w:tcBorders>
              <w:top w:val="single" w:sz="4" w:space="0" w:color="auto"/>
              <w:bottom w:val="single" w:sz="4" w:space="0" w:color="auto"/>
            </w:tcBorders>
          </w:tcPr>
          <w:p w14:paraId="6A3510D4" w14:textId="77777777" w:rsidR="000F03CD" w:rsidRPr="00301D6B" w:rsidRDefault="000F03CD" w:rsidP="00EA4338">
            <w:pPr>
              <w:pStyle w:val="ad"/>
              <w:spacing w:line="14" w:lineRule="auto"/>
              <w:rPr>
                <w:rFonts w:ascii="Times New Roman" w:hAnsi="Times New Roman" w:cs="Times New Roman"/>
                <w:sz w:val="20"/>
                <w:szCs w:val="20"/>
              </w:rPr>
            </w:pPr>
            <w:r w:rsidRPr="00301D6B">
              <w:rPr>
                <w:rFonts w:ascii="Times New Roman" w:hAnsi="Times New Roman" w:cs="Times New Roman"/>
                <w:sz w:val="20"/>
                <w:szCs w:val="20"/>
              </w:rPr>
              <w:t>Flexible, expressive</w:t>
            </w:r>
          </w:p>
        </w:tc>
      </w:tr>
      <w:tr w:rsidR="000F03CD" w:rsidRPr="00301D6B" w14:paraId="13F39863" w14:textId="77777777" w:rsidTr="00EA4338">
        <w:tc>
          <w:tcPr>
            <w:tcW w:w="684" w:type="pct"/>
            <w:tcBorders>
              <w:top w:val="single" w:sz="4" w:space="0" w:color="auto"/>
              <w:bottom w:val="single" w:sz="4" w:space="0" w:color="auto"/>
            </w:tcBorders>
          </w:tcPr>
          <w:p w14:paraId="1B47CE1C" w14:textId="77777777" w:rsidR="000F03CD" w:rsidRPr="00301D6B" w:rsidRDefault="000F03CD" w:rsidP="00EA4338">
            <w:pPr>
              <w:spacing w:line="14" w:lineRule="auto"/>
              <w:rPr>
                <w:rStyle w:val="notion-enable-hover"/>
                <w:rFonts w:ascii="Times New Roman" w:hAnsi="Times New Roman" w:cs="Times New Roman"/>
                <w:b/>
                <w:bCs/>
                <w:sz w:val="20"/>
                <w:szCs w:val="20"/>
              </w:rPr>
            </w:pPr>
            <w:r w:rsidRPr="00301D6B">
              <w:rPr>
                <w:rStyle w:val="notion-enable-hover"/>
                <w:rFonts w:ascii="Times New Roman" w:hAnsi="Times New Roman" w:cs="Times New Roman"/>
                <w:b/>
                <w:bCs/>
                <w:sz w:val="20"/>
                <w:szCs w:val="20"/>
              </w:rPr>
              <w:t>Limitation</w:t>
            </w:r>
          </w:p>
        </w:tc>
        <w:tc>
          <w:tcPr>
            <w:tcW w:w="617" w:type="pct"/>
            <w:tcBorders>
              <w:top w:val="single" w:sz="4" w:space="0" w:color="auto"/>
              <w:bottom w:val="single" w:sz="4" w:space="0" w:color="auto"/>
            </w:tcBorders>
          </w:tcPr>
          <w:p w14:paraId="2CBAD86C" w14:textId="77777777" w:rsidR="000F03CD" w:rsidRPr="00301D6B" w:rsidRDefault="000F03CD" w:rsidP="00EA4338">
            <w:pPr>
              <w:pStyle w:val="ad"/>
              <w:spacing w:line="14" w:lineRule="auto"/>
              <w:rPr>
                <w:rStyle w:val="notion-enable-hover"/>
                <w:rFonts w:ascii="Times New Roman" w:hAnsi="Times New Roman" w:cs="Times New Roman"/>
                <w:sz w:val="20"/>
                <w:szCs w:val="20"/>
              </w:rPr>
            </w:pPr>
            <w:r w:rsidRPr="00301D6B">
              <w:rPr>
                <w:rFonts w:ascii="Times New Roman" w:hAnsi="Times New Roman" w:cs="Times New Roman"/>
                <w:sz w:val="20"/>
                <w:szCs w:val="20"/>
              </w:rPr>
              <w:t>Computationally intensive</w:t>
            </w:r>
          </w:p>
        </w:tc>
        <w:tc>
          <w:tcPr>
            <w:tcW w:w="617" w:type="pct"/>
            <w:tcBorders>
              <w:top w:val="single" w:sz="4" w:space="0" w:color="auto"/>
              <w:bottom w:val="single" w:sz="4" w:space="0" w:color="auto"/>
            </w:tcBorders>
          </w:tcPr>
          <w:p w14:paraId="170D6F51" w14:textId="77777777" w:rsidR="000F03CD" w:rsidRPr="00301D6B" w:rsidRDefault="000F03CD" w:rsidP="00EA4338">
            <w:pPr>
              <w:pStyle w:val="ad"/>
              <w:spacing w:line="14" w:lineRule="auto"/>
              <w:rPr>
                <w:rFonts w:ascii="Times New Roman" w:hAnsi="Times New Roman" w:cs="Times New Roman"/>
                <w:color w:val="000000"/>
                <w:sz w:val="20"/>
                <w:szCs w:val="20"/>
              </w:rPr>
            </w:pPr>
            <w:r w:rsidRPr="00301D6B">
              <w:rPr>
                <w:rFonts w:ascii="Times New Roman" w:hAnsi="Times New Roman" w:cs="Times New Roman"/>
                <w:sz w:val="20"/>
                <w:szCs w:val="20"/>
              </w:rPr>
              <w:t>Reduced general applicability</w:t>
            </w:r>
          </w:p>
        </w:tc>
        <w:tc>
          <w:tcPr>
            <w:tcW w:w="617" w:type="pct"/>
            <w:tcBorders>
              <w:top w:val="single" w:sz="4" w:space="0" w:color="auto"/>
              <w:bottom w:val="single" w:sz="4" w:space="0" w:color="auto"/>
            </w:tcBorders>
          </w:tcPr>
          <w:p w14:paraId="79744639" w14:textId="77777777" w:rsidR="000F03CD" w:rsidRPr="00301D6B" w:rsidRDefault="000F03CD" w:rsidP="00EA4338">
            <w:pPr>
              <w:pStyle w:val="ad"/>
              <w:spacing w:line="14" w:lineRule="auto"/>
              <w:rPr>
                <w:rFonts w:ascii="Times New Roman" w:hAnsi="Times New Roman" w:cs="Times New Roman"/>
                <w:color w:val="000000"/>
                <w:sz w:val="20"/>
                <w:szCs w:val="20"/>
              </w:rPr>
            </w:pPr>
            <w:r w:rsidRPr="00301D6B">
              <w:rPr>
                <w:rFonts w:ascii="Times New Roman" w:hAnsi="Times New Roman" w:cs="Times New Roman"/>
                <w:sz w:val="20"/>
                <w:szCs w:val="20"/>
              </w:rPr>
              <w:t>Not for similarity searching</w:t>
            </w:r>
          </w:p>
        </w:tc>
        <w:tc>
          <w:tcPr>
            <w:tcW w:w="617" w:type="pct"/>
            <w:tcBorders>
              <w:top w:val="single" w:sz="4" w:space="0" w:color="auto"/>
              <w:bottom w:val="single" w:sz="4" w:space="0" w:color="auto"/>
            </w:tcBorders>
          </w:tcPr>
          <w:p w14:paraId="7CB6E3B4" w14:textId="77777777" w:rsidR="000F03CD" w:rsidRPr="00301D6B" w:rsidRDefault="000F03CD" w:rsidP="00EA4338">
            <w:pPr>
              <w:pStyle w:val="ad"/>
              <w:spacing w:line="14" w:lineRule="auto"/>
              <w:rPr>
                <w:rFonts w:ascii="Times New Roman" w:hAnsi="Times New Roman" w:cs="Times New Roman"/>
                <w:sz w:val="20"/>
                <w:szCs w:val="20"/>
              </w:rPr>
            </w:pPr>
            <w:r w:rsidRPr="00301D6B">
              <w:rPr>
                <w:rFonts w:ascii="Times New Roman" w:hAnsi="Times New Roman" w:cs="Times New Roman"/>
                <w:sz w:val="20"/>
                <w:szCs w:val="20"/>
              </w:rPr>
              <w:t>Predefined set</w:t>
            </w:r>
          </w:p>
        </w:tc>
        <w:tc>
          <w:tcPr>
            <w:tcW w:w="617" w:type="pct"/>
            <w:tcBorders>
              <w:top w:val="single" w:sz="4" w:space="0" w:color="auto"/>
              <w:bottom w:val="single" w:sz="4" w:space="0" w:color="auto"/>
            </w:tcBorders>
          </w:tcPr>
          <w:p w14:paraId="0F4A58EB" w14:textId="77777777" w:rsidR="000F03CD" w:rsidRPr="00301D6B" w:rsidRDefault="000F03CD" w:rsidP="00EA4338">
            <w:pPr>
              <w:pStyle w:val="ad"/>
              <w:spacing w:line="14" w:lineRule="auto"/>
              <w:rPr>
                <w:rFonts w:ascii="Times New Roman" w:hAnsi="Times New Roman" w:cs="Times New Roman"/>
                <w:sz w:val="20"/>
                <w:szCs w:val="20"/>
              </w:rPr>
            </w:pPr>
            <w:r w:rsidRPr="00301D6B">
              <w:rPr>
                <w:rFonts w:ascii="Times New Roman" w:hAnsi="Times New Roman" w:cs="Times New Roman"/>
                <w:sz w:val="20"/>
                <w:szCs w:val="20"/>
              </w:rPr>
              <w:t>Predefined set</w:t>
            </w:r>
          </w:p>
        </w:tc>
        <w:tc>
          <w:tcPr>
            <w:tcW w:w="708" w:type="pct"/>
            <w:tcBorders>
              <w:top w:val="single" w:sz="4" w:space="0" w:color="auto"/>
              <w:bottom w:val="single" w:sz="4" w:space="0" w:color="auto"/>
            </w:tcBorders>
          </w:tcPr>
          <w:p w14:paraId="3241F1D5" w14:textId="77777777" w:rsidR="000F03CD" w:rsidRPr="00301D6B" w:rsidRDefault="000F03CD" w:rsidP="00EA4338">
            <w:pPr>
              <w:pStyle w:val="ad"/>
              <w:spacing w:line="14" w:lineRule="auto"/>
              <w:rPr>
                <w:rFonts w:ascii="Times New Roman" w:hAnsi="Times New Roman" w:cs="Times New Roman"/>
                <w:sz w:val="20"/>
                <w:szCs w:val="20"/>
              </w:rPr>
            </w:pPr>
            <w:proofErr w:type="spellStart"/>
            <w:r w:rsidRPr="00301D6B">
              <w:rPr>
                <w:rFonts w:ascii="Times New Roman" w:hAnsi="Times New Roman" w:cs="Times New Roman"/>
                <w:sz w:val="20"/>
                <w:szCs w:val="20"/>
              </w:rPr>
              <w:t>Informaiton</w:t>
            </w:r>
            <w:proofErr w:type="spellEnd"/>
            <w:r w:rsidRPr="00301D6B">
              <w:rPr>
                <w:rFonts w:ascii="Times New Roman" w:hAnsi="Times New Roman" w:cs="Times New Roman"/>
                <w:sz w:val="20"/>
                <w:szCs w:val="20"/>
              </w:rPr>
              <w:t xml:space="preserve"> loss, bias of substructure, interpretability</w:t>
            </w:r>
          </w:p>
        </w:tc>
        <w:tc>
          <w:tcPr>
            <w:tcW w:w="523" w:type="pct"/>
            <w:tcBorders>
              <w:top w:val="single" w:sz="4" w:space="0" w:color="auto"/>
              <w:bottom w:val="single" w:sz="4" w:space="0" w:color="auto"/>
            </w:tcBorders>
          </w:tcPr>
          <w:p w14:paraId="26E756A4" w14:textId="77777777" w:rsidR="000F03CD" w:rsidRPr="00301D6B" w:rsidRDefault="000F03CD" w:rsidP="00EA4338">
            <w:pPr>
              <w:pStyle w:val="ad"/>
              <w:spacing w:line="14" w:lineRule="auto"/>
              <w:rPr>
                <w:rFonts w:ascii="Times New Roman" w:hAnsi="Times New Roman" w:cs="Times New Roman"/>
                <w:sz w:val="20"/>
                <w:szCs w:val="20"/>
              </w:rPr>
            </w:pPr>
            <w:r w:rsidRPr="00301D6B">
              <w:rPr>
                <w:rFonts w:ascii="Times New Roman" w:hAnsi="Times New Roman" w:cs="Times New Roman"/>
                <w:sz w:val="20"/>
                <w:szCs w:val="20"/>
              </w:rPr>
              <w:t>Expert knowledge needed</w:t>
            </w:r>
          </w:p>
        </w:tc>
      </w:tr>
      <w:tr w:rsidR="000F03CD" w:rsidRPr="00301D6B" w14:paraId="0304C8D3" w14:textId="77777777" w:rsidTr="00EA4338">
        <w:trPr>
          <w:trHeight w:val="109"/>
        </w:trPr>
        <w:tc>
          <w:tcPr>
            <w:tcW w:w="684" w:type="pct"/>
            <w:tcBorders>
              <w:top w:val="single" w:sz="4" w:space="0" w:color="auto"/>
              <w:bottom w:val="single" w:sz="4" w:space="0" w:color="auto"/>
            </w:tcBorders>
          </w:tcPr>
          <w:p w14:paraId="0329DA65" w14:textId="77777777" w:rsidR="000F03CD" w:rsidRPr="00301D6B" w:rsidRDefault="000F03CD" w:rsidP="00EA4338">
            <w:pPr>
              <w:spacing w:line="14" w:lineRule="auto"/>
              <w:rPr>
                <w:rStyle w:val="notion-enable-hover"/>
                <w:rFonts w:ascii="Times New Roman" w:hAnsi="Times New Roman" w:cs="Times New Roman"/>
                <w:b/>
                <w:bCs/>
                <w:sz w:val="20"/>
                <w:szCs w:val="20"/>
              </w:rPr>
            </w:pPr>
            <w:r w:rsidRPr="00301D6B">
              <w:rPr>
                <w:rStyle w:val="notion-enable-hover"/>
                <w:rFonts w:ascii="Times New Roman" w:hAnsi="Times New Roman" w:cs="Times New Roman"/>
                <w:b/>
                <w:bCs/>
                <w:sz w:val="20"/>
                <w:szCs w:val="20"/>
              </w:rPr>
              <w:lastRenderedPageBreak/>
              <w:t>Example</w:t>
            </w:r>
          </w:p>
          <w:p w14:paraId="77AC12A7" w14:textId="77777777" w:rsidR="000F03CD" w:rsidRPr="00301D6B" w:rsidRDefault="000F03CD" w:rsidP="00EA4338">
            <w:pPr>
              <w:spacing w:line="14" w:lineRule="auto"/>
              <w:rPr>
                <w:rStyle w:val="notion-enable-hover"/>
                <w:rFonts w:ascii="Times New Roman" w:hAnsi="Times New Roman" w:cs="Times New Roman"/>
                <w:b/>
                <w:bCs/>
                <w:sz w:val="20"/>
                <w:szCs w:val="20"/>
              </w:rPr>
            </w:pPr>
            <w:r w:rsidRPr="00301D6B">
              <w:rPr>
                <w:rStyle w:val="notion-enable-hover"/>
                <w:rFonts w:ascii="Times New Roman" w:hAnsi="Times New Roman" w:cs="Times New Roman"/>
                <w:b/>
                <w:bCs/>
                <w:sz w:val="20"/>
                <w:szCs w:val="20"/>
              </w:rPr>
              <w:t>(Aspirin)</w:t>
            </w:r>
          </w:p>
        </w:tc>
        <w:tc>
          <w:tcPr>
            <w:tcW w:w="617" w:type="pct"/>
            <w:tcBorders>
              <w:top w:val="single" w:sz="4" w:space="0" w:color="auto"/>
              <w:bottom w:val="single" w:sz="4" w:space="0" w:color="auto"/>
            </w:tcBorders>
          </w:tcPr>
          <w:p w14:paraId="1F549931" w14:textId="77777777" w:rsidR="000F03CD" w:rsidRPr="00301D6B" w:rsidRDefault="000F03CD" w:rsidP="00EA4338">
            <w:pPr>
              <w:spacing w:line="14" w:lineRule="auto"/>
              <w:rPr>
                <w:rFonts w:ascii="Times New Roman" w:hAnsi="Times New Roman" w:cs="Times New Roman"/>
                <w:color w:val="212121"/>
                <w:sz w:val="20"/>
                <w:szCs w:val="20"/>
                <w:shd w:val="clear" w:color="auto" w:fill="FFFFFF"/>
              </w:rPr>
            </w:pPr>
            <w:r w:rsidRPr="00301D6B">
              <w:rPr>
                <w:rFonts w:ascii="Times New Roman" w:hAnsi="Times New Roman" w:cs="Times New Roman"/>
                <w:color w:val="212121"/>
                <w:sz w:val="20"/>
                <w:szCs w:val="20"/>
                <w:shd w:val="clear" w:color="auto" w:fill="FFFFFF"/>
              </w:rPr>
              <w:t>[0, 0, 0, 0, 0, 0, 0, 0, 0, 0, 0, 0…0,0,0]</w:t>
            </w:r>
          </w:p>
          <w:p w14:paraId="0B85B543" w14:textId="77777777" w:rsidR="000F03CD" w:rsidRPr="00301D6B" w:rsidRDefault="000F03CD" w:rsidP="00EA4338">
            <w:pPr>
              <w:spacing w:line="14" w:lineRule="auto"/>
              <w:rPr>
                <w:rFonts w:ascii="Times New Roman" w:hAnsi="Times New Roman" w:cs="Times New Roman"/>
                <w:color w:val="212121"/>
                <w:sz w:val="20"/>
                <w:szCs w:val="20"/>
                <w:shd w:val="clear" w:color="auto" w:fill="FFFFFF"/>
              </w:rPr>
            </w:pPr>
            <w:r w:rsidRPr="00301D6B">
              <w:rPr>
                <w:rFonts w:ascii="Times New Roman" w:hAnsi="Times New Roman" w:cs="Times New Roman"/>
                <w:color w:val="212121"/>
                <w:sz w:val="20"/>
                <w:szCs w:val="20"/>
                <w:shd w:val="clear" w:color="auto" w:fill="FFFFFF"/>
              </w:rPr>
              <w:t>Size:2048 bits</w:t>
            </w:r>
          </w:p>
          <w:p w14:paraId="23877141" w14:textId="77777777" w:rsidR="000F03CD" w:rsidRPr="00301D6B" w:rsidRDefault="000F03CD" w:rsidP="00EA4338">
            <w:pPr>
              <w:spacing w:line="14" w:lineRule="auto"/>
              <w:rPr>
                <w:rStyle w:val="notion-enable-hover"/>
                <w:rFonts w:ascii="Times New Roman" w:hAnsi="Times New Roman" w:cs="Times New Roman"/>
                <w:b/>
                <w:bCs/>
                <w:sz w:val="20"/>
                <w:szCs w:val="20"/>
              </w:rPr>
            </w:pPr>
            <w:r w:rsidRPr="00301D6B">
              <w:rPr>
                <w:rFonts w:ascii="Times New Roman" w:hAnsi="Times New Roman" w:cs="Times New Roman"/>
                <w:color w:val="212121"/>
                <w:sz w:val="20"/>
                <w:szCs w:val="20"/>
                <w:shd w:val="clear" w:color="auto" w:fill="FFFFFF"/>
              </w:rPr>
              <w:t>Radius:2</w:t>
            </w:r>
          </w:p>
        </w:tc>
        <w:tc>
          <w:tcPr>
            <w:tcW w:w="617" w:type="pct"/>
            <w:tcBorders>
              <w:top w:val="single" w:sz="4" w:space="0" w:color="auto"/>
              <w:bottom w:val="single" w:sz="4" w:space="0" w:color="auto"/>
            </w:tcBorders>
          </w:tcPr>
          <w:p w14:paraId="1E10A102" w14:textId="77777777" w:rsidR="000F03CD" w:rsidRPr="00301D6B" w:rsidRDefault="000F03CD" w:rsidP="00EA4338">
            <w:pPr>
              <w:spacing w:line="14" w:lineRule="auto"/>
              <w:rPr>
                <w:rFonts w:ascii="Times New Roman" w:hAnsi="Times New Roman" w:cs="Times New Roman"/>
                <w:color w:val="212121"/>
                <w:sz w:val="20"/>
                <w:szCs w:val="20"/>
                <w:shd w:val="clear" w:color="auto" w:fill="FFFFFF"/>
              </w:rPr>
            </w:pPr>
            <w:r w:rsidRPr="00301D6B">
              <w:rPr>
                <w:rFonts w:ascii="Times New Roman" w:hAnsi="Times New Roman" w:cs="Times New Roman"/>
                <w:color w:val="212121"/>
                <w:sz w:val="20"/>
                <w:szCs w:val="20"/>
                <w:shd w:val="clear" w:color="auto" w:fill="FFFFFF"/>
              </w:rPr>
              <w:t>[1, 1, 1, 0, 1, 0, 0…,1, 0, 0, 0, 0, 0, 0, 0]</w:t>
            </w:r>
          </w:p>
          <w:p w14:paraId="7EFD8DC2" w14:textId="77777777" w:rsidR="000F03CD" w:rsidRPr="00301D6B" w:rsidRDefault="000F03CD" w:rsidP="00EA4338">
            <w:pPr>
              <w:spacing w:line="14" w:lineRule="auto"/>
              <w:rPr>
                <w:rFonts w:ascii="Times New Roman" w:hAnsi="Times New Roman" w:cs="Times New Roman"/>
                <w:color w:val="212121"/>
                <w:sz w:val="20"/>
                <w:szCs w:val="20"/>
                <w:shd w:val="clear" w:color="auto" w:fill="FFFFFF"/>
              </w:rPr>
            </w:pPr>
            <w:r w:rsidRPr="00301D6B">
              <w:rPr>
                <w:rFonts w:ascii="Times New Roman" w:hAnsi="Times New Roman" w:cs="Times New Roman"/>
                <w:color w:val="212121"/>
                <w:sz w:val="20"/>
                <w:szCs w:val="20"/>
                <w:shd w:val="clear" w:color="auto" w:fill="FFFFFF"/>
              </w:rPr>
              <w:t>Size:2048 bits</w:t>
            </w:r>
          </w:p>
          <w:p w14:paraId="603448FB" w14:textId="77777777" w:rsidR="000F03CD" w:rsidRPr="00301D6B" w:rsidRDefault="000F03CD" w:rsidP="00EA4338">
            <w:pPr>
              <w:spacing w:line="14" w:lineRule="auto"/>
              <w:rPr>
                <w:rFonts w:ascii="Times New Roman" w:hAnsi="Times New Roman" w:cs="Times New Roman"/>
                <w:b/>
                <w:bCs/>
                <w:color w:val="000000"/>
                <w:sz w:val="20"/>
                <w:szCs w:val="20"/>
              </w:rPr>
            </w:pPr>
            <w:r w:rsidRPr="00301D6B">
              <w:rPr>
                <w:rFonts w:ascii="Times New Roman" w:hAnsi="Times New Roman" w:cs="Times New Roman"/>
                <w:color w:val="212121"/>
                <w:sz w:val="20"/>
                <w:szCs w:val="20"/>
                <w:shd w:val="clear" w:color="auto" w:fill="FFFFFF"/>
              </w:rPr>
              <w:t>Radius:2</w:t>
            </w:r>
          </w:p>
        </w:tc>
        <w:tc>
          <w:tcPr>
            <w:tcW w:w="617" w:type="pct"/>
            <w:tcBorders>
              <w:top w:val="single" w:sz="4" w:space="0" w:color="auto"/>
              <w:bottom w:val="single" w:sz="4" w:space="0" w:color="auto"/>
            </w:tcBorders>
          </w:tcPr>
          <w:p w14:paraId="50E0A89D" w14:textId="77777777" w:rsidR="000F03CD" w:rsidRPr="00301D6B" w:rsidRDefault="000F03CD" w:rsidP="00EA4338">
            <w:pPr>
              <w:spacing w:line="14" w:lineRule="auto"/>
              <w:rPr>
                <w:rFonts w:ascii="Times New Roman" w:hAnsi="Times New Roman" w:cs="Times New Roman"/>
                <w:b/>
                <w:bCs/>
                <w:color w:val="000000"/>
                <w:sz w:val="20"/>
                <w:szCs w:val="20"/>
              </w:rPr>
            </w:pPr>
            <w:r w:rsidRPr="00301D6B">
              <w:rPr>
                <w:rFonts w:ascii="Times New Roman" w:hAnsi="Times New Roman" w:cs="Times New Roman"/>
                <w:color w:val="212121"/>
                <w:sz w:val="20"/>
                <w:szCs w:val="20"/>
                <w:shd w:val="clear" w:color="auto" w:fill="FFFFFF"/>
              </w:rPr>
              <w:t>InChI=1S/C9H8O4/c1-6(10)13-8-5-3-2-4-7(8)9(11)12/h2-5H,1H3, (H,11,12)</w:t>
            </w:r>
          </w:p>
        </w:tc>
        <w:tc>
          <w:tcPr>
            <w:tcW w:w="617" w:type="pct"/>
            <w:tcBorders>
              <w:top w:val="single" w:sz="4" w:space="0" w:color="auto"/>
              <w:bottom w:val="single" w:sz="4" w:space="0" w:color="auto"/>
            </w:tcBorders>
          </w:tcPr>
          <w:p w14:paraId="55B16A4C" w14:textId="77777777" w:rsidR="000F03CD" w:rsidRPr="00301D6B" w:rsidRDefault="000F03CD" w:rsidP="00EA4338">
            <w:pPr>
              <w:autoSpaceDE w:val="0"/>
              <w:autoSpaceDN w:val="0"/>
              <w:adjustRightInd w:val="0"/>
              <w:spacing w:line="14" w:lineRule="auto"/>
              <w:rPr>
                <w:rFonts w:ascii="Times New Roman" w:hAnsi="Times New Roman" w:cs="Times New Roman"/>
                <w:sz w:val="20"/>
                <w:szCs w:val="20"/>
              </w:rPr>
            </w:pPr>
            <w:r w:rsidRPr="00301D6B">
              <w:rPr>
                <w:rFonts w:ascii="Times New Roman" w:hAnsi="Times New Roman" w:cs="Times New Roman"/>
                <w:sz w:val="20"/>
                <w:szCs w:val="20"/>
              </w:rPr>
              <w:t>[0, 0, 0, 0…,1, 0, 1, 1, 1, 1, 0]</w:t>
            </w:r>
          </w:p>
          <w:p w14:paraId="1247C898" w14:textId="77777777" w:rsidR="000F03CD" w:rsidRPr="00301D6B" w:rsidRDefault="000F03CD" w:rsidP="00EA4338">
            <w:pPr>
              <w:autoSpaceDE w:val="0"/>
              <w:autoSpaceDN w:val="0"/>
              <w:adjustRightInd w:val="0"/>
              <w:spacing w:line="14" w:lineRule="auto"/>
              <w:rPr>
                <w:rFonts w:ascii="Times New Roman" w:hAnsi="Times New Roman" w:cs="Times New Roman"/>
                <w:sz w:val="20"/>
                <w:szCs w:val="20"/>
              </w:rPr>
            </w:pPr>
            <w:r w:rsidRPr="00301D6B">
              <w:rPr>
                <w:rFonts w:ascii="Times New Roman" w:hAnsi="Times New Roman" w:cs="Times New Roman"/>
                <w:sz w:val="20"/>
                <w:szCs w:val="20"/>
              </w:rPr>
              <w:t xml:space="preserve">Type: </w:t>
            </w:r>
            <w:proofErr w:type="spellStart"/>
            <w:r w:rsidRPr="00301D6B">
              <w:rPr>
                <w:rFonts w:ascii="Times New Roman" w:hAnsi="Times New Roman" w:cs="Times New Roman"/>
                <w:sz w:val="20"/>
                <w:szCs w:val="20"/>
              </w:rPr>
              <w:t>MACCSKeyBits</w:t>
            </w:r>
            <w:proofErr w:type="spellEnd"/>
          </w:p>
          <w:p w14:paraId="66E720AB" w14:textId="77777777" w:rsidR="000F03CD" w:rsidRPr="00301D6B" w:rsidRDefault="000F03CD" w:rsidP="00EA4338">
            <w:pPr>
              <w:spacing w:line="14" w:lineRule="auto"/>
              <w:rPr>
                <w:rFonts w:ascii="Times New Roman" w:hAnsi="Times New Roman" w:cs="Times New Roman"/>
                <w:color w:val="212121"/>
                <w:sz w:val="20"/>
                <w:szCs w:val="20"/>
                <w:shd w:val="clear" w:color="auto" w:fill="FFFFFF"/>
              </w:rPr>
            </w:pPr>
            <w:r w:rsidRPr="00301D6B">
              <w:rPr>
                <w:rFonts w:ascii="Times New Roman" w:hAnsi="Times New Roman" w:cs="Times New Roman"/>
                <w:sz w:val="20"/>
                <w:szCs w:val="20"/>
              </w:rPr>
              <w:t>Size: 167</w:t>
            </w:r>
          </w:p>
        </w:tc>
        <w:tc>
          <w:tcPr>
            <w:tcW w:w="617" w:type="pct"/>
            <w:tcBorders>
              <w:top w:val="single" w:sz="4" w:space="0" w:color="auto"/>
              <w:bottom w:val="single" w:sz="4" w:space="0" w:color="auto"/>
            </w:tcBorders>
          </w:tcPr>
          <w:p w14:paraId="4BDD3BD4" w14:textId="77777777" w:rsidR="000F03CD" w:rsidRPr="00301D6B" w:rsidRDefault="000F03CD" w:rsidP="00EA4338">
            <w:pPr>
              <w:autoSpaceDE w:val="0"/>
              <w:autoSpaceDN w:val="0"/>
              <w:adjustRightInd w:val="0"/>
              <w:spacing w:line="14" w:lineRule="auto"/>
              <w:rPr>
                <w:rFonts w:ascii="Times New Roman" w:hAnsi="Times New Roman" w:cs="Times New Roman"/>
                <w:color w:val="212121"/>
                <w:sz w:val="20"/>
                <w:szCs w:val="20"/>
                <w:shd w:val="clear" w:color="auto" w:fill="FFFFFF"/>
              </w:rPr>
            </w:pPr>
            <w:r w:rsidRPr="00301D6B">
              <w:rPr>
                <w:rFonts w:ascii="Times New Roman" w:hAnsi="Times New Roman" w:cs="Times New Roman"/>
                <w:color w:val="212121"/>
                <w:sz w:val="20"/>
                <w:szCs w:val="20"/>
                <w:shd w:val="clear" w:color="auto" w:fill="FFFFFF"/>
              </w:rPr>
              <w:t>[0, 0, 0, 0, 0…, 0, 0, 0, 0, 0]</w:t>
            </w:r>
          </w:p>
          <w:p w14:paraId="014D0996" w14:textId="77777777" w:rsidR="000F03CD" w:rsidRPr="00301D6B" w:rsidRDefault="000F03CD" w:rsidP="00EA4338">
            <w:pPr>
              <w:autoSpaceDE w:val="0"/>
              <w:autoSpaceDN w:val="0"/>
              <w:adjustRightInd w:val="0"/>
              <w:spacing w:line="14" w:lineRule="auto"/>
              <w:rPr>
                <w:rFonts w:ascii="Times New Roman" w:hAnsi="Times New Roman" w:cs="Times New Roman"/>
                <w:b/>
                <w:bCs/>
                <w:color w:val="000000"/>
                <w:sz w:val="20"/>
                <w:szCs w:val="20"/>
              </w:rPr>
            </w:pPr>
            <w:r w:rsidRPr="00301D6B">
              <w:rPr>
                <w:rFonts w:ascii="Times New Roman" w:hAnsi="Times New Roman" w:cs="Times New Roman"/>
                <w:color w:val="212121"/>
                <w:sz w:val="20"/>
                <w:szCs w:val="20"/>
                <w:shd w:val="clear" w:color="auto" w:fill="FFFFFF"/>
              </w:rPr>
              <w:t>Size:881bits</w:t>
            </w:r>
          </w:p>
        </w:tc>
        <w:tc>
          <w:tcPr>
            <w:tcW w:w="708" w:type="pct"/>
            <w:tcBorders>
              <w:top w:val="single" w:sz="4" w:space="0" w:color="auto"/>
              <w:bottom w:val="single" w:sz="4" w:space="0" w:color="auto"/>
            </w:tcBorders>
          </w:tcPr>
          <w:p w14:paraId="0375839B" w14:textId="77777777" w:rsidR="000F03CD" w:rsidRPr="00301D6B" w:rsidRDefault="000F03CD" w:rsidP="00EA4338">
            <w:pPr>
              <w:autoSpaceDE w:val="0"/>
              <w:autoSpaceDN w:val="0"/>
              <w:adjustRightInd w:val="0"/>
              <w:spacing w:line="14" w:lineRule="auto"/>
              <w:rPr>
                <w:rFonts w:ascii="Times New Roman" w:hAnsi="Times New Roman" w:cs="Times New Roman"/>
                <w:sz w:val="20"/>
                <w:szCs w:val="20"/>
              </w:rPr>
            </w:pPr>
            <w:r w:rsidRPr="00301D6B">
              <w:rPr>
                <w:rFonts w:ascii="Times New Roman" w:hAnsi="Times New Roman" w:cs="Times New Roman"/>
                <w:b/>
                <w:bCs/>
                <w:color w:val="000000"/>
                <w:sz w:val="20"/>
                <w:szCs w:val="20"/>
              </w:rPr>
              <w:t>[</w:t>
            </w:r>
            <w:r w:rsidRPr="00301D6B">
              <w:rPr>
                <w:rFonts w:ascii="Times New Roman" w:hAnsi="Times New Roman" w:cs="Times New Roman"/>
                <w:color w:val="212121"/>
                <w:sz w:val="20"/>
                <w:szCs w:val="20"/>
                <w:shd w:val="clear" w:color="auto" w:fill="FFFFFF"/>
              </w:rPr>
              <w:t>0,0,0,0,0…,0,0,0]</w:t>
            </w:r>
          </w:p>
        </w:tc>
        <w:tc>
          <w:tcPr>
            <w:tcW w:w="523" w:type="pct"/>
            <w:tcBorders>
              <w:top w:val="single" w:sz="4" w:space="0" w:color="auto"/>
              <w:bottom w:val="single" w:sz="4" w:space="0" w:color="auto"/>
            </w:tcBorders>
          </w:tcPr>
          <w:p w14:paraId="4E46890E" w14:textId="77777777" w:rsidR="000F03CD" w:rsidRPr="00301D6B" w:rsidRDefault="000F03CD" w:rsidP="00EA4338">
            <w:pPr>
              <w:autoSpaceDE w:val="0"/>
              <w:autoSpaceDN w:val="0"/>
              <w:adjustRightInd w:val="0"/>
              <w:spacing w:line="14" w:lineRule="auto"/>
              <w:rPr>
                <w:rFonts w:ascii="Times New Roman" w:hAnsi="Times New Roman" w:cs="Times New Roman"/>
                <w:sz w:val="20"/>
                <w:szCs w:val="20"/>
              </w:rPr>
            </w:pPr>
            <w:r w:rsidRPr="00301D6B">
              <w:rPr>
                <w:rFonts w:ascii="Times New Roman" w:hAnsi="Times New Roman" w:cs="Times New Roman"/>
                <w:color w:val="212121"/>
                <w:sz w:val="20"/>
                <w:szCs w:val="20"/>
                <w:shd w:val="clear" w:color="auto" w:fill="FFFFFF"/>
              </w:rPr>
              <w:t>[#6]</w:t>
            </w:r>
            <w:proofErr w:type="gramStart"/>
            <w:r w:rsidRPr="00301D6B">
              <w:rPr>
                <w:rFonts w:ascii="Times New Roman" w:hAnsi="Times New Roman" w:cs="Times New Roman"/>
                <w:color w:val="212121"/>
                <w:sz w:val="20"/>
                <w:szCs w:val="20"/>
                <w:shd w:val="clear" w:color="auto" w:fill="FFFFFF"/>
              </w:rPr>
              <w:t>-[</w:t>
            </w:r>
            <w:proofErr w:type="gramEnd"/>
            <w:r w:rsidRPr="00301D6B">
              <w:rPr>
                <w:rFonts w:ascii="Times New Roman" w:hAnsi="Times New Roman" w:cs="Times New Roman"/>
                <w:color w:val="212121"/>
                <w:sz w:val="20"/>
                <w:szCs w:val="20"/>
                <w:shd w:val="clear" w:color="auto" w:fill="FFFFFF"/>
              </w:rPr>
              <w:t>#</w:t>
            </w:r>
            <w:proofErr w:type="gramStart"/>
            <w:r w:rsidRPr="00301D6B">
              <w:rPr>
                <w:rFonts w:ascii="Times New Roman" w:hAnsi="Times New Roman" w:cs="Times New Roman"/>
                <w:color w:val="212121"/>
                <w:sz w:val="20"/>
                <w:szCs w:val="20"/>
                <w:shd w:val="clear" w:color="auto" w:fill="FFFFFF"/>
              </w:rPr>
              <w:t>6](=[</w:t>
            </w:r>
            <w:proofErr w:type="gramEnd"/>
            <w:r w:rsidRPr="00301D6B">
              <w:rPr>
                <w:rFonts w:ascii="Times New Roman" w:hAnsi="Times New Roman" w:cs="Times New Roman"/>
                <w:color w:val="212121"/>
                <w:sz w:val="20"/>
                <w:szCs w:val="20"/>
                <w:shd w:val="clear" w:color="auto" w:fill="FFFFFF"/>
              </w:rPr>
              <w:t>#8])</w:t>
            </w:r>
            <w:proofErr w:type="gramStart"/>
            <w:r w:rsidRPr="00301D6B">
              <w:rPr>
                <w:rFonts w:ascii="Times New Roman" w:hAnsi="Times New Roman" w:cs="Times New Roman"/>
                <w:color w:val="212121"/>
                <w:sz w:val="20"/>
                <w:szCs w:val="20"/>
                <w:shd w:val="clear" w:color="auto" w:fill="FFFFFF"/>
              </w:rPr>
              <w:t>-[</w:t>
            </w:r>
            <w:proofErr w:type="gramEnd"/>
            <w:r w:rsidRPr="00301D6B">
              <w:rPr>
                <w:rFonts w:ascii="Times New Roman" w:hAnsi="Times New Roman" w:cs="Times New Roman"/>
                <w:color w:val="212121"/>
                <w:sz w:val="20"/>
                <w:szCs w:val="20"/>
                <w:shd w:val="clear" w:color="auto" w:fill="FFFFFF"/>
              </w:rPr>
              <w:t>#8]</w:t>
            </w:r>
            <w:proofErr w:type="gramStart"/>
            <w:r w:rsidRPr="00301D6B">
              <w:rPr>
                <w:rFonts w:ascii="Times New Roman" w:hAnsi="Times New Roman" w:cs="Times New Roman"/>
                <w:color w:val="212121"/>
                <w:sz w:val="20"/>
                <w:szCs w:val="20"/>
                <w:shd w:val="clear" w:color="auto" w:fill="FFFFFF"/>
              </w:rPr>
              <w:t>-[</w:t>
            </w:r>
            <w:proofErr w:type="gramEnd"/>
            <w:r w:rsidRPr="00301D6B">
              <w:rPr>
                <w:rFonts w:ascii="Times New Roman" w:hAnsi="Times New Roman" w:cs="Times New Roman"/>
                <w:color w:val="212121"/>
                <w:sz w:val="20"/>
                <w:szCs w:val="20"/>
                <w:shd w:val="clear" w:color="auto" w:fill="FFFFFF"/>
              </w:rPr>
              <w:t>#6]</w:t>
            </w:r>
            <w:proofErr w:type="gramStart"/>
            <w:r w:rsidRPr="00301D6B">
              <w:rPr>
                <w:rFonts w:ascii="Times New Roman" w:hAnsi="Times New Roman" w:cs="Times New Roman"/>
                <w:color w:val="212121"/>
                <w:sz w:val="20"/>
                <w:szCs w:val="20"/>
                <w:shd w:val="clear" w:color="auto" w:fill="FFFFFF"/>
              </w:rPr>
              <w:t>1:[</w:t>
            </w:r>
            <w:proofErr w:type="gramEnd"/>
            <w:r w:rsidRPr="00301D6B">
              <w:rPr>
                <w:rFonts w:ascii="Times New Roman" w:hAnsi="Times New Roman" w:cs="Times New Roman"/>
                <w:color w:val="212121"/>
                <w:sz w:val="20"/>
                <w:szCs w:val="20"/>
                <w:shd w:val="clear" w:color="auto" w:fill="FFFFFF"/>
              </w:rPr>
              <w:t>#6</w:t>
            </w:r>
            <w:proofErr w:type="gramStart"/>
            <w:r w:rsidRPr="00301D6B">
              <w:rPr>
                <w:rFonts w:ascii="Times New Roman" w:hAnsi="Times New Roman" w:cs="Times New Roman"/>
                <w:color w:val="212121"/>
                <w:sz w:val="20"/>
                <w:szCs w:val="20"/>
                <w:shd w:val="clear" w:color="auto" w:fill="FFFFFF"/>
              </w:rPr>
              <w:t>]:[</w:t>
            </w:r>
            <w:proofErr w:type="gramEnd"/>
            <w:r w:rsidRPr="00301D6B">
              <w:rPr>
                <w:rFonts w:ascii="Times New Roman" w:hAnsi="Times New Roman" w:cs="Times New Roman"/>
                <w:color w:val="212121"/>
                <w:sz w:val="20"/>
                <w:szCs w:val="20"/>
                <w:shd w:val="clear" w:color="auto" w:fill="FFFFFF"/>
              </w:rPr>
              <w:t>#6</w:t>
            </w:r>
            <w:proofErr w:type="gramStart"/>
            <w:r w:rsidRPr="00301D6B">
              <w:rPr>
                <w:rFonts w:ascii="Times New Roman" w:hAnsi="Times New Roman" w:cs="Times New Roman"/>
                <w:color w:val="212121"/>
                <w:sz w:val="20"/>
                <w:szCs w:val="20"/>
                <w:shd w:val="clear" w:color="auto" w:fill="FFFFFF"/>
              </w:rPr>
              <w:t>]:[</w:t>
            </w:r>
            <w:proofErr w:type="gramEnd"/>
            <w:r w:rsidRPr="00301D6B">
              <w:rPr>
                <w:rFonts w:ascii="Times New Roman" w:hAnsi="Times New Roman" w:cs="Times New Roman"/>
                <w:color w:val="212121"/>
                <w:sz w:val="20"/>
                <w:szCs w:val="20"/>
                <w:shd w:val="clear" w:color="auto" w:fill="FFFFFF"/>
              </w:rPr>
              <w:t>#6</w:t>
            </w:r>
            <w:proofErr w:type="gramStart"/>
            <w:r w:rsidRPr="00301D6B">
              <w:rPr>
                <w:rFonts w:ascii="Times New Roman" w:hAnsi="Times New Roman" w:cs="Times New Roman"/>
                <w:color w:val="212121"/>
                <w:sz w:val="20"/>
                <w:szCs w:val="20"/>
                <w:shd w:val="clear" w:color="auto" w:fill="FFFFFF"/>
              </w:rPr>
              <w:t>]:[</w:t>
            </w:r>
            <w:proofErr w:type="gramEnd"/>
            <w:r w:rsidRPr="00301D6B">
              <w:rPr>
                <w:rFonts w:ascii="Times New Roman" w:hAnsi="Times New Roman" w:cs="Times New Roman"/>
                <w:color w:val="212121"/>
                <w:sz w:val="20"/>
                <w:szCs w:val="20"/>
                <w:shd w:val="clear" w:color="auto" w:fill="FFFFFF"/>
              </w:rPr>
              <w:t>#6</w:t>
            </w:r>
            <w:proofErr w:type="gramStart"/>
            <w:r w:rsidRPr="00301D6B">
              <w:rPr>
                <w:rFonts w:ascii="Times New Roman" w:hAnsi="Times New Roman" w:cs="Times New Roman"/>
                <w:color w:val="212121"/>
                <w:sz w:val="20"/>
                <w:szCs w:val="20"/>
                <w:shd w:val="clear" w:color="auto" w:fill="FFFFFF"/>
              </w:rPr>
              <w:t>]:[</w:t>
            </w:r>
            <w:proofErr w:type="gramEnd"/>
            <w:r w:rsidRPr="00301D6B">
              <w:rPr>
                <w:rFonts w:ascii="Times New Roman" w:hAnsi="Times New Roman" w:cs="Times New Roman"/>
                <w:color w:val="212121"/>
                <w:sz w:val="20"/>
                <w:szCs w:val="20"/>
                <w:shd w:val="clear" w:color="auto" w:fill="FFFFFF"/>
              </w:rPr>
              <w:t>#6]:1</w:t>
            </w:r>
            <w:proofErr w:type="gramStart"/>
            <w:r w:rsidRPr="00301D6B">
              <w:rPr>
                <w:rFonts w:ascii="Times New Roman" w:hAnsi="Times New Roman" w:cs="Times New Roman"/>
                <w:color w:val="212121"/>
                <w:sz w:val="20"/>
                <w:szCs w:val="20"/>
                <w:shd w:val="clear" w:color="auto" w:fill="FFFFFF"/>
              </w:rPr>
              <w:t>-[</w:t>
            </w:r>
            <w:proofErr w:type="gramEnd"/>
            <w:r w:rsidRPr="00301D6B">
              <w:rPr>
                <w:rFonts w:ascii="Times New Roman" w:hAnsi="Times New Roman" w:cs="Times New Roman"/>
                <w:color w:val="212121"/>
                <w:sz w:val="20"/>
                <w:szCs w:val="20"/>
                <w:shd w:val="clear" w:color="auto" w:fill="FFFFFF"/>
              </w:rPr>
              <w:t>#</w:t>
            </w:r>
            <w:proofErr w:type="gramStart"/>
            <w:r w:rsidRPr="00301D6B">
              <w:rPr>
                <w:rFonts w:ascii="Times New Roman" w:hAnsi="Times New Roman" w:cs="Times New Roman"/>
                <w:color w:val="212121"/>
                <w:sz w:val="20"/>
                <w:szCs w:val="20"/>
                <w:shd w:val="clear" w:color="auto" w:fill="FFFFFF"/>
              </w:rPr>
              <w:t>6](=[</w:t>
            </w:r>
            <w:proofErr w:type="gramEnd"/>
            <w:r w:rsidRPr="00301D6B">
              <w:rPr>
                <w:rFonts w:ascii="Times New Roman" w:hAnsi="Times New Roman" w:cs="Times New Roman"/>
                <w:color w:val="212121"/>
                <w:sz w:val="20"/>
                <w:szCs w:val="20"/>
                <w:shd w:val="clear" w:color="auto" w:fill="FFFFFF"/>
              </w:rPr>
              <w:t>#8])</w:t>
            </w:r>
            <w:proofErr w:type="gramStart"/>
            <w:r w:rsidRPr="00301D6B">
              <w:rPr>
                <w:rFonts w:ascii="Times New Roman" w:hAnsi="Times New Roman" w:cs="Times New Roman"/>
                <w:color w:val="212121"/>
                <w:sz w:val="20"/>
                <w:szCs w:val="20"/>
                <w:shd w:val="clear" w:color="auto" w:fill="FFFFFF"/>
              </w:rPr>
              <w:t>-[</w:t>
            </w:r>
            <w:proofErr w:type="gramEnd"/>
            <w:r w:rsidRPr="00301D6B">
              <w:rPr>
                <w:rFonts w:ascii="Times New Roman" w:hAnsi="Times New Roman" w:cs="Times New Roman"/>
                <w:color w:val="212121"/>
                <w:sz w:val="20"/>
                <w:szCs w:val="20"/>
                <w:shd w:val="clear" w:color="auto" w:fill="FFFFFF"/>
              </w:rPr>
              <w:t>#8]</w:t>
            </w:r>
          </w:p>
        </w:tc>
      </w:tr>
    </w:tbl>
    <w:p w14:paraId="228671B1" w14:textId="77777777" w:rsidR="00411C9C" w:rsidRDefault="00411C9C" w:rsidP="008A2C2A">
      <w:pPr>
        <w:autoSpaceDE w:val="0"/>
        <w:autoSpaceDN w:val="0"/>
        <w:adjustRightInd w:val="0"/>
        <w:rPr>
          <w:rFonts w:ascii="Times New Roman" w:eastAsia="標楷體" w:hAnsi="Times New Roman" w:cs="Times New Roman"/>
          <w:color w:val="000000"/>
        </w:rPr>
      </w:pPr>
    </w:p>
    <w:p w14:paraId="5DC5601F" w14:textId="4A42E0DC" w:rsidR="003C6999" w:rsidRDefault="003C6999" w:rsidP="003C6999">
      <w:pPr>
        <w:autoSpaceDE w:val="0"/>
        <w:autoSpaceDN w:val="0"/>
        <w:adjustRightInd w:val="0"/>
        <w:rPr>
          <w:rFonts w:ascii="Times New Roman" w:eastAsia="標楷體" w:hAnsi="Times New Roman" w:cs="Times New Roman"/>
          <w:b/>
          <w:bCs/>
          <w:color w:val="000000"/>
          <w:sz w:val="32"/>
          <w:szCs w:val="32"/>
        </w:rPr>
      </w:pPr>
      <w:r>
        <w:rPr>
          <w:rFonts w:ascii="Times New Roman" w:eastAsia="標楷體" w:hAnsi="Times New Roman" w:cs="Times New Roman"/>
          <w:b/>
          <w:bCs/>
          <w:color w:val="000000"/>
          <w:sz w:val="32"/>
          <w:szCs w:val="32"/>
        </w:rPr>
        <w:t>Figure</w:t>
      </w:r>
    </w:p>
    <w:p w14:paraId="452A3AEB" w14:textId="335155AE" w:rsidR="00A203F3" w:rsidRPr="009B4136" w:rsidRDefault="00A203F3" w:rsidP="003C6999">
      <w:pPr>
        <w:autoSpaceDE w:val="0"/>
        <w:autoSpaceDN w:val="0"/>
        <w:adjustRightInd w:val="0"/>
        <w:rPr>
          <w:rFonts w:ascii="Times New Roman" w:eastAsia="標楷體" w:hAnsi="Times New Roman" w:cs="Times New Roman"/>
          <w:b/>
          <w:bCs/>
          <w:color w:val="000000"/>
          <w:sz w:val="32"/>
          <w:szCs w:val="32"/>
        </w:rPr>
      </w:pPr>
      <w:r>
        <w:rPr>
          <w:rFonts w:ascii="Times New Roman" w:eastAsia="標楷體" w:hAnsi="Times New Roman" w:cs="Times New Roman"/>
          <w:b/>
          <w:bCs/>
          <w:noProof/>
          <w:color w:val="000000"/>
          <w:sz w:val="32"/>
          <w:szCs w:val="32"/>
        </w:rPr>
        <w:drawing>
          <wp:inline distT="0" distB="0" distL="0" distR="0" wp14:anchorId="5250D205" wp14:editId="723FE956">
            <wp:extent cx="6644295" cy="5680363"/>
            <wp:effectExtent l="0" t="0" r="0" b="0"/>
            <wp:docPr id="58191875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918755" name="圖片 581918755"/>
                    <pic:cNvPicPr/>
                  </pic:nvPicPr>
                  <pic:blipFill rotWithShape="1">
                    <a:blip r:embed="rId8" cstate="print">
                      <a:extLst>
                        <a:ext uri="{28A0092B-C50C-407E-A947-70E740481C1C}">
                          <a14:useLocalDpi xmlns:a14="http://schemas.microsoft.com/office/drawing/2010/main" val="0"/>
                        </a:ext>
                      </a:extLst>
                    </a:blip>
                    <a:srcRect t="6180" b="34634"/>
                    <a:stretch>
                      <a:fillRect/>
                    </a:stretch>
                  </pic:blipFill>
                  <pic:spPr bwMode="auto">
                    <a:xfrm>
                      <a:off x="0" y="0"/>
                      <a:ext cx="6645910" cy="5681744"/>
                    </a:xfrm>
                    <a:prstGeom prst="rect">
                      <a:avLst/>
                    </a:prstGeom>
                    <a:ln>
                      <a:noFill/>
                    </a:ln>
                    <a:extLst>
                      <a:ext uri="{53640926-AAD7-44D8-BBD7-CCE9431645EC}">
                        <a14:shadowObscured xmlns:a14="http://schemas.microsoft.com/office/drawing/2010/main"/>
                      </a:ext>
                    </a:extLst>
                  </pic:spPr>
                </pic:pic>
              </a:graphicData>
            </a:graphic>
          </wp:inline>
        </w:drawing>
      </w:r>
    </w:p>
    <w:p w14:paraId="3137D6BE" w14:textId="634FE746" w:rsidR="00771498" w:rsidRPr="00284269" w:rsidRDefault="00771498" w:rsidP="00771498">
      <w:pPr>
        <w:pStyle w:val="a9"/>
        <w:jc w:val="both"/>
        <w:rPr>
          <w:rFonts w:eastAsia="標楷體"/>
          <w:color w:val="000000"/>
          <w:kern w:val="0"/>
          <w:sz w:val="24"/>
          <w:szCs w:val="24"/>
        </w:rPr>
      </w:pPr>
      <w:r w:rsidRPr="00535C9C">
        <w:rPr>
          <w:b/>
          <w:bCs/>
          <w:sz w:val="24"/>
          <w:szCs w:val="24"/>
        </w:rPr>
        <w:t>Figur</w:t>
      </w:r>
      <w:r>
        <w:rPr>
          <w:b/>
          <w:bCs/>
          <w:sz w:val="24"/>
          <w:szCs w:val="24"/>
        </w:rPr>
        <w:t xml:space="preserve">e </w:t>
      </w:r>
      <w:r w:rsidR="005D179E">
        <w:rPr>
          <w:b/>
          <w:bCs/>
          <w:sz w:val="24"/>
          <w:szCs w:val="24"/>
        </w:rPr>
        <w:t>S1</w:t>
      </w:r>
      <w:r>
        <w:rPr>
          <w:b/>
          <w:bCs/>
          <w:sz w:val="24"/>
          <w:szCs w:val="24"/>
        </w:rPr>
        <w:t>.</w:t>
      </w:r>
      <w:r w:rsidRPr="00535C9C">
        <w:rPr>
          <w:b/>
          <w:bCs/>
          <w:sz w:val="24"/>
          <w:szCs w:val="24"/>
        </w:rPr>
        <w:t xml:space="preserve"> </w:t>
      </w:r>
      <w:r w:rsidRPr="00535C9C">
        <w:rPr>
          <w:rFonts w:eastAsia="標楷體"/>
          <w:b/>
          <w:bCs/>
          <w:color w:val="000000"/>
          <w:kern w:val="0"/>
          <w:sz w:val="24"/>
          <w:szCs w:val="24"/>
        </w:rPr>
        <w:t xml:space="preserve">Bar plots of </w:t>
      </w:r>
      <w:r>
        <w:rPr>
          <w:rFonts w:eastAsia="標楷體"/>
          <w:b/>
          <w:bCs/>
          <w:color w:val="000000"/>
          <w:kern w:val="0"/>
          <w:sz w:val="24"/>
          <w:szCs w:val="24"/>
        </w:rPr>
        <w:t>five-fold cross-</w:t>
      </w:r>
      <w:proofErr w:type="spellStart"/>
      <w:r>
        <w:rPr>
          <w:rFonts w:eastAsia="標楷體"/>
          <w:b/>
          <w:bCs/>
          <w:color w:val="000000"/>
          <w:kern w:val="0"/>
          <w:sz w:val="24"/>
          <w:szCs w:val="24"/>
        </w:rPr>
        <w:t>validaiton</w:t>
      </w:r>
      <w:proofErr w:type="spellEnd"/>
      <w:r>
        <w:rPr>
          <w:rFonts w:eastAsia="標楷體"/>
          <w:b/>
          <w:bCs/>
          <w:color w:val="000000"/>
          <w:kern w:val="0"/>
          <w:sz w:val="24"/>
          <w:szCs w:val="24"/>
        </w:rPr>
        <w:t xml:space="preserve"> results of </w:t>
      </w:r>
      <w:r w:rsidRPr="00535C9C">
        <w:rPr>
          <w:rFonts w:eastAsia="標楷體"/>
          <w:b/>
          <w:bCs/>
          <w:color w:val="000000"/>
          <w:kern w:val="0"/>
          <w:sz w:val="24"/>
          <w:szCs w:val="24"/>
        </w:rPr>
        <w:t xml:space="preserve">AUC scores showing the ranking of fingerprint methods based on the performance of the MLP </w:t>
      </w:r>
      <w:r>
        <w:rPr>
          <w:rFonts w:eastAsia="標楷體"/>
          <w:b/>
          <w:bCs/>
          <w:color w:val="000000"/>
          <w:kern w:val="0"/>
          <w:sz w:val="24"/>
          <w:szCs w:val="24"/>
        </w:rPr>
        <w:t xml:space="preserve">and MLP+TL </w:t>
      </w:r>
      <w:r w:rsidRPr="00535C9C">
        <w:rPr>
          <w:rFonts w:eastAsia="標楷體"/>
          <w:b/>
          <w:bCs/>
          <w:color w:val="000000"/>
          <w:kern w:val="0"/>
          <w:sz w:val="24"/>
          <w:szCs w:val="24"/>
        </w:rPr>
        <w:t>model</w:t>
      </w:r>
      <w:r>
        <w:rPr>
          <w:rFonts w:eastAsia="標楷體"/>
          <w:b/>
          <w:bCs/>
          <w:color w:val="000000"/>
          <w:kern w:val="0"/>
          <w:sz w:val="24"/>
          <w:szCs w:val="24"/>
        </w:rPr>
        <w:t>s</w:t>
      </w:r>
      <w:r w:rsidRPr="00535C9C">
        <w:rPr>
          <w:rFonts w:eastAsia="標楷體"/>
          <w:b/>
          <w:bCs/>
          <w:color w:val="000000"/>
          <w:kern w:val="0"/>
          <w:sz w:val="24"/>
          <w:szCs w:val="24"/>
        </w:rPr>
        <w:t xml:space="preserve"> across different datasets</w:t>
      </w:r>
      <w:r>
        <w:rPr>
          <w:rFonts w:eastAsia="標楷體"/>
          <w:color w:val="000000"/>
          <w:kern w:val="0"/>
          <w:sz w:val="24"/>
          <w:szCs w:val="24"/>
        </w:rPr>
        <w:t>: (a) BACE, (b)</w:t>
      </w:r>
      <w:r>
        <w:rPr>
          <w:rFonts w:eastAsia="標楷體" w:hint="eastAsia"/>
          <w:color w:val="000000"/>
          <w:kern w:val="0"/>
          <w:sz w:val="24"/>
          <w:szCs w:val="24"/>
        </w:rPr>
        <w:t xml:space="preserve"> </w:t>
      </w:r>
      <w:r>
        <w:rPr>
          <w:rFonts w:eastAsia="標楷體"/>
          <w:color w:val="000000"/>
          <w:kern w:val="0"/>
          <w:sz w:val="24"/>
          <w:szCs w:val="24"/>
        </w:rPr>
        <w:t>BBBP, (c)</w:t>
      </w:r>
      <w:r>
        <w:rPr>
          <w:rFonts w:eastAsia="標楷體" w:hint="eastAsia"/>
          <w:color w:val="000000"/>
          <w:kern w:val="0"/>
          <w:sz w:val="24"/>
          <w:szCs w:val="24"/>
        </w:rPr>
        <w:t xml:space="preserve"> </w:t>
      </w:r>
      <w:proofErr w:type="spellStart"/>
      <w:r>
        <w:rPr>
          <w:rFonts w:eastAsia="標楷體"/>
          <w:color w:val="000000"/>
          <w:kern w:val="0"/>
          <w:sz w:val="24"/>
          <w:szCs w:val="24"/>
        </w:rPr>
        <w:t>ClinTox</w:t>
      </w:r>
      <w:proofErr w:type="spellEnd"/>
      <w:r>
        <w:rPr>
          <w:rFonts w:eastAsia="標楷體"/>
          <w:color w:val="000000"/>
          <w:kern w:val="0"/>
          <w:sz w:val="24"/>
          <w:szCs w:val="24"/>
        </w:rPr>
        <w:t>, (d)</w:t>
      </w:r>
      <w:r>
        <w:rPr>
          <w:rFonts w:eastAsia="標楷體" w:hint="eastAsia"/>
          <w:color w:val="000000"/>
          <w:kern w:val="0"/>
          <w:sz w:val="24"/>
          <w:szCs w:val="24"/>
        </w:rPr>
        <w:t xml:space="preserve"> </w:t>
      </w:r>
      <w:r>
        <w:rPr>
          <w:rFonts w:eastAsia="標楷體"/>
          <w:color w:val="000000"/>
          <w:kern w:val="0"/>
          <w:sz w:val="24"/>
          <w:szCs w:val="24"/>
        </w:rPr>
        <w:t>ESOL, (e)</w:t>
      </w:r>
      <w:r>
        <w:rPr>
          <w:rFonts w:eastAsia="標楷體" w:hint="eastAsia"/>
          <w:color w:val="000000"/>
          <w:kern w:val="0"/>
          <w:sz w:val="24"/>
          <w:szCs w:val="24"/>
        </w:rPr>
        <w:t xml:space="preserve"> </w:t>
      </w:r>
      <w:r>
        <w:rPr>
          <w:rFonts w:eastAsia="標楷體"/>
          <w:color w:val="000000"/>
          <w:kern w:val="0"/>
          <w:sz w:val="24"/>
          <w:szCs w:val="24"/>
        </w:rPr>
        <w:t>MUTAG, (f)</w:t>
      </w:r>
      <w:r>
        <w:rPr>
          <w:rFonts w:eastAsia="標楷體" w:hint="eastAsia"/>
          <w:color w:val="000000"/>
          <w:kern w:val="0"/>
          <w:sz w:val="24"/>
          <w:szCs w:val="24"/>
        </w:rPr>
        <w:t xml:space="preserve"> </w:t>
      </w:r>
      <w:r>
        <w:rPr>
          <w:rFonts w:eastAsia="標楷體"/>
          <w:color w:val="000000"/>
          <w:kern w:val="0"/>
          <w:sz w:val="24"/>
          <w:szCs w:val="24"/>
        </w:rPr>
        <w:t>SIDER, (g)</w:t>
      </w:r>
      <w:r>
        <w:rPr>
          <w:rFonts w:eastAsia="標楷體" w:hint="eastAsia"/>
          <w:color w:val="000000"/>
          <w:kern w:val="0"/>
          <w:sz w:val="24"/>
          <w:szCs w:val="24"/>
        </w:rPr>
        <w:t xml:space="preserve"> </w:t>
      </w:r>
      <w:proofErr w:type="spellStart"/>
      <w:r>
        <w:rPr>
          <w:rFonts w:eastAsia="標楷體"/>
          <w:color w:val="000000"/>
          <w:kern w:val="0"/>
          <w:sz w:val="24"/>
          <w:szCs w:val="24"/>
        </w:rPr>
        <w:t>ToxCast</w:t>
      </w:r>
      <w:proofErr w:type="spellEnd"/>
      <w:r>
        <w:rPr>
          <w:rFonts w:eastAsia="標楷體"/>
          <w:color w:val="000000"/>
          <w:kern w:val="0"/>
          <w:sz w:val="24"/>
          <w:szCs w:val="24"/>
        </w:rPr>
        <w:t>.</w:t>
      </w:r>
      <w:r>
        <w:rPr>
          <w:rFonts w:eastAsia="標楷體" w:hint="eastAsia"/>
          <w:color w:val="000000"/>
          <w:kern w:val="0"/>
          <w:sz w:val="24"/>
          <w:szCs w:val="24"/>
        </w:rPr>
        <w:t xml:space="preserve"> </w:t>
      </w:r>
    </w:p>
    <w:p w14:paraId="2ABA5189" w14:textId="3CC8D4D1" w:rsidR="003C6999" w:rsidRPr="00771498" w:rsidRDefault="00A203F3" w:rsidP="00874DEB">
      <w:pPr>
        <w:tabs>
          <w:tab w:val="left" w:pos="1701"/>
          <w:tab w:val="left" w:pos="3828"/>
          <w:tab w:val="left" w:pos="4111"/>
          <w:tab w:val="left" w:pos="4395"/>
        </w:tabs>
        <w:autoSpaceDE w:val="0"/>
        <w:autoSpaceDN w:val="0"/>
        <w:adjustRightInd w:val="0"/>
        <w:jc w:val="both"/>
        <w:rPr>
          <w:rFonts w:ascii="Times New Roman" w:eastAsia="標楷體" w:hAnsi="Times New Roman" w:cs="Times New Roman"/>
          <w:color w:val="000000"/>
        </w:rPr>
      </w:pPr>
      <w:r>
        <w:rPr>
          <w:rFonts w:ascii="Times New Roman" w:eastAsia="標楷體" w:hAnsi="Times New Roman" w:cs="Times New Roman"/>
          <w:noProof/>
          <w:color w:val="000000"/>
        </w:rPr>
        <w:lastRenderedPageBreak/>
        <w:drawing>
          <wp:inline distT="0" distB="0" distL="0" distR="0" wp14:anchorId="7F9923EC" wp14:editId="645028F3">
            <wp:extent cx="6645201" cy="4262120"/>
            <wp:effectExtent l="0" t="0" r="0" b="5080"/>
            <wp:docPr id="79655345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553452" name="圖片 796553452"/>
                    <pic:cNvPicPr/>
                  </pic:nvPicPr>
                  <pic:blipFill rotWithShape="1">
                    <a:blip r:embed="rId9" cstate="print">
                      <a:extLst>
                        <a:ext uri="{28A0092B-C50C-407E-A947-70E740481C1C}">
                          <a14:useLocalDpi xmlns:a14="http://schemas.microsoft.com/office/drawing/2010/main" val="0"/>
                        </a:ext>
                      </a:extLst>
                    </a:blip>
                    <a:srcRect t="6145" b="49453"/>
                    <a:stretch>
                      <a:fillRect/>
                    </a:stretch>
                  </pic:blipFill>
                  <pic:spPr bwMode="auto">
                    <a:xfrm>
                      <a:off x="0" y="0"/>
                      <a:ext cx="6645910" cy="4262575"/>
                    </a:xfrm>
                    <a:prstGeom prst="rect">
                      <a:avLst/>
                    </a:prstGeom>
                    <a:ln>
                      <a:noFill/>
                    </a:ln>
                    <a:extLst>
                      <a:ext uri="{53640926-AAD7-44D8-BBD7-CCE9431645EC}">
                        <a14:shadowObscured xmlns:a14="http://schemas.microsoft.com/office/drawing/2010/main"/>
                      </a:ext>
                    </a:extLst>
                  </pic:spPr>
                </pic:pic>
              </a:graphicData>
            </a:graphic>
          </wp:inline>
        </w:drawing>
      </w:r>
    </w:p>
    <w:p w14:paraId="1CBDCAAF" w14:textId="6540F6E8" w:rsidR="00874DEB" w:rsidRPr="00DF5EC9" w:rsidRDefault="00874DEB" w:rsidP="00874DEB">
      <w:pPr>
        <w:pStyle w:val="a9"/>
        <w:jc w:val="both"/>
        <w:rPr>
          <w:rFonts w:eastAsia="標楷體"/>
          <w:color w:val="000000"/>
          <w:sz w:val="24"/>
          <w:szCs w:val="24"/>
        </w:rPr>
      </w:pPr>
      <w:r w:rsidRPr="00DF5EC9">
        <w:rPr>
          <w:b/>
          <w:bCs/>
          <w:sz w:val="24"/>
          <w:szCs w:val="24"/>
        </w:rPr>
        <w:t xml:space="preserve">Figure </w:t>
      </w:r>
      <w:r w:rsidR="005D179E" w:rsidRPr="00DF5EC9">
        <w:rPr>
          <w:b/>
          <w:bCs/>
          <w:sz w:val="24"/>
          <w:szCs w:val="24"/>
        </w:rPr>
        <w:t>S</w:t>
      </w:r>
      <w:r w:rsidR="005D179E">
        <w:rPr>
          <w:b/>
          <w:bCs/>
          <w:sz w:val="24"/>
          <w:szCs w:val="24"/>
        </w:rPr>
        <w:t>2</w:t>
      </w:r>
      <w:r w:rsidRPr="00DF5EC9">
        <w:rPr>
          <w:b/>
          <w:bCs/>
          <w:sz w:val="24"/>
          <w:szCs w:val="24"/>
        </w:rPr>
        <w:t xml:space="preserve">. The performance comparison of MLP and MLP+TL model on BACE dataset. </w:t>
      </w:r>
      <w:r w:rsidRPr="00DF5EC9">
        <w:rPr>
          <w:sz w:val="24"/>
          <w:szCs w:val="24"/>
        </w:rPr>
        <w:t xml:space="preserve">We use Wilcoxon rank-sum test to indicate the difference between </w:t>
      </w:r>
      <w:r>
        <w:rPr>
          <w:sz w:val="24"/>
          <w:szCs w:val="24"/>
        </w:rPr>
        <w:t>two</w:t>
      </w:r>
      <w:r w:rsidRPr="00DF5EC9">
        <w:rPr>
          <w:sz w:val="24"/>
          <w:szCs w:val="24"/>
        </w:rPr>
        <w:t xml:space="preserve"> model</w:t>
      </w:r>
      <w:r>
        <w:rPr>
          <w:sz w:val="24"/>
          <w:szCs w:val="24"/>
        </w:rPr>
        <w:t>s</w:t>
      </w:r>
      <w:r w:rsidRPr="00DF5EC9">
        <w:rPr>
          <w:sz w:val="24"/>
          <w:szCs w:val="24"/>
        </w:rPr>
        <w:t xml:space="preserve">. </w:t>
      </w:r>
      <w:r w:rsidRPr="00646790">
        <w:rPr>
          <w:rFonts w:eastAsia="標楷體"/>
          <w:color w:val="000000"/>
          <w:sz w:val="24"/>
          <w:szCs w:val="24"/>
        </w:rPr>
        <w:t>Across five metrics,</w:t>
      </w:r>
      <w:r w:rsidRPr="00291722">
        <w:rPr>
          <w:rFonts w:eastAsia="標楷體"/>
          <w:color w:val="000000"/>
          <w:sz w:val="24"/>
          <w:szCs w:val="24"/>
        </w:rPr>
        <w:t xml:space="preserve"> significant differences were observed for </w:t>
      </w:r>
      <w:r>
        <w:rPr>
          <w:rFonts w:eastAsia="標楷體"/>
          <w:color w:val="000000"/>
          <w:sz w:val="24"/>
          <w:szCs w:val="24"/>
        </w:rPr>
        <w:t>PubChem</w:t>
      </w:r>
      <w:r w:rsidRPr="00291722">
        <w:rPr>
          <w:rFonts w:eastAsia="標楷體"/>
          <w:color w:val="000000"/>
          <w:sz w:val="24"/>
          <w:szCs w:val="24"/>
        </w:rPr>
        <w:t>-based models in</w:t>
      </w:r>
      <w:r w:rsidRPr="00DF5EC9">
        <w:rPr>
          <w:sz w:val="24"/>
          <w:szCs w:val="24"/>
        </w:rPr>
        <w:t xml:space="preserve"> (a)</w:t>
      </w:r>
      <w:r>
        <w:rPr>
          <w:sz w:val="24"/>
          <w:szCs w:val="24"/>
        </w:rPr>
        <w:t xml:space="preserve"> </w:t>
      </w:r>
      <w:r w:rsidRPr="00DF5EC9">
        <w:rPr>
          <w:sz w:val="24"/>
          <w:szCs w:val="24"/>
        </w:rPr>
        <w:t>AUC, (b)</w:t>
      </w:r>
      <w:r>
        <w:rPr>
          <w:sz w:val="24"/>
          <w:szCs w:val="24"/>
        </w:rPr>
        <w:t xml:space="preserve"> </w:t>
      </w:r>
      <w:r w:rsidRPr="00DF5EC9">
        <w:rPr>
          <w:sz w:val="24"/>
          <w:szCs w:val="24"/>
        </w:rPr>
        <w:t>F1</w:t>
      </w:r>
      <w:r>
        <w:rPr>
          <w:sz w:val="24"/>
          <w:szCs w:val="24"/>
        </w:rPr>
        <w:t xml:space="preserve">, </w:t>
      </w:r>
      <w:r w:rsidRPr="00DF5EC9">
        <w:rPr>
          <w:sz w:val="24"/>
          <w:szCs w:val="24"/>
        </w:rPr>
        <w:t>(d)</w:t>
      </w:r>
      <w:r>
        <w:rPr>
          <w:sz w:val="24"/>
          <w:szCs w:val="24"/>
        </w:rPr>
        <w:t xml:space="preserve"> </w:t>
      </w:r>
      <w:r w:rsidRPr="00DF5EC9">
        <w:rPr>
          <w:sz w:val="24"/>
          <w:szCs w:val="24"/>
        </w:rPr>
        <w:t xml:space="preserve">Precision (e) Accuracy. </w:t>
      </w:r>
      <w:r w:rsidRPr="00291722">
        <w:rPr>
          <w:rFonts w:eastAsia="標楷體"/>
          <w:color w:val="000000"/>
          <w:sz w:val="24"/>
          <w:szCs w:val="24"/>
        </w:rPr>
        <w:t>In contrast,</w:t>
      </w:r>
      <w:r w:rsidRPr="00DF5EC9">
        <w:rPr>
          <w:rFonts w:eastAsia="標楷體"/>
          <w:color w:val="000000"/>
          <w:sz w:val="24"/>
          <w:szCs w:val="24"/>
        </w:rPr>
        <w:t xml:space="preserve"> </w:t>
      </w:r>
      <w:r w:rsidRPr="00291722">
        <w:rPr>
          <w:rFonts w:eastAsia="標楷體"/>
          <w:color w:val="000000"/>
          <w:sz w:val="24"/>
          <w:szCs w:val="24"/>
        </w:rPr>
        <w:t xml:space="preserve">significant differences were </w:t>
      </w:r>
      <w:r>
        <w:rPr>
          <w:rFonts w:eastAsia="標楷體"/>
          <w:color w:val="000000"/>
          <w:sz w:val="24"/>
          <w:szCs w:val="24"/>
        </w:rPr>
        <w:t xml:space="preserve">only </w:t>
      </w:r>
      <w:r w:rsidRPr="00291722">
        <w:rPr>
          <w:rFonts w:eastAsia="標楷體"/>
          <w:color w:val="000000"/>
          <w:sz w:val="24"/>
          <w:szCs w:val="24"/>
        </w:rPr>
        <w:t>observed for</w:t>
      </w:r>
      <w:r>
        <w:rPr>
          <w:rFonts w:eastAsia="標楷體"/>
          <w:color w:val="000000"/>
          <w:sz w:val="24"/>
          <w:szCs w:val="24"/>
        </w:rPr>
        <w:t xml:space="preserve"> FCFP-based model in</w:t>
      </w:r>
      <w:r w:rsidRPr="00DF5EC9">
        <w:rPr>
          <w:sz w:val="24"/>
          <w:szCs w:val="24"/>
        </w:rPr>
        <w:t xml:space="preserve"> (c)</w:t>
      </w:r>
      <w:r>
        <w:rPr>
          <w:sz w:val="24"/>
          <w:szCs w:val="24"/>
        </w:rPr>
        <w:t xml:space="preserve"> </w:t>
      </w:r>
      <w:r w:rsidRPr="00DF5EC9">
        <w:rPr>
          <w:sz w:val="24"/>
          <w:szCs w:val="24"/>
        </w:rPr>
        <w:t>Recall</w:t>
      </w:r>
      <w:r>
        <w:rPr>
          <w:sz w:val="24"/>
          <w:szCs w:val="24"/>
        </w:rPr>
        <w:t xml:space="preserve">. </w:t>
      </w:r>
      <w:r w:rsidRPr="00DF5EC9">
        <w:rPr>
          <w:rFonts w:eastAsia="標楷體"/>
          <w:color w:val="000000"/>
          <w:sz w:val="24"/>
          <w:szCs w:val="24"/>
        </w:rPr>
        <w:t>Asterisks (*) indicate statistically significant differences (p-value &lt; 0.05).</w:t>
      </w:r>
    </w:p>
    <w:p w14:paraId="3815593E" w14:textId="77777777" w:rsidR="00874DEB" w:rsidRPr="00AF2E83" w:rsidRDefault="00874DEB" w:rsidP="00874DEB">
      <w:pPr>
        <w:tabs>
          <w:tab w:val="left" w:pos="1701"/>
          <w:tab w:val="left" w:pos="3828"/>
          <w:tab w:val="left" w:pos="4111"/>
          <w:tab w:val="left" w:pos="4395"/>
        </w:tabs>
        <w:autoSpaceDE w:val="0"/>
        <w:autoSpaceDN w:val="0"/>
        <w:adjustRightInd w:val="0"/>
        <w:jc w:val="both"/>
        <w:rPr>
          <w:rFonts w:ascii="Times New Roman" w:eastAsia="標楷體" w:hAnsi="Times New Roman" w:cs="Times New Roman"/>
          <w:color w:val="000000"/>
        </w:rPr>
      </w:pPr>
    </w:p>
    <w:p w14:paraId="071E6498" w14:textId="11B80627" w:rsidR="00874DEB" w:rsidRPr="00AF2E83" w:rsidRDefault="00A203F3" w:rsidP="00874DEB">
      <w:pPr>
        <w:pStyle w:val="a9"/>
        <w:jc w:val="both"/>
        <w:rPr>
          <w:rFonts w:eastAsia="標楷體"/>
          <w:color w:val="000000"/>
        </w:rPr>
      </w:pPr>
      <w:r>
        <w:rPr>
          <w:b/>
          <w:bCs/>
          <w:noProof/>
          <w:sz w:val="24"/>
          <w:szCs w:val="24"/>
        </w:rPr>
        <w:lastRenderedPageBreak/>
        <w:drawing>
          <wp:inline distT="0" distB="0" distL="0" distR="0" wp14:anchorId="64A86A4C" wp14:editId="5F12839E">
            <wp:extent cx="6645503" cy="4253948"/>
            <wp:effectExtent l="0" t="0" r="0" b="635"/>
            <wp:docPr id="120089035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890353" name="圖片 1200890353"/>
                    <pic:cNvPicPr/>
                  </pic:nvPicPr>
                  <pic:blipFill rotWithShape="1">
                    <a:blip r:embed="rId10" cstate="print">
                      <a:extLst>
                        <a:ext uri="{28A0092B-C50C-407E-A947-70E740481C1C}">
                          <a14:useLocalDpi xmlns:a14="http://schemas.microsoft.com/office/drawing/2010/main" val="0"/>
                        </a:ext>
                      </a:extLst>
                    </a:blip>
                    <a:srcRect t="6212" b="49473"/>
                    <a:stretch>
                      <a:fillRect/>
                    </a:stretch>
                  </pic:blipFill>
                  <pic:spPr bwMode="auto">
                    <a:xfrm>
                      <a:off x="0" y="0"/>
                      <a:ext cx="6645910" cy="4254209"/>
                    </a:xfrm>
                    <a:prstGeom prst="rect">
                      <a:avLst/>
                    </a:prstGeom>
                    <a:ln>
                      <a:noFill/>
                    </a:ln>
                    <a:extLst>
                      <a:ext uri="{53640926-AAD7-44D8-BBD7-CCE9431645EC}">
                        <a14:shadowObscured xmlns:a14="http://schemas.microsoft.com/office/drawing/2010/main"/>
                      </a:ext>
                    </a:extLst>
                  </pic:spPr>
                </pic:pic>
              </a:graphicData>
            </a:graphic>
          </wp:inline>
        </w:drawing>
      </w:r>
      <w:r w:rsidR="00874DEB" w:rsidRPr="00E010D7">
        <w:rPr>
          <w:b/>
          <w:bCs/>
          <w:sz w:val="24"/>
          <w:szCs w:val="24"/>
        </w:rPr>
        <w:t xml:space="preserve">Figure </w:t>
      </w:r>
      <w:r w:rsidR="005D179E" w:rsidRPr="00E010D7">
        <w:rPr>
          <w:b/>
          <w:bCs/>
          <w:sz w:val="24"/>
          <w:szCs w:val="24"/>
        </w:rPr>
        <w:t>S</w:t>
      </w:r>
      <w:r w:rsidR="005D179E">
        <w:rPr>
          <w:b/>
          <w:bCs/>
          <w:sz w:val="24"/>
          <w:szCs w:val="24"/>
        </w:rPr>
        <w:t>3</w:t>
      </w:r>
      <w:r w:rsidR="00874DEB" w:rsidRPr="00E010D7">
        <w:rPr>
          <w:b/>
          <w:bCs/>
          <w:sz w:val="24"/>
          <w:szCs w:val="24"/>
        </w:rPr>
        <w:t>.</w:t>
      </w:r>
      <w:r w:rsidR="00874DEB">
        <w:rPr>
          <w:b/>
          <w:bCs/>
          <w:sz w:val="24"/>
          <w:szCs w:val="24"/>
        </w:rPr>
        <w:t xml:space="preserve"> </w:t>
      </w:r>
      <w:r w:rsidR="00874DEB" w:rsidRPr="00E010D7">
        <w:rPr>
          <w:b/>
          <w:bCs/>
          <w:sz w:val="24"/>
          <w:szCs w:val="24"/>
        </w:rPr>
        <w:t>Com</w:t>
      </w:r>
      <w:r w:rsidR="00874DEB">
        <w:rPr>
          <w:b/>
          <w:bCs/>
          <w:sz w:val="24"/>
          <w:szCs w:val="24"/>
        </w:rPr>
        <w:t xml:space="preserve">parison of performance between MLP and MLP+TL model on BACE </w:t>
      </w:r>
      <w:r w:rsidR="00874DEB" w:rsidRPr="00646790">
        <w:rPr>
          <w:b/>
          <w:bCs/>
          <w:sz w:val="24"/>
          <w:szCs w:val="24"/>
        </w:rPr>
        <w:t xml:space="preserve">dataset. </w:t>
      </w:r>
      <w:r w:rsidR="00874DEB" w:rsidRPr="00646790">
        <w:rPr>
          <w:rFonts w:eastAsia="標楷體"/>
          <w:color w:val="000000"/>
          <w:sz w:val="24"/>
          <w:szCs w:val="24"/>
        </w:rPr>
        <w:t xml:space="preserve">Differences between the two models were assessed using the </w:t>
      </w:r>
      <w:r w:rsidR="007E07A1" w:rsidRPr="00DF5EC9">
        <w:rPr>
          <w:sz w:val="24"/>
          <w:szCs w:val="24"/>
        </w:rPr>
        <w:t>Wilcoxon rank-sum test</w:t>
      </w:r>
      <w:r w:rsidR="00874DEB" w:rsidRPr="00646790">
        <w:rPr>
          <w:rFonts w:eastAsia="標楷體"/>
          <w:color w:val="000000"/>
          <w:sz w:val="24"/>
          <w:szCs w:val="24"/>
        </w:rPr>
        <w:t xml:space="preserve">. Across five metrics, (a) AUC, (b) F1, (c) </w:t>
      </w:r>
      <w:r w:rsidR="00874DEB">
        <w:rPr>
          <w:rFonts w:eastAsia="標楷體"/>
          <w:color w:val="000000"/>
          <w:sz w:val="24"/>
          <w:szCs w:val="24"/>
        </w:rPr>
        <w:t>R</w:t>
      </w:r>
      <w:r w:rsidR="00874DEB" w:rsidRPr="00646790">
        <w:rPr>
          <w:rFonts w:eastAsia="標楷體"/>
          <w:color w:val="000000"/>
          <w:sz w:val="24"/>
          <w:szCs w:val="24"/>
        </w:rPr>
        <w:t xml:space="preserve">ecall, (d) </w:t>
      </w:r>
      <w:r w:rsidR="00874DEB">
        <w:rPr>
          <w:rFonts w:eastAsia="標楷體"/>
          <w:color w:val="000000"/>
          <w:sz w:val="24"/>
          <w:szCs w:val="24"/>
        </w:rPr>
        <w:t>P</w:t>
      </w:r>
      <w:r w:rsidR="00874DEB" w:rsidRPr="00646790">
        <w:rPr>
          <w:rFonts w:eastAsia="標楷體"/>
          <w:color w:val="000000"/>
          <w:sz w:val="24"/>
          <w:szCs w:val="24"/>
        </w:rPr>
        <w:t xml:space="preserve">recision, and (e) </w:t>
      </w:r>
      <w:r w:rsidR="00874DEB">
        <w:rPr>
          <w:rFonts w:eastAsia="標楷體"/>
          <w:color w:val="000000"/>
          <w:sz w:val="24"/>
          <w:szCs w:val="24"/>
        </w:rPr>
        <w:t>A</w:t>
      </w:r>
      <w:r w:rsidR="00874DEB" w:rsidRPr="00646790">
        <w:rPr>
          <w:rFonts w:eastAsia="標楷體"/>
          <w:color w:val="000000"/>
          <w:sz w:val="24"/>
          <w:szCs w:val="24"/>
        </w:rPr>
        <w:t>ccuracy, no significant differences were found. Asterisks (*) indicate statistically significant differences (p &lt; 0.05).</w:t>
      </w:r>
    </w:p>
    <w:p w14:paraId="3405D12B" w14:textId="77777777" w:rsidR="00874DEB" w:rsidRPr="00F512D4" w:rsidRDefault="00874DEB" w:rsidP="00874DEB">
      <w:pPr>
        <w:tabs>
          <w:tab w:val="left" w:pos="1701"/>
          <w:tab w:val="left" w:pos="3828"/>
          <w:tab w:val="left" w:pos="4111"/>
          <w:tab w:val="left" w:pos="4395"/>
        </w:tabs>
        <w:autoSpaceDE w:val="0"/>
        <w:autoSpaceDN w:val="0"/>
        <w:adjustRightInd w:val="0"/>
        <w:jc w:val="both"/>
        <w:rPr>
          <w:rFonts w:ascii="Times New Roman" w:eastAsia="標楷體" w:hAnsi="Times New Roman" w:cs="Times New Roman"/>
          <w:color w:val="000000"/>
        </w:rPr>
      </w:pPr>
    </w:p>
    <w:p w14:paraId="5E363011" w14:textId="1F9B68BF" w:rsidR="00874DEB" w:rsidRPr="00A203F3" w:rsidRDefault="00A203F3" w:rsidP="00874DEB">
      <w:pPr>
        <w:tabs>
          <w:tab w:val="left" w:pos="1701"/>
          <w:tab w:val="left" w:pos="3828"/>
          <w:tab w:val="left" w:pos="4111"/>
          <w:tab w:val="left" w:pos="4395"/>
        </w:tabs>
        <w:autoSpaceDE w:val="0"/>
        <w:autoSpaceDN w:val="0"/>
        <w:adjustRightInd w:val="0"/>
        <w:jc w:val="both"/>
        <w:rPr>
          <w:rFonts w:ascii="Times New Roman" w:eastAsia="標楷體" w:hAnsi="Times New Roman" w:cs="Times New Roman"/>
          <w:color w:val="000000"/>
        </w:rPr>
      </w:pPr>
      <w:r>
        <w:rPr>
          <w:rFonts w:ascii="Times New Roman" w:eastAsia="標楷體" w:hAnsi="Times New Roman" w:cs="Times New Roman"/>
          <w:noProof/>
          <w:color w:val="000000"/>
        </w:rPr>
        <w:lastRenderedPageBreak/>
        <w:drawing>
          <wp:inline distT="0" distB="0" distL="0" distR="0" wp14:anchorId="280E238E" wp14:editId="572C71B1">
            <wp:extent cx="6645910" cy="4254500"/>
            <wp:effectExtent l="0" t="0" r="0" b="0"/>
            <wp:docPr id="193287861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878614" name="圖片 1932878614"/>
                    <pic:cNvPicPr/>
                  </pic:nvPicPr>
                  <pic:blipFill rotWithShape="1">
                    <a:blip r:embed="rId11" cstate="print">
                      <a:extLst>
                        <a:ext uri="{28A0092B-C50C-407E-A947-70E740481C1C}">
                          <a14:useLocalDpi xmlns:a14="http://schemas.microsoft.com/office/drawing/2010/main" val="0"/>
                        </a:ext>
                      </a:extLst>
                    </a:blip>
                    <a:srcRect t="6218" b="49464"/>
                    <a:stretch>
                      <a:fillRect/>
                    </a:stretch>
                  </pic:blipFill>
                  <pic:spPr bwMode="auto">
                    <a:xfrm>
                      <a:off x="0" y="0"/>
                      <a:ext cx="6645910" cy="4254500"/>
                    </a:xfrm>
                    <a:prstGeom prst="rect">
                      <a:avLst/>
                    </a:prstGeom>
                    <a:ln>
                      <a:noFill/>
                    </a:ln>
                    <a:extLst>
                      <a:ext uri="{53640926-AAD7-44D8-BBD7-CCE9431645EC}">
                        <a14:shadowObscured xmlns:a14="http://schemas.microsoft.com/office/drawing/2010/main"/>
                      </a:ext>
                    </a:extLst>
                  </pic:spPr>
                </pic:pic>
              </a:graphicData>
            </a:graphic>
          </wp:inline>
        </w:drawing>
      </w:r>
    </w:p>
    <w:p w14:paraId="4B9914FA" w14:textId="744E9F81" w:rsidR="00874DEB" w:rsidRPr="00AF2E83" w:rsidRDefault="00874DEB" w:rsidP="00874DEB">
      <w:pPr>
        <w:pStyle w:val="a9"/>
        <w:jc w:val="both"/>
        <w:rPr>
          <w:rFonts w:eastAsia="標楷體"/>
          <w:color w:val="000000"/>
        </w:rPr>
      </w:pPr>
      <w:r w:rsidRPr="00E010D7">
        <w:rPr>
          <w:b/>
          <w:bCs/>
          <w:sz w:val="24"/>
          <w:szCs w:val="24"/>
        </w:rPr>
        <w:t xml:space="preserve">Figure </w:t>
      </w:r>
      <w:r w:rsidR="005D179E" w:rsidRPr="00E010D7">
        <w:rPr>
          <w:b/>
          <w:bCs/>
          <w:sz w:val="24"/>
          <w:szCs w:val="24"/>
        </w:rPr>
        <w:t>S</w:t>
      </w:r>
      <w:r w:rsidR="005D179E">
        <w:rPr>
          <w:b/>
          <w:bCs/>
          <w:sz w:val="24"/>
          <w:szCs w:val="24"/>
        </w:rPr>
        <w:t>4</w:t>
      </w:r>
      <w:r w:rsidRPr="00E010D7">
        <w:rPr>
          <w:b/>
          <w:bCs/>
          <w:sz w:val="24"/>
          <w:szCs w:val="24"/>
        </w:rPr>
        <w:t>.</w:t>
      </w:r>
      <w:r>
        <w:rPr>
          <w:b/>
          <w:bCs/>
          <w:sz w:val="24"/>
          <w:szCs w:val="24"/>
        </w:rPr>
        <w:t xml:space="preserve"> </w:t>
      </w:r>
      <w:r w:rsidRPr="00E010D7">
        <w:rPr>
          <w:b/>
          <w:bCs/>
          <w:sz w:val="24"/>
          <w:szCs w:val="24"/>
        </w:rPr>
        <w:t>Comparison of</w:t>
      </w:r>
      <w:r>
        <w:rPr>
          <w:b/>
          <w:bCs/>
          <w:sz w:val="24"/>
          <w:szCs w:val="24"/>
        </w:rPr>
        <w:t xml:space="preserve"> performance between MLP and MLP+TL model on </w:t>
      </w:r>
      <w:proofErr w:type="spellStart"/>
      <w:r>
        <w:rPr>
          <w:b/>
          <w:bCs/>
          <w:sz w:val="24"/>
          <w:szCs w:val="24"/>
        </w:rPr>
        <w:t>ClinTox</w:t>
      </w:r>
      <w:proofErr w:type="spellEnd"/>
      <w:r>
        <w:rPr>
          <w:b/>
          <w:bCs/>
          <w:sz w:val="24"/>
          <w:szCs w:val="24"/>
        </w:rPr>
        <w:t xml:space="preserve"> </w:t>
      </w:r>
      <w:r w:rsidRPr="00646790">
        <w:rPr>
          <w:b/>
          <w:bCs/>
          <w:sz w:val="24"/>
          <w:szCs w:val="24"/>
        </w:rPr>
        <w:t xml:space="preserve">dataset. </w:t>
      </w:r>
      <w:r w:rsidRPr="00646790">
        <w:rPr>
          <w:rFonts w:eastAsia="標楷體"/>
          <w:color w:val="000000"/>
          <w:sz w:val="24"/>
          <w:szCs w:val="24"/>
        </w:rPr>
        <w:t xml:space="preserve">Differences between the two models were assessed using the Wilcoxon rank-sum test. </w:t>
      </w:r>
      <w:r w:rsidRPr="00291722">
        <w:rPr>
          <w:rFonts w:eastAsia="標楷體"/>
          <w:color w:val="000000"/>
          <w:sz w:val="24"/>
          <w:szCs w:val="24"/>
        </w:rPr>
        <w:t xml:space="preserve">Among the five metrics, significant differences were observed for </w:t>
      </w:r>
      <w:proofErr w:type="spellStart"/>
      <w:r w:rsidRPr="00291722">
        <w:rPr>
          <w:rFonts w:eastAsia="標楷體"/>
          <w:color w:val="000000"/>
          <w:sz w:val="24"/>
          <w:szCs w:val="24"/>
        </w:rPr>
        <w:t>RDKit</w:t>
      </w:r>
      <w:proofErr w:type="spellEnd"/>
      <w:r w:rsidRPr="00291722">
        <w:rPr>
          <w:rFonts w:eastAsia="標楷體"/>
          <w:color w:val="000000"/>
          <w:sz w:val="24"/>
          <w:szCs w:val="24"/>
        </w:rPr>
        <w:t xml:space="preserve">-based models in (a) AUC, (b) F1-score, and (c) </w:t>
      </w:r>
      <w:r>
        <w:rPr>
          <w:rFonts w:eastAsia="標楷體"/>
          <w:color w:val="000000"/>
          <w:sz w:val="24"/>
          <w:szCs w:val="24"/>
        </w:rPr>
        <w:t>R</w:t>
      </w:r>
      <w:r w:rsidRPr="00291722">
        <w:rPr>
          <w:rFonts w:eastAsia="標楷體"/>
          <w:color w:val="000000"/>
          <w:sz w:val="24"/>
          <w:szCs w:val="24"/>
        </w:rPr>
        <w:t xml:space="preserve">ecall. In contrast, significant differences were observed for both FCFP- and </w:t>
      </w:r>
      <w:proofErr w:type="spellStart"/>
      <w:r w:rsidRPr="00291722">
        <w:rPr>
          <w:rFonts w:eastAsia="標楷體"/>
          <w:color w:val="000000"/>
          <w:sz w:val="24"/>
          <w:szCs w:val="24"/>
        </w:rPr>
        <w:t>RDKit</w:t>
      </w:r>
      <w:proofErr w:type="spellEnd"/>
      <w:r w:rsidRPr="00291722">
        <w:rPr>
          <w:rFonts w:eastAsia="標楷體"/>
          <w:color w:val="000000"/>
          <w:sz w:val="24"/>
          <w:szCs w:val="24"/>
        </w:rPr>
        <w:t xml:space="preserve">-based models in (d) </w:t>
      </w:r>
      <w:r>
        <w:rPr>
          <w:rFonts w:eastAsia="標楷體"/>
          <w:color w:val="000000"/>
          <w:sz w:val="24"/>
          <w:szCs w:val="24"/>
        </w:rPr>
        <w:t>P</w:t>
      </w:r>
      <w:r w:rsidRPr="00291722">
        <w:rPr>
          <w:rFonts w:eastAsia="標楷體"/>
          <w:color w:val="000000"/>
          <w:sz w:val="24"/>
          <w:szCs w:val="24"/>
        </w:rPr>
        <w:t xml:space="preserve">recision and (e) </w:t>
      </w:r>
      <w:r>
        <w:rPr>
          <w:rFonts w:eastAsia="標楷體"/>
          <w:color w:val="000000"/>
          <w:sz w:val="24"/>
          <w:szCs w:val="24"/>
        </w:rPr>
        <w:t>A</w:t>
      </w:r>
      <w:r w:rsidRPr="00291722">
        <w:rPr>
          <w:rFonts w:eastAsia="標楷體"/>
          <w:color w:val="000000"/>
          <w:sz w:val="24"/>
          <w:szCs w:val="24"/>
        </w:rPr>
        <w:t>ccuracy. Asterisks (*) indicate statistically significant differences (p &lt; 0.05).</w:t>
      </w:r>
    </w:p>
    <w:p w14:paraId="3A0B5109" w14:textId="0792C4A2" w:rsidR="00A203F3" w:rsidRDefault="00A203F3" w:rsidP="00874DEB">
      <w:pPr>
        <w:pStyle w:val="a9"/>
        <w:jc w:val="both"/>
        <w:rPr>
          <w:b/>
          <w:bCs/>
          <w:sz w:val="24"/>
          <w:szCs w:val="24"/>
        </w:rPr>
      </w:pPr>
      <w:r>
        <w:rPr>
          <w:b/>
          <w:bCs/>
          <w:noProof/>
          <w:sz w:val="24"/>
          <w:szCs w:val="24"/>
        </w:rPr>
        <w:drawing>
          <wp:inline distT="0" distB="0" distL="0" distR="0" wp14:anchorId="248E25A3" wp14:editId="7FC58280">
            <wp:extent cx="6645910" cy="2870200"/>
            <wp:effectExtent l="0" t="0" r="0" b="0"/>
            <wp:docPr id="826112813"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112813" name="圖片 826112813"/>
                    <pic:cNvPicPr/>
                  </pic:nvPicPr>
                  <pic:blipFill rotWithShape="1">
                    <a:blip r:embed="rId12" cstate="print">
                      <a:extLst>
                        <a:ext uri="{28A0092B-C50C-407E-A947-70E740481C1C}">
                          <a14:useLocalDpi xmlns:a14="http://schemas.microsoft.com/office/drawing/2010/main" val="0"/>
                        </a:ext>
                      </a:extLst>
                    </a:blip>
                    <a:srcRect t="5953" b="64149"/>
                    <a:stretch>
                      <a:fillRect/>
                    </a:stretch>
                  </pic:blipFill>
                  <pic:spPr bwMode="auto">
                    <a:xfrm>
                      <a:off x="0" y="0"/>
                      <a:ext cx="6645910" cy="2870200"/>
                    </a:xfrm>
                    <a:prstGeom prst="rect">
                      <a:avLst/>
                    </a:prstGeom>
                    <a:ln>
                      <a:noFill/>
                    </a:ln>
                    <a:extLst>
                      <a:ext uri="{53640926-AAD7-44D8-BBD7-CCE9431645EC}">
                        <a14:shadowObscured xmlns:a14="http://schemas.microsoft.com/office/drawing/2010/main"/>
                      </a:ext>
                    </a:extLst>
                  </pic:spPr>
                </pic:pic>
              </a:graphicData>
            </a:graphic>
          </wp:inline>
        </w:drawing>
      </w:r>
    </w:p>
    <w:p w14:paraId="55294F6E" w14:textId="3D98F7CE" w:rsidR="00874DEB" w:rsidRPr="00AF2E83" w:rsidRDefault="00874DEB" w:rsidP="00874DEB">
      <w:pPr>
        <w:pStyle w:val="a9"/>
        <w:jc w:val="both"/>
        <w:rPr>
          <w:rFonts w:eastAsia="標楷體"/>
          <w:color w:val="000000"/>
        </w:rPr>
      </w:pPr>
      <w:r w:rsidRPr="00E010D7">
        <w:rPr>
          <w:b/>
          <w:bCs/>
          <w:sz w:val="24"/>
          <w:szCs w:val="24"/>
        </w:rPr>
        <w:t xml:space="preserve">Figure </w:t>
      </w:r>
      <w:r w:rsidR="005D179E">
        <w:rPr>
          <w:b/>
          <w:bCs/>
          <w:sz w:val="24"/>
          <w:szCs w:val="24"/>
        </w:rPr>
        <w:t>S</w:t>
      </w:r>
      <w:proofErr w:type="gramStart"/>
      <w:r w:rsidR="005D179E">
        <w:rPr>
          <w:b/>
          <w:bCs/>
          <w:sz w:val="24"/>
          <w:szCs w:val="24"/>
        </w:rPr>
        <w:t>5</w:t>
      </w:r>
      <w:r w:rsidRPr="00E010D7">
        <w:rPr>
          <w:b/>
          <w:bCs/>
          <w:sz w:val="24"/>
          <w:szCs w:val="24"/>
        </w:rPr>
        <w:t>.C</w:t>
      </w:r>
      <w:r>
        <w:rPr>
          <w:b/>
          <w:bCs/>
          <w:sz w:val="24"/>
          <w:szCs w:val="24"/>
        </w:rPr>
        <w:t>omparison</w:t>
      </w:r>
      <w:proofErr w:type="gramEnd"/>
      <w:r>
        <w:rPr>
          <w:b/>
          <w:bCs/>
          <w:sz w:val="24"/>
          <w:szCs w:val="24"/>
        </w:rPr>
        <w:t xml:space="preserve"> of performance between MLP and MLP+TL model on ESOL </w:t>
      </w:r>
      <w:r w:rsidRPr="00646790">
        <w:rPr>
          <w:b/>
          <w:bCs/>
          <w:sz w:val="24"/>
          <w:szCs w:val="24"/>
        </w:rPr>
        <w:t xml:space="preserve">dataset. </w:t>
      </w:r>
      <w:r w:rsidRPr="00646790">
        <w:rPr>
          <w:rFonts w:eastAsia="標楷體"/>
          <w:color w:val="000000"/>
          <w:sz w:val="24"/>
          <w:szCs w:val="24"/>
        </w:rPr>
        <w:t xml:space="preserve">Differences between the two models were assessed using the Wilcoxon rank-sum test. </w:t>
      </w:r>
      <w:r w:rsidRPr="00291722">
        <w:rPr>
          <w:rFonts w:eastAsia="標楷體"/>
          <w:color w:val="000000"/>
          <w:sz w:val="24"/>
          <w:szCs w:val="24"/>
        </w:rPr>
        <w:t xml:space="preserve">Among the five metrics, significant differences were </w:t>
      </w:r>
      <w:r>
        <w:rPr>
          <w:rFonts w:eastAsia="標楷體"/>
          <w:color w:val="000000"/>
          <w:sz w:val="24"/>
          <w:szCs w:val="24"/>
        </w:rPr>
        <w:t xml:space="preserve">not </w:t>
      </w:r>
      <w:r w:rsidRPr="00291722">
        <w:rPr>
          <w:rFonts w:eastAsia="標楷體"/>
          <w:color w:val="000000"/>
          <w:sz w:val="24"/>
          <w:szCs w:val="24"/>
        </w:rPr>
        <w:t xml:space="preserve">observed for </w:t>
      </w:r>
      <w:r>
        <w:rPr>
          <w:rFonts w:eastAsia="標楷體"/>
          <w:color w:val="000000"/>
          <w:sz w:val="24"/>
          <w:szCs w:val="24"/>
        </w:rPr>
        <w:t>PubChem</w:t>
      </w:r>
      <w:r w:rsidRPr="00291722">
        <w:rPr>
          <w:rFonts w:eastAsia="標楷體"/>
          <w:color w:val="000000"/>
          <w:sz w:val="24"/>
          <w:szCs w:val="24"/>
        </w:rPr>
        <w:t>-based models in (</w:t>
      </w:r>
      <w:r>
        <w:rPr>
          <w:rFonts w:eastAsia="標楷體"/>
          <w:color w:val="000000"/>
          <w:sz w:val="24"/>
          <w:szCs w:val="24"/>
        </w:rPr>
        <w:t>b</w:t>
      </w:r>
      <w:r w:rsidRPr="00291722">
        <w:rPr>
          <w:rFonts w:eastAsia="標楷體"/>
          <w:color w:val="000000"/>
          <w:sz w:val="24"/>
          <w:szCs w:val="24"/>
        </w:rPr>
        <w:t xml:space="preserve">) </w:t>
      </w:r>
      <w:r>
        <w:rPr>
          <w:rFonts w:eastAsia="標楷體"/>
          <w:color w:val="000000"/>
          <w:sz w:val="24"/>
          <w:szCs w:val="24"/>
        </w:rPr>
        <w:t>MSE and</w:t>
      </w:r>
      <w:r w:rsidRPr="00291722">
        <w:rPr>
          <w:rFonts w:eastAsia="標楷體"/>
          <w:color w:val="000000"/>
          <w:sz w:val="24"/>
          <w:szCs w:val="24"/>
        </w:rPr>
        <w:t xml:space="preserve"> (</w:t>
      </w:r>
      <w:r>
        <w:rPr>
          <w:rFonts w:eastAsia="標楷體"/>
          <w:color w:val="000000"/>
          <w:sz w:val="24"/>
          <w:szCs w:val="24"/>
        </w:rPr>
        <w:t>d</w:t>
      </w:r>
      <w:r w:rsidRPr="00291722">
        <w:rPr>
          <w:rFonts w:eastAsia="標楷體"/>
          <w:color w:val="000000"/>
          <w:sz w:val="24"/>
          <w:szCs w:val="24"/>
        </w:rPr>
        <w:t xml:space="preserve">) </w:t>
      </w:r>
      <w:r>
        <w:rPr>
          <w:rFonts w:eastAsia="標楷體"/>
          <w:color w:val="000000"/>
          <w:sz w:val="24"/>
          <w:szCs w:val="24"/>
        </w:rPr>
        <w:t xml:space="preserve">RMSE. </w:t>
      </w:r>
      <w:r w:rsidRPr="00291722">
        <w:rPr>
          <w:rFonts w:eastAsia="標楷體"/>
          <w:color w:val="000000"/>
          <w:sz w:val="24"/>
          <w:szCs w:val="24"/>
        </w:rPr>
        <w:t xml:space="preserve">In contrast, significant differences were </w:t>
      </w:r>
      <w:r>
        <w:rPr>
          <w:rFonts w:eastAsia="標楷體"/>
          <w:color w:val="000000"/>
          <w:sz w:val="24"/>
          <w:szCs w:val="24"/>
        </w:rPr>
        <w:t xml:space="preserve">not </w:t>
      </w:r>
      <w:r w:rsidRPr="00291722">
        <w:rPr>
          <w:rFonts w:eastAsia="標楷體"/>
          <w:color w:val="000000"/>
          <w:sz w:val="24"/>
          <w:szCs w:val="24"/>
        </w:rPr>
        <w:t>observed for FCFP</w:t>
      </w:r>
      <w:r>
        <w:rPr>
          <w:rFonts w:eastAsia="標楷體"/>
          <w:color w:val="000000"/>
          <w:sz w:val="24"/>
          <w:szCs w:val="24"/>
        </w:rPr>
        <w:t>-</w:t>
      </w:r>
      <w:r w:rsidRPr="00291722">
        <w:rPr>
          <w:rFonts w:eastAsia="標楷體"/>
          <w:color w:val="000000"/>
          <w:sz w:val="24"/>
          <w:szCs w:val="24"/>
        </w:rPr>
        <w:t>based models in (</w:t>
      </w:r>
      <w:r>
        <w:rPr>
          <w:rFonts w:eastAsia="標楷體"/>
          <w:color w:val="000000"/>
          <w:sz w:val="24"/>
          <w:szCs w:val="24"/>
        </w:rPr>
        <w:t>c</w:t>
      </w:r>
      <w:r w:rsidRPr="00291722">
        <w:rPr>
          <w:rFonts w:eastAsia="標楷體"/>
          <w:color w:val="000000"/>
          <w:sz w:val="24"/>
          <w:szCs w:val="24"/>
        </w:rPr>
        <w:t xml:space="preserve">) </w:t>
      </w:r>
      <m:oMath>
        <m:sSup>
          <m:sSupPr>
            <m:ctrlPr>
              <w:rPr>
                <w:rFonts w:ascii="Cambria Math" w:eastAsia="標楷體" w:hAnsi="Cambria Math"/>
                <w:i/>
                <w:color w:val="000000"/>
                <w:sz w:val="24"/>
                <w:szCs w:val="24"/>
              </w:rPr>
            </m:ctrlPr>
          </m:sSupPr>
          <m:e>
            <m:r>
              <w:rPr>
                <w:rFonts w:ascii="Cambria Math" w:eastAsia="標楷體" w:hAnsi="Cambria Math"/>
                <w:color w:val="000000"/>
                <w:sz w:val="24"/>
                <w:szCs w:val="24"/>
              </w:rPr>
              <m:t>R</m:t>
            </m:r>
          </m:e>
          <m:sup>
            <m:r>
              <w:rPr>
                <w:rFonts w:ascii="Cambria Math" w:eastAsia="標楷體" w:hAnsi="Cambria Math"/>
                <w:color w:val="000000"/>
                <w:sz w:val="24"/>
                <w:szCs w:val="24"/>
              </w:rPr>
              <m:t>2</m:t>
            </m:r>
          </m:sup>
        </m:sSup>
      </m:oMath>
      <w:r>
        <w:rPr>
          <w:rFonts w:eastAsia="標楷體"/>
          <w:color w:val="000000"/>
          <w:sz w:val="24"/>
          <w:szCs w:val="24"/>
        </w:rPr>
        <w:t xml:space="preserve">. All fingerprints show significant difference </w:t>
      </w:r>
      <w:r>
        <w:rPr>
          <w:rFonts w:eastAsia="標楷體"/>
          <w:color w:val="000000"/>
          <w:sz w:val="24"/>
          <w:szCs w:val="24"/>
        </w:rPr>
        <w:lastRenderedPageBreak/>
        <w:t xml:space="preserve">in </w:t>
      </w:r>
      <w:r w:rsidRPr="00291722">
        <w:rPr>
          <w:rFonts w:eastAsia="標楷體"/>
          <w:color w:val="000000"/>
          <w:sz w:val="24"/>
          <w:szCs w:val="24"/>
        </w:rPr>
        <w:t>(</w:t>
      </w:r>
      <w:r>
        <w:rPr>
          <w:rFonts w:eastAsia="標楷體"/>
          <w:color w:val="000000"/>
          <w:sz w:val="24"/>
          <w:szCs w:val="24"/>
        </w:rPr>
        <w:t>a</w:t>
      </w:r>
      <w:r w:rsidRPr="00291722">
        <w:rPr>
          <w:rFonts w:eastAsia="標楷體"/>
          <w:color w:val="000000"/>
          <w:sz w:val="24"/>
          <w:szCs w:val="24"/>
        </w:rPr>
        <w:t xml:space="preserve">) </w:t>
      </w:r>
      <w:r>
        <w:rPr>
          <w:rFonts w:eastAsia="標楷體"/>
          <w:color w:val="000000"/>
          <w:sz w:val="24"/>
          <w:szCs w:val="24"/>
        </w:rPr>
        <w:t>MAE</w:t>
      </w:r>
      <w:r w:rsidRPr="00291722">
        <w:rPr>
          <w:rFonts w:eastAsia="標楷體"/>
          <w:color w:val="000000"/>
          <w:sz w:val="24"/>
          <w:szCs w:val="24"/>
        </w:rPr>
        <w:t>. Asterisks (*) indicate statistically significant differences (p &lt; 0.05).</w:t>
      </w:r>
    </w:p>
    <w:p w14:paraId="2CD909ED" w14:textId="38BEF9E2" w:rsidR="00874DEB" w:rsidRPr="00AF2E83" w:rsidRDefault="00A203F3" w:rsidP="00874DEB">
      <w:pPr>
        <w:tabs>
          <w:tab w:val="left" w:pos="1701"/>
          <w:tab w:val="left" w:pos="3828"/>
          <w:tab w:val="left" w:pos="4111"/>
          <w:tab w:val="left" w:pos="4395"/>
        </w:tabs>
        <w:autoSpaceDE w:val="0"/>
        <w:autoSpaceDN w:val="0"/>
        <w:adjustRightInd w:val="0"/>
        <w:jc w:val="both"/>
        <w:rPr>
          <w:rFonts w:ascii="Times New Roman" w:eastAsia="標楷體" w:hAnsi="Times New Roman" w:cs="Times New Roman"/>
          <w:color w:val="000000"/>
        </w:rPr>
      </w:pPr>
      <w:r>
        <w:rPr>
          <w:rFonts w:ascii="Times New Roman" w:eastAsia="標楷體" w:hAnsi="Times New Roman" w:cs="Times New Roman"/>
          <w:noProof/>
          <w:color w:val="000000"/>
        </w:rPr>
        <w:drawing>
          <wp:inline distT="0" distB="0" distL="0" distR="0" wp14:anchorId="11851F28" wp14:editId="1E42B279">
            <wp:extent cx="6645275" cy="4229100"/>
            <wp:effectExtent l="0" t="0" r="0" b="0"/>
            <wp:docPr id="1170749648"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749648" name="圖片 6"/>
                    <pic:cNvPicPr/>
                  </pic:nvPicPr>
                  <pic:blipFill rotWithShape="1">
                    <a:blip r:embed="rId13" cstate="print">
                      <a:extLst>
                        <a:ext uri="{28A0092B-C50C-407E-A947-70E740481C1C}">
                          <a14:useLocalDpi xmlns:a14="http://schemas.microsoft.com/office/drawing/2010/main" val="0"/>
                        </a:ext>
                      </a:extLst>
                    </a:blip>
                    <a:srcRect t="6351" b="49590"/>
                    <a:stretch>
                      <a:fillRect/>
                    </a:stretch>
                  </pic:blipFill>
                  <pic:spPr bwMode="auto">
                    <a:xfrm>
                      <a:off x="0" y="0"/>
                      <a:ext cx="6645910" cy="4229504"/>
                    </a:xfrm>
                    <a:prstGeom prst="rect">
                      <a:avLst/>
                    </a:prstGeom>
                    <a:ln>
                      <a:noFill/>
                    </a:ln>
                    <a:extLst>
                      <a:ext uri="{53640926-AAD7-44D8-BBD7-CCE9431645EC}">
                        <a14:shadowObscured xmlns:a14="http://schemas.microsoft.com/office/drawing/2010/main"/>
                      </a:ext>
                    </a:extLst>
                  </pic:spPr>
                </pic:pic>
              </a:graphicData>
            </a:graphic>
          </wp:inline>
        </w:drawing>
      </w:r>
    </w:p>
    <w:p w14:paraId="1D0BD5AD" w14:textId="0D9C50B4" w:rsidR="00874DEB" w:rsidRPr="00AF2E83" w:rsidRDefault="00874DEB" w:rsidP="00874DEB">
      <w:pPr>
        <w:pStyle w:val="a9"/>
        <w:jc w:val="both"/>
        <w:rPr>
          <w:rFonts w:eastAsia="標楷體"/>
          <w:color w:val="000000"/>
        </w:rPr>
      </w:pPr>
      <w:r w:rsidRPr="00E010D7">
        <w:rPr>
          <w:b/>
          <w:bCs/>
          <w:sz w:val="24"/>
          <w:szCs w:val="24"/>
        </w:rPr>
        <w:t xml:space="preserve">Figure </w:t>
      </w:r>
      <w:r w:rsidR="005D179E" w:rsidRPr="00E010D7">
        <w:rPr>
          <w:b/>
          <w:bCs/>
          <w:sz w:val="24"/>
          <w:szCs w:val="24"/>
        </w:rPr>
        <w:t>S</w:t>
      </w:r>
      <w:proofErr w:type="gramStart"/>
      <w:r w:rsidR="005D179E">
        <w:rPr>
          <w:b/>
          <w:bCs/>
          <w:sz w:val="24"/>
          <w:szCs w:val="24"/>
        </w:rPr>
        <w:t>6</w:t>
      </w:r>
      <w:r w:rsidRPr="00E010D7">
        <w:rPr>
          <w:b/>
          <w:bCs/>
          <w:sz w:val="24"/>
          <w:szCs w:val="24"/>
        </w:rPr>
        <w:t>.C</w:t>
      </w:r>
      <w:r>
        <w:rPr>
          <w:b/>
          <w:bCs/>
          <w:sz w:val="24"/>
          <w:szCs w:val="24"/>
        </w:rPr>
        <w:t>omparison</w:t>
      </w:r>
      <w:proofErr w:type="gramEnd"/>
      <w:r>
        <w:rPr>
          <w:b/>
          <w:bCs/>
          <w:sz w:val="24"/>
          <w:szCs w:val="24"/>
        </w:rPr>
        <w:t xml:space="preserve"> of performance between MLP and MLP+TL model on MUTAG </w:t>
      </w:r>
      <w:r w:rsidRPr="00646790">
        <w:rPr>
          <w:b/>
          <w:bCs/>
          <w:sz w:val="24"/>
          <w:szCs w:val="24"/>
        </w:rPr>
        <w:t xml:space="preserve">dataset. </w:t>
      </w:r>
      <w:r w:rsidRPr="00646790">
        <w:rPr>
          <w:rFonts w:eastAsia="標楷體"/>
          <w:color w:val="000000"/>
          <w:sz w:val="24"/>
          <w:szCs w:val="24"/>
        </w:rPr>
        <w:t xml:space="preserve">Differences between the two models were assessed using the Wilcoxon rank-sum test. </w:t>
      </w:r>
      <w:r w:rsidRPr="00291722">
        <w:rPr>
          <w:rFonts w:eastAsia="標楷體"/>
          <w:color w:val="000000"/>
          <w:sz w:val="24"/>
          <w:szCs w:val="24"/>
        </w:rPr>
        <w:t xml:space="preserve">Among the five metrics, significant differences were observed for </w:t>
      </w:r>
      <w:r>
        <w:rPr>
          <w:rFonts w:eastAsia="標楷體"/>
          <w:color w:val="000000"/>
          <w:sz w:val="24"/>
          <w:szCs w:val="24"/>
        </w:rPr>
        <w:t>MACCS</w:t>
      </w:r>
      <w:r w:rsidRPr="00291722">
        <w:rPr>
          <w:rFonts w:eastAsia="標楷體"/>
          <w:color w:val="000000"/>
          <w:sz w:val="24"/>
          <w:szCs w:val="24"/>
        </w:rPr>
        <w:t>-based models in (a) AUC</w:t>
      </w:r>
      <w:r>
        <w:rPr>
          <w:rFonts w:eastAsia="標楷體"/>
          <w:color w:val="000000"/>
          <w:sz w:val="24"/>
          <w:szCs w:val="24"/>
        </w:rPr>
        <w:t xml:space="preserve"> and</w:t>
      </w:r>
      <w:r w:rsidRPr="00291722">
        <w:rPr>
          <w:rFonts w:eastAsia="標楷體"/>
          <w:color w:val="000000"/>
          <w:sz w:val="24"/>
          <w:szCs w:val="24"/>
        </w:rPr>
        <w:t xml:space="preserve"> (</w:t>
      </w:r>
      <w:r>
        <w:rPr>
          <w:rFonts w:eastAsia="標楷體"/>
          <w:color w:val="000000"/>
          <w:sz w:val="24"/>
          <w:szCs w:val="24"/>
        </w:rPr>
        <w:t>e</w:t>
      </w:r>
      <w:r w:rsidRPr="00291722">
        <w:rPr>
          <w:rFonts w:eastAsia="標楷體"/>
          <w:color w:val="000000"/>
          <w:sz w:val="24"/>
          <w:szCs w:val="24"/>
        </w:rPr>
        <w:t xml:space="preserve">) </w:t>
      </w:r>
      <w:r>
        <w:rPr>
          <w:rFonts w:eastAsia="標楷體"/>
          <w:color w:val="000000"/>
          <w:sz w:val="24"/>
          <w:szCs w:val="24"/>
        </w:rPr>
        <w:t>Accuracy</w:t>
      </w:r>
      <w:r w:rsidRPr="00291722">
        <w:rPr>
          <w:rFonts w:eastAsia="標楷體"/>
          <w:color w:val="000000"/>
          <w:sz w:val="24"/>
          <w:szCs w:val="24"/>
        </w:rPr>
        <w:t>. In contrast, significant differences were observed for FCFP</w:t>
      </w:r>
      <w:r>
        <w:rPr>
          <w:rFonts w:eastAsia="標楷體"/>
          <w:color w:val="000000"/>
          <w:sz w:val="24"/>
          <w:szCs w:val="24"/>
        </w:rPr>
        <w:t>-</w:t>
      </w:r>
      <w:r w:rsidRPr="00291722">
        <w:rPr>
          <w:rFonts w:eastAsia="標楷體"/>
          <w:color w:val="000000"/>
          <w:sz w:val="24"/>
          <w:szCs w:val="24"/>
        </w:rPr>
        <w:t>based models in (</w:t>
      </w:r>
      <w:r>
        <w:rPr>
          <w:rFonts w:eastAsia="標楷體"/>
          <w:color w:val="000000"/>
          <w:sz w:val="24"/>
          <w:szCs w:val="24"/>
        </w:rPr>
        <w:t>c</w:t>
      </w:r>
      <w:r w:rsidRPr="00291722">
        <w:rPr>
          <w:rFonts w:eastAsia="標楷體"/>
          <w:color w:val="000000"/>
          <w:sz w:val="24"/>
          <w:szCs w:val="24"/>
        </w:rPr>
        <w:t xml:space="preserve">) </w:t>
      </w:r>
      <w:r>
        <w:rPr>
          <w:rFonts w:eastAsia="標楷體"/>
          <w:color w:val="000000"/>
          <w:sz w:val="24"/>
          <w:szCs w:val="24"/>
        </w:rPr>
        <w:t>Recall</w:t>
      </w:r>
      <w:r w:rsidRPr="00291722">
        <w:rPr>
          <w:rFonts w:eastAsia="標楷體"/>
          <w:color w:val="000000"/>
          <w:sz w:val="24"/>
          <w:szCs w:val="24"/>
        </w:rPr>
        <w:t xml:space="preserve"> and (e) </w:t>
      </w:r>
      <w:r>
        <w:rPr>
          <w:rFonts w:eastAsia="標楷體"/>
          <w:color w:val="000000"/>
          <w:sz w:val="24"/>
          <w:szCs w:val="24"/>
        </w:rPr>
        <w:t>Precision</w:t>
      </w:r>
      <w:r w:rsidRPr="00291722">
        <w:rPr>
          <w:rFonts w:eastAsia="標楷體"/>
          <w:color w:val="000000"/>
          <w:sz w:val="24"/>
          <w:szCs w:val="24"/>
        </w:rPr>
        <w:t>. Asterisks (*) indicate statistically significant differences (p &lt; 0.05).</w:t>
      </w:r>
    </w:p>
    <w:p w14:paraId="1F96AF7C" w14:textId="4E842D88" w:rsidR="00874DEB" w:rsidRPr="00A203F3" w:rsidRDefault="00A203F3" w:rsidP="00874DEB">
      <w:pPr>
        <w:tabs>
          <w:tab w:val="left" w:pos="1701"/>
          <w:tab w:val="left" w:pos="3828"/>
          <w:tab w:val="left" w:pos="4111"/>
          <w:tab w:val="left" w:pos="4395"/>
        </w:tabs>
        <w:autoSpaceDE w:val="0"/>
        <w:autoSpaceDN w:val="0"/>
        <w:adjustRightInd w:val="0"/>
        <w:jc w:val="both"/>
        <w:rPr>
          <w:rFonts w:ascii="Times New Roman" w:eastAsia="標楷體" w:hAnsi="Times New Roman" w:cs="Times New Roman"/>
          <w:color w:val="000000"/>
        </w:rPr>
      </w:pPr>
      <w:r>
        <w:rPr>
          <w:rFonts w:ascii="Times New Roman" w:eastAsia="標楷體" w:hAnsi="Times New Roman" w:cs="Times New Roman"/>
          <w:noProof/>
          <w:color w:val="000000"/>
        </w:rPr>
        <w:lastRenderedPageBreak/>
        <w:drawing>
          <wp:inline distT="0" distB="0" distL="0" distR="0" wp14:anchorId="3FD3A256" wp14:editId="419F7B1C">
            <wp:extent cx="6645910" cy="4292600"/>
            <wp:effectExtent l="0" t="0" r="0" b="0"/>
            <wp:docPr id="52339828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398287" name="圖片 523398287"/>
                    <pic:cNvPicPr/>
                  </pic:nvPicPr>
                  <pic:blipFill rotWithShape="1">
                    <a:blip r:embed="rId14" cstate="print">
                      <a:extLst>
                        <a:ext uri="{28A0092B-C50C-407E-A947-70E740481C1C}">
                          <a14:useLocalDpi xmlns:a14="http://schemas.microsoft.com/office/drawing/2010/main" val="0"/>
                        </a:ext>
                      </a:extLst>
                    </a:blip>
                    <a:srcRect t="5953" b="49332"/>
                    <a:stretch>
                      <a:fillRect/>
                    </a:stretch>
                  </pic:blipFill>
                  <pic:spPr bwMode="auto">
                    <a:xfrm>
                      <a:off x="0" y="0"/>
                      <a:ext cx="6645910" cy="4292600"/>
                    </a:xfrm>
                    <a:prstGeom prst="rect">
                      <a:avLst/>
                    </a:prstGeom>
                    <a:ln>
                      <a:noFill/>
                    </a:ln>
                    <a:extLst>
                      <a:ext uri="{53640926-AAD7-44D8-BBD7-CCE9431645EC}">
                        <a14:shadowObscured xmlns:a14="http://schemas.microsoft.com/office/drawing/2010/main"/>
                      </a:ext>
                    </a:extLst>
                  </pic:spPr>
                </pic:pic>
              </a:graphicData>
            </a:graphic>
          </wp:inline>
        </w:drawing>
      </w:r>
    </w:p>
    <w:p w14:paraId="6C336338" w14:textId="212716A0" w:rsidR="00874DEB" w:rsidRPr="00AF2E83" w:rsidRDefault="00874DEB" w:rsidP="00874DEB">
      <w:pPr>
        <w:pStyle w:val="a9"/>
        <w:jc w:val="both"/>
        <w:rPr>
          <w:rFonts w:eastAsia="標楷體"/>
          <w:color w:val="000000"/>
        </w:rPr>
      </w:pPr>
      <w:r w:rsidRPr="00E010D7">
        <w:rPr>
          <w:b/>
          <w:bCs/>
          <w:sz w:val="24"/>
          <w:szCs w:val="24"/>
        </w:rPr>
        <w:t xml:space="preserve">Figure </w:t>
      </w:r>
      <w:r w:rsidR="005D179E" w:rsidRPr="00E010D7">
        <w:rPr>
          <w:b/>
          <w:bCs/>
          <w:sz w:val="24"/>
          <w:szCs w:val="24"/>
        </w:rPr>
        <w:t>S</w:t>
      </w:r>
      <w:r w:rsidR="005D179E">
        <w:rPr>
          <w:b/>
          <w:bCs/>
          <w:sz w:val="24"/>
          <w:szCs w:val="24"/>
        </w:rPr>
        <w:t>7</w:t>
      </w:r>
      <w:r w:rsidRPr="00E010D7">
        <w:rPr>
          <w:b/>
          <w:bCs/>
          <w:sz w:val="24"/>
          <w:szCs w:val="24"/>
        </w:rPr>
        <w:t>.</w:t>
      </w:r>
      <w:r>
        <w:rPr>
          <w:b/>
          <w:bCs/>
          <w:sz w:val="24"/>
          <w:szCs w:val="24"/>
        </w:rPr>
        <w:t xml:space="preserve"> </w:t>
      </w:r>
      <w:r w:rsidRPr="00E010D7">
        <w:rPr>
          <w:b/>
          <w:bCs/>
          <w:sz w:val="24"/>
          <w:szCs w:val="24"/>
        </w:rPr>
        <w:t>Compa</w:t>
      </w:r>
      <w:r>
        <w:rPr>
          <w:b/>
          <w:bCs/>
          <w:sz w:val="24"/>
          <w:szCs w:val="24"/>
        </w:rPr>
        <w:t xml:space="preserve">rison of performance between MLP and MLP+TL model on SIDER </w:t>
      </w:r>
      <w:r w:rsidRPr="00646790">
        <w:rPr>
          <w:b/>
          <w:bCs/>
          <w:sz w:val="24"/>
          <w:szCs w:val="24"/>
        </w:rPr>
        <w:t xml:space="preserve">dataset. </w:t>
      </w:r>
      <w:r w:rsidRPr="00646790">
        <w:rPr>
          <w:rFonts w:eastAsia="標楷體"/>
          <w:color w:val="000000"/>
          <w:sz w:val="24"/>
          <w:szCs w:val="24"/>
        </w:rPr>
        <w:t xml:space="preserve">Differences between the two models were assessed using the Wilcoxon rank-sum test. </w:t>
      </w:r>
      <w:r w:rsidRPr="00291722">
        <w:rPr>
          <w:rFonts w:eastAsia="標楷體"/>
          <w:color w:val="000000"/>
          <w:sz w:val="24"/>
          <w:szCs w:val="24"/>
        </w:rPr>
        <w:t xml:space="preserve">Among the five metrics, significant differences were observed for </w:t>
      </w:r>
      <w:r>
        <w:rPr>
          <w:rFonts w:eastAsia="標楷體"/>
          <w:color w:val="000000"/>
          <w:sz w:val="24"/>
          <w:szCs w:val="24"/>
        </w:rPr>
        <w:t>ECFP</w:t>
      </w:r>
      <w:r w:rsidRPr="00291722">
        <w:rPr>
          <w:rFonts w:eastAsia="標楷體"/>
          <w:color w:val="000000"/>
          <w:sz w:val="24"/>
          <w:szCs w:val="24"/>
        </w:rPr>
        <w:t>-based models in (</w:t>
      </w:r>
      <w:r>
        <w:rPr>
          <w:rFonts w:eastAsia="標楷體"/>
          <w:color w:val="000000"/>
          <w:sz w:val="24"/>
          <w:szCs w:val="24"/>
        </w:rPr>
        <w:t>d</w:t>
      </w:r>
      <w:r w:rsidRPr="00291722">
        <w:rPr>
          <w:rFonts w:eastAsia="標楷體"/>
          <w:color w:val="000000"/>
          <w:sz w:val="24"/>
          <w:szCs w:val="24"/>
        </w:rPr>
        <w:t xml:space="preserve">) </w:t>
      </w:r>
      <w:r>
        <w:rPr>
          <w:rFonts w:eastAsia="標楷體"/>
          <w:color w:val="000000"/>
          <w:sz w:val="24"/>
          <w:szCs w:val="24"/>
        </w:rPr>
        <w:t xml:space="preserve">Recall. </w:t>
      </w:r>
      <w:r w:rsidRPr="00291722">
        <w:rPr>
          <w:rFonts w:eastAsia="標楷體"/>
          <w:color w:val="000000"/>
          <w:sz w:val="24"/>
          <w:szCs w:val="24"/>
        </w:rPr>
        <w:t>Asterisks (*) indicate statistically significant differences (p &lt; 0.05).</w:t>
      </w:r>
    </w:p>
    <w:p w14:paraId="0A724AC4" w14:textId="5BE38512" w:rsidR="00874DEB" w:rsidRPr="00A203F3" w:rsidRDefault="00A203F3" w:rsidP="00874DEB">
      <w:pPr>
        <w:autoSpaceDE w:val="0"/>
        <w:autoSpaceDN w:val="0"/>
        <w:adjustRightInd w:val="0"/>
        <w:jc w:val="both"/>
        <w:rPr>
          <w:rFonts w:ascii="Times New Roman" w:eastAsia="標楷體" w:hAnsi="Times New Roman" w:cs="Times New Roman"/>
          <w:color w:val="000000"/>
        </w:rPr>
      </w:pPr>
      <w:r>
        <w:rPr>
          <w:rFonts w:ascii="Times New Roman" w:eastAsia="標楷體" w:hAnsi="Times New Roman" w:cs="Times New Roman"/>
          <w:noProof/>
          <w:color w:val="000000"/>
        </w:rPr>
        <w:lastRenderedPageBreak/>
        <w:drawing>
          <wp:inline distT="0" distB="0" distL="0" distR="0" wp14:anchorId="4274FDAC" wp14:editId="6C60335D">
            <wp:extent cx="6645910" cy="4254500"/>
            <wp:effectExtent l="0" t="0" r="0" b="0"/>
            <wp:docPr id="622043084"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043084" name="圖片 622043084"/>
                    <pic:cNvPicPr/>
                  </pic:nvPicPr>
                  <pic:blipFill rotWithShape="1">
                    <a:blip r:embed="rId15" cstate="print">
                      <a:extLst>
                        <a:ext uri="{28A0092B-C50C-407E-A947-70E740481C1C}">
                          <a14:useLocalDpi xmlns:a14="http://schemas.microsoft.com/office/drawing/2010/main" val="0"/>
                        </a:ext>
                      </a:extLst>
                    </a:blip>
                    <a:srcRect t="6086" b="49596"/>
                    <a:stretch>
                      <a:fillRect/>
                    </a:stretch>
                  </pic:blipFill>
                  <pic:spPr bwMode="auto">
                    <a:xfrm>
                      <a:off x="0" y="0"/>
                      <a:ext cx="6645910" cy="4254500"/>
                    </a:xfrm>
                    <a:prstGeom prst="rect">
                      <a:avLst/>
                    </a:prstGeom>
                    <a:ln>
                      <a:noFill/>
                    </a:ln>
                    <a:extLst>
                      <a:ext uri="{53640926-AAD7-44D8-BBD7-CCE9431645EC}">
                        <a14:shadowObscured xmlns:a14="http://schemas.microsoft.com/office/drawing/2010/main"/>
                      </a:ext>
                    </a:extLst>
                  </pic:spPr>
                </pic:pic>
              </a:graphicData>
            </a:graphic>
          </wp:inline>
        </w:drawing>
      </w:r>
    </w:p>
    <w:p w14:paraId="2526E937" w14:textId="739BCC57" w:rsidR="00874DEB" w:rsidRDefault="00874DEB" w:rsidP="00874DEB">
      <w:pPr>
        <w:pStyle w:val="a9"/>
        <w:jc w:val="both"/>
        <w:rPr>
          <w:b/>
          <w:bCs/>
        </w:rPr>
      </w:pPr>
      <w:r w:rsidRPr="00E010D7">
        <w:rPr>
          <w:b/>
          <w:bCs/>
          <w:sz w:val="24"/>
          <w:szCs w:val="24"/>
        </w:rPr>
        <w:t>Figure S</w:t>
      </w:r>
      <w:r w:rsidR="005D179E">
        <w:rPr>
          <w:b/>
          <w:bCs/>
          <w:sz w:val="24"/>
          <w:szCs w:val="24"/>
        </w:rPr>
        <w:t>8</w:t>
      </w:r>
      <w:r w:rsidRPr="00E010D7">
        <w:rPr>
          <w:b/>
          <w:bCs/>
          <w:sz w:val="24"/>
          <w:szCs w:val="24"/>
        </w:rPr>
        <w:t>.</w:t>
      </w:r>
      <w:r>
        <w:rPr>
          <w:b/>
          <w:bCs/>
          <w:sz w:val="24"/>
          <w:szCs w:val="24"/>
        </w:rPr>
        <w:t xml:space="preserve"> </w:t>
      </w:r>
      <w:r w:rsidRPr="00E010D7">
        <w:rPr>
          <w:b/>
          <w:bCs/>
          <w:sz w:val="24"/>
          <w:szCs w:val="24"/>
        </w:rPr>
        <w:t>C</w:t>
      </w:r>
      <w:r>
        <w:rPr>
          <w:b/>
          <w:bCs/>
          <w:sz w:val="24"/>
          <w:szCs w:val="24"/>
        </w:rPr>
        <w:t xml:space="preserve">omparison of performance between MLP and MLP+TL model on </w:t>
      </w:r>
      <w:proofErr w:type="spellStart"/>
      <w:r>
        <w:rPr>
          <w:b/>
          <w:bCs/>
          <w:sz w:val="24"/>
          <w:szCs w:val="24"/>
        </w:rPr>
        <w:t>ToxCast</w:t>
      </w:r>
      <w:proofErr w:type="spellEnd"/>
      <w:r>
        <w:rPr>
          <w:b/>
          <w:bCs/>
          <w:sz w:val="24"/>
          <w:szCs w:val="24"/>
        </w:rPr>
        <w:t xml:space="preserve"> </w:t>
      </w:r>
      <w:r w:rsidRPr="00646790">
        <w:rPr>
          <w:b/>
          <w:bCs/>
          <w:sz w:val="24"/>
          <w:szCs w:val="24"/>
        </w:rPr>
        <w:t xml:space="preserve">dataset. </w:t>
      </w:r>
      <w:r w:rsidRPr="00614B19">
        <w:rPr>
          <w:rFonts w:eastAsia="標楷體"/>
          <w:color w:val="000000"/>
          <w:sz w:val="24"/>
          <w:szCs w:val="24"/>
        </w:rPr>
        <w:t xml:space="preserve">Differences between the two models were assessed using the Wilcoxon rank-sum test. Among the five metrics, significant differences were observed for all fingerprint-based models in (b) F1-score and (e) </w:t>
      </w:r>
      <w:r w:rsidR="00DC3883">
        <w:rPr>
          <w:rFonts w:eastAsia="標楷體"/>
          <w:color w:val="000000"/>
          <w:sz w:val="24"/>
          <w:szCs w:val="24"/>
        </w:rPr>
        <w:t>A</w:t>
      </w:r>
      <w:r w:rsidRPr="00614B19">
        <w:rPr>
          <w:rFonts w:eastAsia="標楷體"/>
          <w:color w:val="000000"/>
          <w:sz w:val="24"/>
          <w:szCs w:val="24"/>
        </w:rPr>
        <w:t xml:space="preserve">ccuracy. In contrast, significant differences were observed for MACCS-based models in (a) AUC. For (c) </w:t>
      </w:r>
      <w:r w:rsidR="00DC3883">
        <w:rPr>
          <w:rFonts w:eastAsia="標楷體"/>
          <w:color w:val="000000"/>
          <w:sz w:val="24"/>
          <w:szCs w:val="24"/>
        </w:rPr>
        <w:t>R</w:t>
      </w:r>
      <w:r w:rsidRPr="00614B19">
        <w:rPr>
          <w:rFonts w:eastAsia="標楷體"/>
          <w:color w:val="000000"/>
          <w:sz w:val="24"/>
          <w:szCs w:val="24"/>
        </w:rPr>
        <w:t xml:space="preserve">ecall, significant differences were observed for ECFP-, MACCS-, and SMARTS-based models, whereas for (d) </w:t>
      </w:r>
      <w:r w:rsidR="00DC3883">
        <w:rPr>
          <w:rFonts w:eastAsia="標楷體"/>
          <w:color w:val="000000"/>
          <w:sz w:val="24"/>
          <w:szCs w:val="24"/>
        </w:rPr>
        <w:t>P</w:t>
      </w:r>
      <w:r w:rsidRPr="00614B19">
        <w:rPr>
          <w:rFonts w:eastAsia="標楷體"/>
          <w:color w:val="000000"/>
          <w:sz w:val="24"/>
          <w:szCs w:val="24"/>
        </w:rPr>
        <w:t xml:space="preserve">recision, significant differences were observed for </w:t>
      </w:r>
      <w:proofErr w:type="spellStart"/>
      <w:r w:rsidRPr="00614B19">
        <w:rPr>
          <w:rFonts w:eastAsia="標楷體"/>
          <w:color w:val="000000"/>
          <w:sz w:val="24"/>
          <w:szCs w:val="24"/>
        </w:rPr>
        <w:t>RDKit</w:t>
      </w:r>
      <w:proofErr w:type="spellEnd"/>
      <w:r w:rsidRPr="00614B19">
        <w:rPr>
          <w:rFonts w:eastAsia="標楷體"/>
          <w:color w:val="000000"/>
          <w:sz w:val="24"/>
          <w:szCs w:val="24"/>
        </w:rPr>
        <w:t>-, FCFP-, and ECFP-based models. Asterisks (*) indicate statistically significant differences (p &lt; 0.05).</w:t>
      </w:r>
    </w:p>
    <w:p w14:paraId="75822107" w14:textId="77777777" w:rsidR="00874DEB" w:rsidRDefault="00874DEB" w:rsidP="00874DEB">
      <w:pPr>
        <w:autoSpaceDE w:val="0"/>
        <w:autoSpaceDN w:val="0"/>
        <w:adjustRightInd w:val="0"/>
        <w:rPr>
          <w:rFonts w:ascii="Times New Roman" w:hAnsi="Times New Roman" w:cs="Times New Roman"/>
          <w:b/>
          <w:bCs/>
        </w:rPr>
      </w:pPr>
    </w:p>
    <w:p w14:paraId="7B8B5751" w14:textId="77777777" w:rsidR="00331E65" w:rsidRPr="00A203F3" w:rsidRDefault="00331E65" w:rsidP="00874DEB">
      <w:pPr>
        <w:autoSpaceDE w:val="0"/>
        <w:autoSpaceDN w:val="0"/>
        <w:adjustRightInd w:val="0"/>
        <w:rPr>
          <w:rFonts w:ascii="Times New Roman" w:hAnsi="Times New Roman" w:cs="Times New Roman"/>
          <w:b/>
          <w:bCs/>
        </w:rPr>
      </w:pPr>
    </w:p>
    <w:p w14:paraId="7426FA2C" w14:textId="77777777" w:rsidR="00331E65" w:rsidRDefault="00331E65" w:rsidP="00874DEB">
      <w:pPr>
        <w:autoSpaceDE w:val="0"/>
        <w:autoSpaceDN w:val="0"/>
        <w:adjustRightInd w:val="0"/>
        <w:rPr>
          <w:rFonts w:ascii="Times New Roman" w:hAnsi="Times New Roman" w:cs="Times New Roman"/>
          <w:b/>
          <w:bCs/>
        </w:rPr>
      </w:pPr>
    </w:p>
    <w:p w14:paraId="5490576B" w14:textId="77777777" w:rsidR="00331E65" w:rsidRDefault="00331E65" w:rsidP="00874DEB">
      <w:pPr>
        <w:autoSpaceDE w:val="0"/>
        <w:autoSpaceDN w:val="0"/>
        <w:adjustRightInd w:val="0"/>
        <w:rPr>
          <w:rFonts w:ascii="Times New Roman" w:hAnsi="Times New Roman" w:cs="Times New Roman"/>
          <w:b/>
          <w:bCs/>
        </w:rPr>
      </w:pPr>
    </w:p>
    <w:p w14:paraId="1B76EFAA" w14:textId="492D5CFE" w:rsidR="00331E65" w:rsidRPr="006F01B8" w:rsidRDefault="00A203F3" w:rsidP="00874DEB">
      <w:pPr>
        <w:autoSpaceDE w:val="0"/>
        <w:autoSpaceDN w:val="0"/>
        <w:adjustRightInd w:val="0"/>
        <w:rPr>
          <w:rFonts w:ascii="Times New Roman" w:hAnsi="Times New Roman" w:cs="Times New Roman"/>
          <w:b/>
          <w:bCs/>
        </w:rPr>
      </w:pPr>
      <w:r>
        <w:rPr>
          <w:rFonts w:ascii="Times New Roman" w:hAnsi="Times New Roman" w:cs="Times New Roman"/>
          <w:b/>
          <w:bCs/>
          <w:noProof/>
        </w:rPr>
        <w:lastRenderedPageBreak/>
        <w:drawing>
          <wp:inline distT="0" distB="0" distL="0" distR="0" wp14:anchorId="6C554673" wp14:editId="1947A3B6">
            <wp:extent cx="6645910" cy="2654300"/>
            <wp:effectExtent l="0" t="0" r="0" b="0"/>
            <wp:docPr id="242360250"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360250" name="圖片 242360250"/>
                    <pic:cNvPicPr/>
                  </pic:nvPicPr>
                  <pic:blipFill rotWithShape="1">
                    <a:blip r:embed="rId16" cstate="print">
                      <a:extLst>
                        <a:ext uri="{28A0092B-C50C-407E-A947-70E740481C1C}">
                          <a14:useLocalDpi xmlns:a14="http://schemas.microsoft.com/office/drawing/2010/main" val="0"/>
                        </a:ext>
                      </a:extLst>
                    </a:blip>
                    <a:srcRect t="9512" b="19483"/>
                    <a:stretch>
                      <a:fillRect/>
                    </a:stretch>
                  </pic:blipFill>
                  <pic:spPr bwMode="auto">
                    <a:xfrm>
                      <a:off x="0" y="0"/>
                      <a:ext cx="6645910" cy="2654300"/>
                    </a:xfrm>
                    <a:prstGeom prst="rect">
                      <a:avLst/>
                    </a:prstGeom>
                    <a:ln>
                      <a:noFill/>
                    </a:ln>
                    <a:extLst>
                      <a:ext uri="{53640926-AAD7-44D8-BBD7-CCE9431645EC}">
                        <a14:shadowObscured xmlns:a14="http://schemas.microsoft.com/office/drawing/2010/main"/>
                      </a:ext>
                    </a:extLst>
                  </pic:spPr>
                </pic:pic>
              </a:graphicData>
            </a:graphic>
          </wp:inline>
        </w:drawing>
      </w:r>
    </w:p>
    <w:p w14:paraId="74ADDBCA" w14:textId="3AFB2C1A" w:rsidR="00874DEB" w:rsidRPr="00DF43C8" w:rsidRDefault="00874DEB" w:rsidP="00874DEB">
      <w:pPr>
        <w:pStyle w:val="a9"/>
        <w:jc w:val="both"/>
        <w:rPr>
          <w:sz w:val="24"/>
          <w:szCs w:val="24"/>
        </w:rPr>
      </w:pPr>
      <w:r w:rsidRPr="00883192">
        <w:rPr>
          <w:b/>
          <w:bCs/>
          <w:sz w:val="24"/>
          <w:szCs w:val="24"/>
        </w:rPr>
        <w:t xml:space="preserve">Figure </w:t>
      </w:r>
      <w:r>
        <w:rPr>
          <w:b/>
          <w:bCs/>
          <w:sz w:val="24"/>
          <w:szCs w:val="24"/>
        </w:rPr>
        <w:t>S</w:t>
      </w:r>
      <w:r w:rsidR="005D179E">
        <w:rPr>
          <w:b/>
          <w:bCs/>
          <w:sz w:val="24"/>
          <w:szCs w:val="24"/>
        </w:rPr>
        <w:t>9</w:t>
      </w:r>
      <w:r w:rsidRPr="00883192">
        <w:rPr>
          <w:b/>
          <w:bCs/>
          <w:sz w:val="24"/>
          <w:szCs w:val="24"/>
        </w:rPr>
        <w:t>.</w:t>
      </w:r>
      <w:r>
        <w:rPr>
          <w:b/>
          <w:bCs/>
          <w:sz w:val="24"/>
          <w:szCs w:val="24"/>
        </w:rPr>
        <w:t xml:space="preserve"> </w:t>
      </w:r>
      <w:r w:rsidRPr="00883192">
        <w:rPr>
          <w:b/>
          <w:bCs/>
          <w:sz w:val="24"/>
          <w:szCs w:val="24"/>
        </w:rPr>
        <w:t>(a)</w:t>
      </w:r>
      <w:r>
        <w:rPr>
          <w:rFonts w:hint="eastAsia"/>
          <w:b/>
          <w:bCs/>
          <w:sz w:val="24"/>
          <w:szCs w:val="24"/>
        </w:rPr>
        <w:t xml:space="preserve"> </w:t>
      </w:r>
      <w:r w:rsidRPr="00883192">
        <w:rPr>
          <w:b/>
          <w:bCs/>
          <w:sz w:val="24"/>
          <w:szCs w:val="24"/>
        </w:rPr>
        <w:t>t-</w:t>
      </w:r>
      <w:r>
        <w:rPr>
          <w:b/>
          <w:bCs/>
          <w:sz w:val="24"/>
          <w:szCs w:val="24"/>
        </w:rPr>
        <w:t>SNE</w:t>
      </w:r>
      <w:r w:rsidRPr="00883192">
        <w:rPr>
          <w:b/>
          <w:bCs/>
          <w:sz w:val="24"/>
          <w:szCs w:val="24"/>
        </w:rPr>
        <w:t xml:space="preserve"> distribution of BBBP and B3DB based on ECFP4. </w:t>
      </w:r>
      <w:r w:rsidRPr="00DF43C8">
        <w:rPr>
          <w:sz w:val="24"/>
          <w:szCs w:val="24"/>
        </w:rPr>
        <w:t>Most molecules in the external datasets</w:t>
      </w:r>
      <w:r>
        <w:rPr>
          <w:sz w:val="24"/>
          <w:szCs w:val="24"/>
        </w:rPr>
        <w:t xml:space="preserve"> (B3DB)</w:t>
      </w:r>
      <w:r w:rsidRPr="00DF43C8">
        <w:rPr>
          <w:sz w:val="24"/>
          <w:szCs w:val="24"/>
        </w:rPr>
        <w:t xml:space="preserve"> were located within the distribution range of the corresponding training datasets</w:t>
      </w:r>
      <w:r>
        <w:rPr>
          <w:sz w:val="24"/>
          <w:szCs w:val="24"/>
        </w:rPr>
        <w:t xml:space="preserve"> (BBBP)</w:t>
      </w:r>
      <w:r w:rsidRPr="00DF43C8">
        <w:rPr>
          <w:sz w:val="24"/>
          <w:szCs w:val="24"/>
        </w:rPr>
        <w:t>.</w:t>
      </w:r>
      <w:r w:rsidRPr="00883192">
        <w:rPr>
          <w:b/>
          <w:bCs/>
          <w:sz w:val="24"/>
          <w:szCs w:val="24"/>
        </w:rPr>
        <w:t xml:space="preserve"> (b)</w:t>
      </w:r>
      <w:r>
        <w:rPr>
          <w:b/>
          <w:bCs/>
          <w:sz w:val="24"/>
          <w:szCs w:val="24"/>
        </w:rPr>
        <w:t xml:space="preserve"> </w:t>
      </w:r>
      <w:r w:rsidRPr="00883192">
        <w:rPr>
          <w:b/>
          <w:bCs/>
          <w:sz w:val="24"/>
          <w:szCs w:val="24"/>
        </w:rPr>
        <w:t>t-</w:t>
      </w:r>
      <w:r>
        <w:rPr>
          <w:b/>
          <w:bCs/>
          <w:sz w:val="24"/>
          <w:szCs w:val="24"/>
        </w:rPr>
        <w:t>SNE</w:t>
      </w:r>
      <w:r w:rsidRPr="00883192">
        <w:rPr>
          <w:b/>
          <w:bCs/>
          <w:sz w:val="24"/>
          <w:szCs w:val="24"/>
        </w:rPr>
        <w:t xml:space="preserve"> distribution of ESOL</w:t>
      </w:r>
      <w:r>
        <w:rPr>
          <w:b/>
          <w:bCs/>
          <w:sz w:val="24"/>
          <w:szCs w:val="24"/>
        </w:rPr>
        <w:t xml:space="preserve">, </w:t>
      </w:r>
      <w:r w:rsidRPr="00883192">
        <w:rPr>
          <w:b/>
          <w:bCs/>
          <w:sz w:val="24"/>
          <w:szCs w:val="24"/>
        </w:rPr>
        <w:t xml:space="preserve">AQUA and PHYS </w:t>
      </w:r>
      <w:r>
        <w:rPr>
          <w:b/>
          <w:bCs/>
          <w:sz w:val="24"/>
          <w:szCs w:val="24"/>
        </w:rPr>
        <w:t xml:space="preserve">(A+P) </w:t>
      </w:r>
      <w:r w:rsidRPr="00883192">
        <w:rPr>
          <w:b/>
          <w:bCs/>
          <w:sz w:val="24"/>
          <w:szCs w:val="24"/>
        </w:rPr>
        <w:t>based on ECFP4.</w:t>
      </w:r>
      <w:r>
        <w:rPr>
          <w:b/>
          <w:bCs/>
          <w:sz w:val="24"/>
          <w:szCs w:val="24"/>
        </w:rPr>
        <w:t xml:space="preserve"> </w:t>
      </w:r>
      <w:r>
        <w:rPr>
          <w:sz w:val="24"/>
          <w:szCs w:val="24"/>
        </w:rPr>
        <w:t>I</w:t>
      </w:r>
      <w:r w:rsidRPr="00DF43C8">
        <w:rPr>
          <w:sz w:val="24"/>
          <w:szCs w:val="24"/>
        </w:rPr>
        <w:t>n the ESOL panel, several blue points representing A+P were clearly positioned outside the main distribution of the training data.</w:t>
      </w:r>
    </w:p>
    <w:p w14:paraId="28D35972" w14:textId="28F6AD60" w:rsidR="0015700A" w:rsidRPr="005F16C3" w:rsidRDefault="00A203F3" w:rsidP="00874DEB">
      <w:pPr>
        <w:autoSpaceDE w:val="0"/>
        <w:autoSpaceDN w:val="0"/>
        <w:adjustRightInd w:val="0"/>
        <w:rPr>
          <w:rFonts w:ascii="Times New Roman" w:eastAsia="標楷體" w:hAnsi="Times New Roman" w:cs="Times New Roman"/>
          <w:color w:val="000000"/>
        </w:rPr>
      </w:pPr>
      <w:r>
        <w:rPr>
          <w:rFonts w:ascii="Times New Roman" w:eastAsia="標楷體" w:hAnsi="Times New Roman" w:cs="Times New Roman"/>
          <w:noProof/>
          <w:color w:val="000000"/>
        </w:rPr>
        <w:drawing>
          <wp:inline distT="0" distB="0" distL="0" distR="0" wp14:anchorId="1A65F6EC" wp14:editId="02913FC2">
            <wp:extent cx="6770397" cy="4572000"/>
            <wp:effectExtent l="0" t="0" r="0" b="0"/>
            <wp:docPr id="628119701"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119701" name="圖片 628119701"/>
                    <pic:cNvPicPr/>
                  </pic:nvPicPr>
                  <pic:blipFill rotWithShape="1">
                    <a:blip r:embed="rId17" cstate="print">
                      <a:extLst>
                        <a:ext uri="{28A0092B-C50C-407E-A947-70E740481C1C}">
                          <a14:useLocalDpi xmlns:a14="http://schemas.microsoft.com/office/drawing/2010/main" val="0"/>
                        </a:ext>
                      </a:extLst>
                    </a:blip>
                    <a:srcRect l="4968" t="2038" r="13433"/>
                    <a:stretch>
                      <a:fillRect/>
                    </a:stretch>
                  </pic:blipFill>
                  <pic:spPr bwMode="auto">
                    <a:xfrm>
                      <a:off x="0" y="0"/>
                      <a:ext cx="6811148" cy="4599519"/>
                    </a:xfrm>
                    <a:prstGeom prst="rect">
                      <a:avLst/>
                    </a:prstGeom>
                    <a:ln>
                      <a:noFill/>
                    </a:ln>
                    <a:extLst>
                      <a:ext uri="{53640926-AAD7-44D8-BBD7-CCE9431645EC}">
                        <a14:shadowObscured xmlns:a14="http://schemas.microsoft.com/office/drawing/2010/main"/>
                      </a:ext>
                    </a:extLst>
                  </pic:spPr>
                </pic:pic>
              </a:graphicData>
            </a:graphic>
          </wp:inline>
        </w:drawing>
      </w:r>
    </w:p>
    <w:p w14:paraId="1DB489CD" w14:textId="7F7DAE16" w:rsidR="00874DEB" w:rsidRPr="00B15676" w:rsidRDefault="00874DEB" w:rsidP="00874DEB">
      <w:pPr>
        <w:pStyle w:val="a9"/>
        <w:jc w:val="both"/>
        <w:rPr>
          <w:rFonts w:eastAsia="標楷體"/>
          <w:b/>
          <w:bCs/>
          <w:color w:val="000000"/>
          <w:kern w:val="0"/>
          <w:sz w:val="24"/>
          <w:szCs w:val="24"/>
        </w:rPr>
      </w:pPr>
      <w:r w:rsidRPr="00B15676">
        <w:rPr>
          <w:b/>
          <w:bCs/>
          <w:sz w:val="24"/>
          <w:szCs w:val="24"/>
        </w:rPr>
        <w:t>Figure S</w:t>
      </w:r>
      <w:r w:rsidR="005D179E">
        <w:rPr>
          <w:b/>
          <w:bCs/>
          <w:sz w:val="24"/>
          <w:szCs w:val="24"/>
        </w:rPr>
        <w:t>10.</w:t>
      </w:r>
      <w:r w:rsidRPr="00B15676">
        <w:rPr>
          <w:b/>
          <w:bCs/>
          <w:sz w:val="24"/>
          <w:szCs w:val="24"/>
        </w:rPr>
        <w:t xml:space="preserve"> </w:t>
      </w:r>
      <w:r w:rsidRPr="00B15676">
        <w:rPr>
          <w:rFonts w:eastAsia="標楷體"/>
          <w:b/>
          <w:bCs/>
          <w:color w:val="000000"/>
          <w:kern w:val="0"/>
          <w:sz w:val="24"/>
          <w:szCs w:val="24"/>
        </w:rPr>
        <w:t>(a) Top 30 MACCS keys in BBBP.</w:t>
      </w:r>
      <w:r w:rsidRPr="00B15676">
        <w:rPr>
          <w:rFonts w:eastAsia="標楷體" w:hint="eastAsia"/>
          <w:b/>
          <w:bCs/>
          <w:color w:val="000000"/>
          <w:kern w:val="0"/>
          <w:sz w:val="24"/>
          <w:szCs w:val="24"/>
        </w:rPr>
        <w:t xml:space="preserve"> </w:t>
      </w:r>
      <w:r w:rsidRPr="00B15676">
        <w:rPr>
          <w:rFonts w:eastAsia="標楷體"/>
          <w:b/>
          <w:bCs/>
          <w:color w:val="000000"/>
          <w:kern w:val="0"/>
          <w:sz w:val="24"/>
          <w:szCs w:val="24"/>
        </w:rPr>
        <w:t>(b) Top 30 PubChem keys in BBBP.</w:t>
      </w:r>
      <w:r w:rsidRPr="00B15676">
        <w:rPr>
          <w:rFonts w:eastAsia="標楷體" w:hint="eastAsia"/>
          <w:b/>
          <w:bCs/>
          <w:color w:val="000000"/>
          <w:kern w:val="0"/>
          <w:sz w:val="24"/>
          <w:szCs w:val="24"/>
        </w:rPr>
        <w:t xml:space="preserve"> </w:t>
      </w:r>
      <w:r w:rsidRPr="00B15676">
        <w:rPr>
          <w:rFonts w:eastAsia="標楷體"/>
          <w:b/>
          <w:bCs/>
          <w:color w:val="000000"/>
          <w:kern w:val="0"/>
          <w:sz w:val="24"/>
          <w:szCs w:val="24"/>
        </w:rPr>
        <w:t>(c) Top 30 MACCS keys in MUTAG.</w:t>
      </w:r>
      <w:r>
        <w:rPr>
          <w:rFonts w:eastAsia="標楷體" w:hint="eastAsia"/>
          <w:b/>
          <w:bCs/>
          <w:color w:val="000000"/>
          <w:kern w:val="0"/>
          <w:sz w:val="24"/>
          <w:szCs w:val="24"/>
        </w:rPr>
        <w:t xml:space="preserve"> </w:t>
      </w:r>
      <w:r w:rsidRPr="00B15676">
        <w:rPr>
          <w:rFonts w:eastAsia="標楷體"/>
          <w:b/>
          <w:bCs/>
          <w:color w:val="000000"/>
          <w:kern w:val="0"/>
          <w:sz w:val="24"/>
          <w:szCs w:val="24"/>
        </w:rPr>
        <w:t>(d) Top 30 PubChem keys in MUTAG.</w:t>
      </w:r>
      <w:r w:rsidRPr="00B15676">
        <w:rPr>
          <w:rFonts w:eastAsia="標楷體" w:hint="eastAsia"/>
          <w:b/>
          <w:bCs/>
          <w:color w:val="000000"/>
          <w:kern w:val="0"/>
          <w:sz w:val="24"/>
          <w:szCs w:val="24"/>
        </w:rPr>
        <w:t xml:space="preserve"> </w:t>
      </w:r>
      <w:r w:rsidRPr="00B15676">
        <w:rPr>
          <w:rFonts w:eastAsia="標楷體"/>
          <w:color w:val="000000"/>
          <w:kern w:val="0"/>
          <w:sz w:val="24"/>
          <w:szCs w:val="24"/>
        </w:rPr>
        <w:t xml:space="preserve">The y-axis shows the structural features corresponding to predefined fingerprint keys, whereas the x-axis indicates the number of times each key was selected among the top 20 most important features across molecules in the dataset. The percentage next to each bar denotes the proportion of molecules in which the corresponding structure appeared in the top 20 </w:t>
      </w:r>
      <w:r w:rsidRPr="00B15676">
        <w:rPr>
          <w:rFonts w:eastAsia="標楷體"/>
          <w:color w:val="000000"/>
          <w:kern w:val="0"/>
          <w:sz w:val="24"/>
          <w:szCs w:val="24"/>
        </w:rPr>
        <w:lastRenderedPageBreak/>
        <w:t>ranked features.</w:t>
      </w:r>
    </w:p>
    <w:p w14:paraId="45B588C2" w14:textId="77777777" w:rsidR="00397D71" w:rsidRDefault="00397D71" w:rsidP="008A2C2A">
      <w:pPr>
        <w:autoSpaceDE w:val="0"/>
        <w:autoSpaceDN w:val="0"/>
        <w:adjustRightInd w:val="0"/>
        <w:rPr>
          <w:rFonts w:ascii="Times New Roman" w:eastAsia="標楷體" w:hAnsi="Times New Roman" w:cs="Times New Roman"/>
          <w:color w:val="000000"/>
        </w:rPr>
      </w:pPr>
    </w:p>
    <w:p w14:paraId="7B963B84" w14:textId="174574A7" w:rsidR="00411C9C" w:rsidRPr="009B4136" w:rsidRDefault="009B4136" w:rsidP="008A2C2A">
      <w:pPr>
        <w:autoSpaceDE w:val="0"/>
        <w:autoSpaceDN w:val="0"/>
        <w:adjustRightInd w:val="0"/>
        <w:rPr>
          <w:rFonts w:ascii="Times New Roman" w:eastAsia="標楷體" w:hAnsi="Times New Roman" w:cs="Times New Roman"/>
          <w:b/>
          <w:bCs/>
          <w:color w:val="000000"/>
          <w:sz w:val="32"/>
          <w:szCs w:val="32"/>
        </w:rPr>
      </w:pPr>
      <w:r w:rsidRPr="009B4136">
        <w:rPr>
          <w:rFonts w:ascii="Times New Roman" w:eastAsia="標楷體" w:hAnsi="Times New Roman" w:cs="Times New Roman"/>
          <w:b/>
          <w:bCs/>
          <w:color w:val="000000"/>
          <w:sz w:val="32"/>
          <w:szCs w:val="32"/>
        </w:rPr>
        <w:t>Reference</w:t>
      </w:r>
    </w:p>
    <w:p w14:paraId="6A187493" w14:textId="77777777" w:rsidR="00710919" w:rsidRPr="00710919" w:rsidRDefault="00411C9C" w:rsidP="00710919">
      <w:pPr>
        <w:pStyle w:val="EndNoteBibliography"/>
        <w:ind w:left="720" w:hanging="720"/>
        <w:rPr>
          <w:noProof/>
        </w:rPr>
      </w:pPr>
      <w:r>
        <w:rPr>
          <w:rFonts w:eastAsia="標楷體"/>
          <w:color w:val="000000"/>
        </w:rPr>
        <w:fldChar w:fldCharType="begin"/>
      </w:r>
      <w:r>
        <w:rPr>
          <w:rFonts w:eastAsia="標楷體"/>
          <w:color w:val="000000"/>
        </w:rPr>
        <w:instrText xml:space="preserve"> ADDIN EN.REFLIST </w:instrText>
      </w:r>
      <w:r>
        <w:rPr>
          <w:rFonts w:eastAsia="標楷體"/>
          <w:color w:val="000000"/>
        </w:rPr>
        <w:fldChar w:fldCharType="separate"/>
      </w:r>
      <w:r w:rsidR="00710919" w:rsidRPr="00710919">
        <w:rPr>
          <w:noProof/>
        </w:rPr>
        <w:t>1.</w:t>
      </w:r>
      <w:r w:rsidR="00710919" w:rsidRPr="00710919">
        <w:rPr>
          <w:noProof/>
        </w:rPr>
        <w:tab/>
        <w:t xml:space="preserve">Rogers, D. and M. Hahn, </w:t>
      </w:r>
      <w:r w:rsidR="00710919" w:rsidRPr="00710919">
        <w:rPr>
          <w:i/>
          <w:noProof/>
        </w:rPr>
        <w:t>Extended-connectivity fingerprints.</w:t>
      </w:r>
      <w:r w:rsidR="00710919" w:rsidRPr="00710919">
        <w:rPr>
          <w:noProof/>
        </w:rPr>
        <w:t xml:space="preserve"> Journal of chemical information and modeling, 2010. </w:t>
      </w:r>
      <w:r w:rsidR="00710919" w:rsidRPr="00710919">
        <w:rPr>
          <w:b/>
          <w:noProof/>
        </w:rPr>
        <w:t>50</w:t>
      </w:r>
      <w:r w:rsidR="00710919" w:rsidRPr="00710919">
        <w:rPr>
          <w:noProof/>
        </w:rPr>
        <w:t>(5): p. 742-754.</w:t>
      </w:r>
    </w:p>
    <w:p w14:paraId="570CD5C3" w14:textId="77777777" w:rsidR="00710919" w:rsidRPr="00710919" w:rsidRDefault="00710919" w:rsidP="00710919">
      <w:pPr>
        <w:pStyle w:val="EndNoteBibliography"/>
        <w:ind w:left="720" w:hanging="720"/>
        <w:rPr>
          <w:noProof/>
        </w:rPr>
      </w:pPr>
      <w:r w:rsidRPr="00710919">
        <w:rPr>
          <w:noProof/>
        </w:rPr>
        <w:t>2.</w:t>
      </w:r>
      <w:r w:rsidRPr="00710919">
        <w:rPr>
          <w:noProof/>
        </w:rPr>
        <w:tab/>
        <w:t xml:space="preserve">Heller, S.R., et al., </w:t>
      </w:r>
      <w:r w:rsidRPr="00710919">
        <w:rPr>
          <w:i/>
          <w:noProof/>
        </w:rPr>
        <w:t>InChI, the IUPAC international chemical identifier.</w:t>
      </w:r>
      <w:r w:rsidRPr="00710919">
        <w:rPr>
          <w:noProof/>
        </w:rPr>
        <w:t xml:space="preserve"> Journal of cheminformatics, 2015. </w:t>
      </w:r>
      <w:r w:rsidRPr="00710919">
        <w:rPr>
          <w:b/>
          <w:noProof/>
        </w:rPr>
        <w:t>7</w:t>
      </w:r>
      <w:r w:rsidRPr="00710919">
        <w:rPr>
          <w:noProof/>
        </w:rPr>
        <w:t>(1): p. 23.</w:t>
      </w:r>
    </w:p>
    <w:p w14:paraId="7483F67C" w14:textId="77777777" w:rsidR="00710919" w:rsidRPr="00710919" w:rsidRDefault="00710919" w:rsidP="00710919">
      <w:pPr>
        <w:pStyle w:val="EndNoteBibliography"/>
        <w:ind w:left="720" w:hanging="720"/>
        <w:rPr>
          <w:noProof/>
        </w:rPr>
      </w:pPr>
      <w:r w:rsidRPr="00710919">
        <w:rPr>
          <w:noProof/>
        </w:rPr>
        <w:t>3.</w:t>
      </w:r>
      <w:r w:rsidRPr="00710919">
        <w:rPr>
          <w:noProof/>
        </w:rPr>
        <w:tab/>
        <w:t xml:space="preserve">Durant, J.L., et al., </w:t>
      </w:r>
      <w:r w:rsidRPr="00710919">
        <w:rPr>
          <w:i/>
          <w:noProof/>
        </w:rPr>
        <w:t>Reoptimization of MDL keys for use in drug discovery.</w:t>
      </w:r>
      <w:r w:rsidRPr="00710919">
        <w:rPr>
          <w:noProof/>
        </w:rPr>
        <w:t xml:space="preserve"> Journal of chemical information and computer sciences, 2002. </w:t>
      </w:r>
      <w:r w:rsidRPr="00710919">
        <w:rPr>
          <w:b/>
          <w:noProof/>
        </w:rPr>
        <w:t>42</w:t>
      </w:r>
      <w:r w:rsidRPr="00710919">
        <w:rPr>
          <w:noProof/>
        </w:rPr>
        <w:t>(6): p. 1273-1280.</w:t>
      </w:r>
    </w:p>
    <w:p w14:paraId="61BCA55D" w14:textId="77777777" w:rsidR="00710919" w:rsidRPr="00710919" w:rsidRDefault="00710919" w:rsidP="00710919">
      <w:pPr>
        <w:pStyle w:val="EndNoteBibliography"/>
        <w:ind w:left="720" w:hanging="720"/>
        <w:rPr>
          <w:noProof/>
        </w:rPr>
      </w:pPr>
      <w:r w:rsidRPr="00710919">
        <w:rPr>
          <w:noProof/>
        </w:rPr>
        <w:t>4.</w:t>
      </w:r>
      <w:r w:rsidRPr="00710919">
        <w:rPr>
          <w:noProof/>
        </w:rPr>
        <w:tab/>
        <w:t xml:space="preserve">Weininger, D., </w:t>
      </w:r>
      <w:r w:rsidRPr="00710919">
        <w:rPr>
          <w:i/>
          <w:noProof/>
        </w:rPr>
        <w:t>SMILES, a chemical language and information system. 1. Introduction to methodology and encoding rules.</w:t>
      </w:r>
      <w:r w:rsidRPr="00710919">
        <w:rPr>
          <w:noProof/>
        </w:rPr>
        <w:t xml:space="preserve"> Journal of chemical information and computer sciences, 1988. </w:t>
      </w:r>
      <w:r w:rsidRPr="00710919">
        <w:rPr>
          <w:b/>
          <w:noProof/>
        </w:rPr>
        <w:t>28</w:t>
      </w:r>
      <w:r w:rsidRPr="00710919">
        <w:rPr>
          <w:noProof/>
        </w:rPr>
        <w:t>(1): p. 31-36.</w:t>
      </w:r>
    </w:p>
    <w:p w14:paraId="608CD05A" w14:textId="77777777" w:rsidR="00710919" w:rsidRPr="00710919" w:rsidRDefault="00710919" w:rsidP="00710919">
      <w:pPr>
        <w:pStyle w:val="EndNoteBibliography"/>
        <w:ind w:left="720" w:hanging="720"/>
        <w:rPr>
          <w:noProof/>
        </w:rPr>
      </w:pPr>
      <w:r w:rsidRPr="00710919">
        <w:rPr>
          <w:noProof/>
        </w:rPr>
        <w:t>5.</w:t>
      </w:r>
      <w:r w:rsidRPr="00710919">
        <w:rPr>
          <w:noProof/>
        </w:rPr>
        <w:tab/>
        <w:t xml:space="preserve">Varnek, A., et al., </w:t>
      </w:r>
      <w:r w:rsidRPr="00710919">
        <w:rPr>
          <w:i/>
          <w:noProof/>
        </w:rPr>
        <w:t>Inductive transfer of knowledge: application of multi-task learning and feature net approaches to model tissue-air partition coefficients.</w:t>
      </w:r>
      <w:r w:rsidRPr="00710919">
        <w:rPr>
          <w:noProof/>
        </w:rPr>
        <w:t xml:space="preserve"> Journal of chemical information and modeling, 2009. </w:t>
      </w:r>
      <w:r w:rsidRPr="00710919">
        <w:rPr>
          <w:b/>
          <w:noProof/>
        </w:rPr>
        <w:t>49</w:t>
      </w:r>
      <w:r w:rsidRPr="00710919">
        <w:rPr>
          <w:noProof/>
        </w:rPr>
        <w:t>(1): p. 133-144.</w:t>
      </w:r>
    </w:p>
    <w:p w14:paraId="7BE7119F" w14:textId="77777777" w:rsidR="00710919" w:rsidRPr="00710919" w:rsidRDefault="00710919" w:rsidP="00710919">
      <w:pPr>
        <w:pStyle w:val="EndNoteBibliography"/>
        <w:ind w:left="720" w:hanging="720"/>
        <w:rPr>
          <w:noProof/>
        </w:rPr>
      </w:pPr>
      <w:r w:rsidRPr="00710919">
        <w:rPr>
          <w:noProof/>
        </w:rPr>
        <w:t>6.</w:t>
      </w:r>
      <w:r w:rsidRPr="00710919">
        <w:rPr>
          <w:noProof/>
        </w:rPr>
        <w:tab/>
        <w:t xml:space="preserve">Davis, I.L. and A. Stentz. </w:t>
      </w:r>
      <w:r w:rsidRPr="00710919">
        <w:rPr>
          <w:i/>
          <w:noProof/>
        </w:rPr>
        <w:t>Sensor fusion for autonomous outdoor navigation using neural networks</w:t>
      </w:r>
      <w:r w:rsidRPr="00710919">
        <w:rPr>
          <w:noProof/>
        </w:rPr>
        <w:t xml:space="preserve">. in </w:t>
      </w:r>
      <w:r w:rsidRPr="00710919">
        <w:rPr>
          <w:i/>
          <w:noProof/>
        </w:rPr>
        <w:t>Proceedings 1995 IEEE/RSJ International Conference on Intelligent Robots and Systems. Human Robot Interaction and Cooperative Robots</w:t>
      </w:r>
      <w:r w:rsidRPr="00710919">
        <w:rPr>
          <w:noProof/>
        </w:rPr>
        <w:t>. 1995. IEEE.</w:t>
      </w:r>
    </w:p>
    <w:p w14:paraId="7B3773FF" w14:textId="77777777" w:rsidR="00710919" w:rsidRPr="00710919" w:rsidRDefault="00710919" w:rsidP="00710919">
      <w:pPr>
        <w:pStyle w:val="EndNoteBibliography"/>
        <w:ind w:left="720" w:hanging="720"/>
        <w:rPr>
          <w:noProof/>
        </w:rPr>
      </w:pPr>
      <w:r w:rsidRPr="00710919">
        <w:rPr>
          <w:noProof/>
        </w:rPr>
        <w:t>7.</w:t>
      </w:r>
      <w:r w:rsidRPr="00710919">
        <w:rPr>
          <w:noProof/>
        </w:rPr>
        <w:tab/>
        <w:t xml:space="preserve">Walter, M., et al., </w:t>
      </w:r>
      <w:r w:rsidRPr="00710919">
        <w:rPr>
          <w:i/>
          <w:noProof/>
        </w:rPr>
        <w:t>Analysis of the benefits of imputation models over traditional QSAR models for toxicity prediction.</w:t>
      </w:r>
      <w:r w:rsidRPr="00710919">
        <w:rPr>
          <w:noProof/>
        </w:rPr>
        <w:t xml:space="preserve"> Journal of Cheminformatics, 2022. </w:t>
      </w:r>
      <w:r w:rsidRPr="00710919">
        <w:rPr>
          <w:b/>
          <w:noProof/>
        </w:rPr>
        <w:t>14</w:t>
      </w:r>
      <w:r w:rsidRPr="00710919">
        <w:rPr>
          <w:noProof/>
        </w:rPr>
        <w:t>(1): p. 32.</w:t>
      </w:r>
    </w:p>
    <w:p w14:paraId="177A3E79" w14:textId="77777777" w:rsidR="00710919" w:rsidRPr="00710919" w:rsidRDefault="00710919" w:rsidP="00710919">
      <w:pPr>
        <w:pStyle w:val="EndNoteBibliography"/>
        <w:ind w:left="720" w:hanging="720"/>
        <w:rPr>
          <w:noProof/>
        </w:rPr>
      </w:pPr>
      <w:r w:rsidRPr="00710919">
        <w:rPr>
          <w:noProof/>
        </w:rPr>
        <w:t>8.</w:t>
      </w:r>
      <w:r w:rsidRPr="00710919">
        <w:rPr>
          <w:noProof/>
        </w:rPr>
        <w:tab/>
        <w:t xml:space="preserve">Meng, J., et al., </w:t>
      </w:r>
      <w:r w:rsidRPr="00710919">
        <w:rPr>
          <w:i/>
          <w:noProof/>
        </w:rPr>
        <w:t>Boosting the predictive performance with aqueous solubility dataset curation.</w:t>
      </w:r>
      <w:r w:rsidRPr="00710919">
        <w:rPr>
          <w:noProof/>
        </w:rPr>
        <w:t xml:space="preserve"> Scientific Data, 2022. </w:t>
      </w:r>
      <w:r w:rsidRPr="00710919">
        <w:rPr>
          <w:b/>
          <w:noProof/>
        </w:rPr>
        <w:t>9</w:t>
      </w:r>
      <w:r w:rsidRPr="00710919">
        <w:rPr>
          <w:noProof/>
        </w:rPr>
        <w:t>(1): p. 71.</w:t>
      </w:r>
    </w:p>
    <w:p w14:paraId="1029D0F9" w14:textId="77777777" w:rsidR="00710919" w:rsidRPr="00710919" w:rsidRDefault="00710919" w:rsidP="00710919">
      <w:pPr>
        <w:pStyle w:val="EndNoteBibliography"/>
        <w:ind w:left="720" w:hanging="720"/>
        <w:rPr>
          <w:noProof/>
        </w:rPr>
      </w:pPr>
      <w:r w:rsidRPr="00710919">
        <w:rPr>
          <w:noProof/>
        </w:rPr>
        <w:t>9.</w:t>
      </w:r>
      <w:r w:rsidRPr="00710919">
        <w:rPr>
          <w:noProof/>
        </w:rPr>
        <w:tab/>
        <w:t xml:space="preserve">Meng, F., et al., </w:t>
      </w:r>
      <w:r w:rsidRPr="00710919">
        <w:rPr>
          <w:i/>
          <w:noProof/>
        </w:rPr>
        <w:t>A curated diverse molecular database of blood-brain barrier permeability with chemical descriptors.</w:t>
      </w:r>
      <w:r w:rsidRPr="00710919">
        <w:rPr>
          <w:noProof/>
        </w:rPr>
        <w:t xml:space="preserve"> Scientific Data, 2021. </w:t>
      </w:r>
      <w:r w:rsidRPr="00710919">
        <w:rPr>
          <w:b/>
          <w:noProof/>
        </w:rPr>
        <w:t>8</w:t>
      </w:r>
      <w:r w:rsidRPr="00710919">
        <w:rPr>
          <w:noProof/>
        </w:rPr>
        <w:t>(1): p. 289.</w:t>
      </w:r>
    </w:p>
    <w:p w14:paraId="2979BAC1" w14:textId="77777777" w:rsidR="00710919" w:rsidRPr="00710919" w:rsidRDefault="00710919" w:rsidP="00710919">
      <w:pPr>
        <w:pStyle w:val="EndNoteBibliography"/>
        <w:ind w:left="720" w:hanging="720"/>
        <w:rPr>
          <w:noProof/>
        </w:rPr>
      </w:pPr>
      <w:r w:rsidRPr="00710919">
        <w:rPr>
          <w:noProof/>
        </w:rPr>
        <w:t>10.</w:t>
      </w:r>
      <w:r w:rsidRPr="00710919">
        <w:rPr>
          <w:noProof/>
        </w:rPr>
        <w:tab/>
        <w:t xml:space="preserve">Kingma, D.P. and J. Ba, </w:t>
      </w:r>
      <w:r w:rsidRPr="00710919">
        <w:rPr>
          <w:i/>
          <w:noProof/>
        </w:rPr>
        <w:t>Adam: A method for stochastic optimization.</w:t>
      </w:r>
      <w:r w:rsidRPr="00710919">
        <w:rPr>
          <w:noProof/>
        </w:rPr>
        <w:t xml:space="preserve"> arXiv preprint arXiv:1412.6980, 2014.</w:t>
      </w:r>
    </w:p>
    <w:p w14:paraId="503425E2" w14:textId="77777777" w:rsidR="00710919" w:rsidRPr="00710919" w:rsidRDefault="00710919" w:rsidP="00710919">
      <w:pPr>
        <w:pStyle w:val="EndNoteBibliography"/>
        <w:ind w:left="720" w:hanging="720"/>
        <w:rPr>
          <w:noProof/>
        </w:rPr>
      </w:pPr>
      <w:r w:rsidRPr="00710919">
        <w:rPr>
          <w:noProof/>
        </w:rPr>
        <w:t>11.</w:t>
      </w:r>
      <w:r w:rsidRPr="00710919">
        <w:rPr>
          <w:noProof/>
        </w:rPr>
        <w:tab/>
        <w:t xml:space="preserve">Glorot, X., A. Bordes, and Y. Bengio. </w:t>
      </w:r>
      <w:r w:rsidRPr="00710919">
        <w:rPr>
          <w:i/>
          <w:noProof/>
        </w:rPr>
        <w:t>Deep sparse rectifier neural networks</w:t>
      </w:r>
      <w:r w:rsidRPr="00710919">
        <w:rPr>
          <w:noProof/>
        </w:rPr>
        <w:t xml:space="preserve">. in </w:t>
      </w:r>
      <w:r w:rsidRPr="00710919">
        <w:rPr>
          <w:i/>
          <w:noProof/>
        </w:rPr>
        <w:t>Proceedings of the fourteenth international conference on artificial intelligence and statistics</w:t>
      </w:r>
      <w:r w:rsidRPr="00710919">
        <w:rPr>
          <w:noProof/>
        </w:rPr>
        <w:t>. 2011. JMLR Workshop and Conference Proceedings.</w:t>
      </w:r>
    </w:p>
    <w:p w14:paraId="71881251" w14:textId="77777777" w:rsidR="00710919" w:rsidRPr="00710919" w:rsidRDefault="00710919" w:rsidP="00710919">
      <w:pPr>
        <w:pStyle w:val="EndNoteBibliography"/>
        <w:ind w:left="720" w:hanging="720"/>
        <w:rPr>
          <w:noProof/>
        </w:rPr>
      </w:pPr>
      <w:r w:rsidRPr="00710919">
        <w:rPr>
          <w:noProof/>
        </w:rPr>
        <w:t>12.</w:t>
      </w:r>
      <w:r w:rsidRPr="00710919">
        <w:rPr>
          <w:noProof/>
        </w:rPr>
        <w:tab/>
        <w:t xml:space="preserve">Maas, A.L., A.Y. Hannun, and A.Y. Ng. </w:t>
      </w:r>
      <w:r w:rsidRPr="00710919">
        <w:rPr>
          <w:i/>
          <w:noProof/>
        </w:rPr>
        <w:t>Rectifier nonlinearities improve neural network acoustic models</w:t>
      </w:r>
      <w:r w:rsidRPr="00710919">
        <w:rPr>
          <w:noProof/>
        </w:rPr>
        <w:t xml:space="preserve">. in </w:t>
      </w:r>
      <w:r w:rsidRPr="00710919">
        <w:rPr>
          <w:i/>
          <w:noProof/>
        </w:rPr>
        <w:t>Proc. icml</w:t>
      </w:r>
      <w:r w:rsidRPr="00710919">
        <w:rPr>
          <w:noProof/>
        </w:rPr>
        <w:t>. 2013. Atlanta, GA.</w:t>
      </w:r>
    </w:p>
    <w:p w14:paraId="3525D069" w14:textId="77777777" w:rsidR="00710919" w:rsidRPr="00710919" w:rsidRDefault="00710919" w:rsidP="00710919">
      <w:pPr>
        <w:pStyle w:val="EndNoteBibliography"/>
        <w:ind w:left="720" w:hanging="720"/>
        <w:rPr>
          <w:noProof/>
        </w:rPr>
      </w:pPr>
      <w:r w:rsidRPr="00710919">
        <w:rPr>
          <w:noProof/>
        </w:rPr>
        <w:t>13.</w:t>
      </w:r>
      <w:r w:rsidRPr="00710919">
        <w:rPr>
          <w:noProof/>
        </w:rPr>
        <w:tab/>
        <w:t xml:space="preserve">Vaswani, A., et al., </w:t>
      </w:r>
      <w:r w:rsidRPr="00710919">
        <w:rPr>
          <w:i/>
          <w:noProof/>
        </w:rPr>
        <w:t>Attention is all you need.</w:t>
      </w:r>
      <w:r w:rsidRPr="00710919">
        <w:rPr>
          <w:noProof/>
        </w:rPr>
        <w:t xml:space="preserve"> Advances in neural information processing systems, 2017. </w:t>
      </w:r>
      <w:r w:rsidRPr="00710919">
        <w:rPr>
          <w:b/>
          <w:noProof/>
        </w:rPr>
        <w:t>30</w:t>
      </w:r>
      <w:r w:rsidRPr="00710919">
        <w:rPr>
          <w:noProof/>
        </w:rPr>
        <w:t>.</w:t>
      </w:r>
    </w:p>
    <w:p w14:paraId="04E24987" w14:textId="77777777" w:rsidR="00710919" w:rsidRPr="00710919" w:rsidRDefault="00710919" w:rsidP="00710919">
      <w:pPr>
        <w:pStyle w:val="EndNoteBibliography"/>
        <w:ind w:left="720" w:hanging="720"/>
        <w:rPr>
          <w:noProof/>
        </w:rPr>
      </w:pPr>
      <w:r w:rsidRPr="00710919">
        <w:rPr>
          <w:noProof/>
        </w:rPr>
        <w:t>14.</w:t>
      </w:r>
      <w:r w:rsidRPr="00710919">
        <w:rPr>
          <w:noProof/>
        </w:rPr>
        <w:tab/>
        <w:t xml:space="preserve">Hendrycks, D. and K. Gimpel, </w:t>
      </w:r>
      <w:r w:rsidRPr="00710919">
        <w:rPr>
          <w:i/>
          <w:noProof/>
        </w:rPr>
        <w:t>Gaussian error linear units (gelus).</w:t>
      </w:r>
      <w:r w:rsidRPr="00710919">
        <w:rPr>
          <w:noProof/>
        </w:rPr>
        <w:t xml:space="preserve"> arXiv preprint arXiv:1606.08415, 2016.</w:t>
      </w:r>
    </w:p>
    <w:p w14:paraId="67BF09C5" w14:textId="77777777" w:rsidR="00710919" w:rsidRPr="00710919" w:rsidRDefault="00710919" w:rsidP="00710919">
      <w:pPr>
        <w:pStyle w:val="EndNoteBibliography"/>
        <w:ind w:left="720" w:hanging="720"/>
        <w:rPr>
          <w:noProof/>
        </w:rPr>
      </w:pPr>
      <w:r w:rsidRPr="00710919">
        <w:rPr>
          <w:noProof/>
        </w:rPr>
        <w:t>15.</w:t>
      </w:r>
      <w:r w:rsidRPr="00710919">
        <w:rPr>
          <w:noProof/>
        </w:rPr>
        <w:tab/>
        <w:t xml:space="preserve">Loshchilov, I. and F. Hutter, </w:t>
      </w:r>
      <w:r w:rsidRPr="00710919">
        <w:rPr>
          <w:i/>
          <w:noProof/>
        </w:rPr>
        <w:t>Sgdr: Stochastic gradient descent with warm restarts.</w:t>
      </w:r>
      <w:r w:rsidRPr="00710919">
        <w:rPr>
          <w:noProof/>
        </w:rPr>
        <w:t xml:space="preserve"> arXiv preprint arXiv:1608.03983, 2016.</w:t>
      </w:r>
    </w:p>
    <w:p w14:paraId="5B6DF746" w14:textId="77777777" w:rsidR="00710919" w:rsidRPr="00710919" w:rsidRDefault="00710919" w:rsidP="00710919">
      <w:pPr>
        <w:pStyle w:val="EndNoteBibliography"/>
        <w:ind w:left="720" w:hanging="720"/>
        <w:rPr>
          <w:noProof/>
        </w:rPr>
      </w:pPr>
      <w:r w:rsidRPr="00710919">
        <w:rPr>
          <w:noProof/>
        </w:rPr>
        <w:t>16.</w:t>
      </w:r>
      <w:r w:rsidRPr="00710919">
        <w:rPr>
          <w:noProof/>
        </w:rPr>
        <w:tab/>
        <w:t xml:space="preserve">Subramanian, G., et al., </w:t>
      </w:r>
      <w:r w:rsidRPr="00710919">
        <w:rPr>
          <w:i/>
          <w:noProof/>
        </w:rPr>
        <w:t>Computational modeling of β-secretase 1 (BACE-1) inhibitors using ligand based approaches.</w:t>
      </w:r>
      <w:r w:rsidRPr="00710919">
        <w:rPr>
          <w:noProof/>
        </w:rPr>
        <w:t xml:space="preserve"> Journal of chemical information and modeling, 2016. </w:t>
      </w:r>
      <w:r w:rsidRPr="00710919">
        <w:rPr>
          <w:b/>
          <w:noProof/>
        </w:rPr>
        <w:t>56</w:t>
      </w:r>
      <w:r w:rsidRPr="00710919">
        <w:rPr>
          <w:noProof/>
        </w:rPr>
        <w:t>(10): p. 1936-1949.</w:t>
      </w:r>
    </w:p>
    <w:p w14:paraId="2AE8B5D8" w14:textId="77777777" w:rsidR="00710919" w:rsidRPr="00710919" w:rsidRDefault="00710919" w:rsidP="00710919">
      <w:pPr>
        <w:pStyle w:val="EndNoteBibliography"/>
        <w:ind w:left="720" w:hanging="720"/>
        <w:rPr>
          <w:noProof/>
        </w:rPr>
      </w:pPr>
      <w:r w:rsidRPr="00710919">
        <w:rPr>
          <w:noProof/>
        </w:rPr>
        <w:t>17.</w:t>
      </w:r>
      <w:r w:rsidRPr="00710919">
        <w:rPr>
          <w:noProof/>
        </w:rPr>
        <w:tab/>
        <w:t xml:space="preserve">Martins, I.F., et al., </w:t>
      </w:r>
      <w:r w:rsidRPr="00710919">
        <w:rPr>
          <w:i/>
          <w:noProof/>
        </w:rPr>
        <w:t>A Bayesian approach to in silico blood-brain barrier penetration modeling.</w:t>
      </w:r>
      <w:r w:rsidRPr="00710919">
        <w:rPr>
          <w:noProof/>
        </w:rPr>
        <w:t xml:space="preserve"> </w:t>
      </w:r>
      <w:r w:rsidRPr="00710919">
        <w:rPr>
          <w:noProof/>
        </w:rPr>
        <w:lastRenderedPageBreak/>
        <w:t xml:space="preserve">Journal of chemical information and modeling, 2012. </w:t>
      </w:r>
      <w:r w:rsidRPr="00710919">
        <w:rPr>
          <w:b/>
          <w:noProof/>
        </w:rPr>
        <w:t>52</w:t>
      </w:r>
      <w:r w:rsidRPr="00710919">
        <w:rPr>
          <w:noProof/>
        </w:rPr>
        <w:t>(6): p. 1686-1697.</w:t>
      </w:r>
    </w:p>
    <w:p w14:paraId="4EBCCB2C" w14:textId="77777777" w:rsidR="00710919" w:rsidRPr="00710919" w:rsidRDefault="00710919" w:rsidP="00710919">
      <w:pPr>
        <w:pStyle w:val="EndNoteBibliography"/>
        <w:ind w:left="720" w:hanging="720"/>
        <w:rPr>
          <w:noProof/>
        </w:rPr>
      </w:pPr>
      <w:r w:rsidRPr="00710919">
        <w:rPr>
          <w:noProof/>
        </w:rPr>
        <w:t>18.</w:t>
      </w:r>
      <w:r w:rsidRPr="00710919">
        <w:rPr>
          <w:noProof/>
        </w:rPr>
        <w:tab/>
        <w:t xml:space="preserve">Krewski, D., et al., </w:t>
      </w:r>
      <w:r w:rsidRPr="00710919">
        <w:rPr>
          <w:i/>
          <w:noProof/>
        </w:rPr>
        <w:t>Toxicity testing in the 21st century: a vision and a strategy.</w:t>
      </w:r>
      <w:r w:rsidRPr="00710919">
        <w:rPr>
          <w:noProof/>
        </w:rPr>
        <w:t xml:space="preserve"> Journal of Toxicology and Environmental Health, Part B, 2010. </w:t>
      </w:r>
      <w:r w:rsidRPr="00710919">
        <w:rPr>
          <w:b/>
          <w:noProof/>
        </w:rPr>
        <w:t>13</w:t>
      </w:r>
      <w:r w:rsidRPr="00710919">
        <w:rPr>
          <w:noProof/>
        </w:rPr>
        <w:t>(2-4): p. 51-138.</w:t>
      </w:r>
    </w:p>
    <w:p w14:paraId="1460C1EA" w14:textId="77777777" w:rsidR="00710919" w:rsidRPr="00710919" w:rsidRDefault="00710919" w:rsidP="00710919">
      <w:pPr>
        <w:pStyle w:val="EndNoteBibliography"/>
        <w:ind w:left="720" w:hanging="720"/>
        <w:rPr>
          <w:noProof/>
        </w:rPr>
      </w:pPr>
      <w:r w:rsidRPr="00710919">
        <w:rPr>
          <w:noProof/>
        </w:rPr>
        <w:t>19.</w:t>
      </w:r>
      <w:r w:rsidRPr="00710919">
        <w:rPr>
          <w:noProof/>
        </w:rPr>
        <w:tab/>
        <w:t xml:space="preserve">Debnath, A.K., et al., </w:t>
      </w:r>
      <w:r w:rsidRPr="00710919">
        <w:rPr>
          <w:i/>
          <w:noProof/>
        </w:rPr>
        <w:t>Structure-activity relationship of mutagenic aromatic and heteroaromatic nitro compounds. correlation with molecular orbital energies and hydrophobicity.</w:t>
      </w:r>
      <w:r w:rsidRPr="00710919">
        <w:rPr>
          <w:noProof/>
        </w:rPr>
        <w:t xml:space="preserve"> Journal of medicinal chemistry, 1991. </w:t>
      </w:r>
      <w:r w:rsidRPr="00710919">
        <w:rPr>
          <w:b/>
          <w:noProof/>
        </w:rPr>
        <w:t>34</w:t>
      </w:r>
      <w:r w:rsidRPr="00710919">
        <w:rPr>
          <w:noProof/>
        </w:rPr>
        <w:t>(2): p. 786-797.</w:t>
      </w:r>
    </w:p>
    <w:p w14:paraId="02001B54" w14:textId="77777777" w:rsidR="00710919" w:rsidRPr="00710919" w:rsidRDefault="00710919" w:rsidP="00710919">
      <w:pPr>
        <w:pStyle w:val="EndNoteBibliography"/>
        <w:ind w:left="720" w:hanging="720"/>
        <w:rPr>
          <w:noProof/>
        </w:rPr>
      </w:pPr>
      <w:r w:rsidRPr="00710919">
        <w:rPr>
          <w:noProof/>
        </w:rPr>
        <w:t>20.</w:t>
      </w:r>
      <w:r w:rsidRPr="00710919">
        <w:rPr>
          <w:noProof/>
        </w:rPr>
        <w:tab/>
        <w:t xml:space="preserve">Kuhn, M., et al., </w:t>
      </w:r>
      <w:r w:rsidRPr="00710919">
        <w:rPr>
          <w:i/>
          <w:noProof/>
        </w:rPr>
        <w:t>The SIDER database of drugs and side effects.</w:t>
      </w:r>
      <w:r w:rsidRPr="00710919">
        <w:rPr>
          <w:noProof/>
        </w:rPr>
        <w:t xml:space="preserve"> Nucleic acids research, 2016. </w:t>
      </w:r>
      <w:r w:rsidRPr="00710919">
        <w:rPr>
          <w:b/>
          <w:noProof/>
        </w:rPr>
        <w:t>44</w:t>
      </w:r>
      <w:r w:rsidRPr="00710919">
        <w:rPr>
          <w:noProof/>
        </w:rPr>
        <w:t>(D1): p. D1075-D1079.</w:t>
      </w:r>
    </w:p>
    <w:p w14:paraId="13BF1E3C" w14:textId="77777777" w:rsidR="00710919" w:rsidRPr="00710919" w:rsidRDefault="00710919" w:rsidP="00710919">
      <w:pPr>
        <w:pStyle w:val="EndNoteBibliography"/>
        <w:ind w:left="720" w:hanging="720"/>
        <w:rPr>
          <w:noProof/>
        </w:rPr>
      </w:pPr>
      <w:r w:rsidRPr="00710919">
        <w:rPr>
          <w:noProof/>
        </w:rPr>
        <w:t>21.</w:t>
      </w:r>
      <w:r w:rsidRPr="00710919">
        <w:rPr>
          <w:noProof/>
        </w:rPr>
        <w:tab/>
        <w:t xml:space="preserve">Delaney, J.S., </w:t>
      </w:r>
      <w:r w:rsidRPr="00710919">
        <w:rPr>
          <w:i/>
          <w:noProof/>
        </w:rPr>
        <w:t>ESOL: estimating aqueous solubility directly from molecular structure.</w:t>
      </w:r>
      <w:r w:rsidRPr="00710919">
        <w:rPr>
          <w:noProof/>
        </w:rPr>
        <w:t xml:space="preserve"> Journal of chemical information and computer sciences, 2004. </w:t>
      </w:r>
      <w:r w:rsidRPr="00710919">
        <w:rPr>
          <w:b/>
          <w:noProof/>
        </w:rPr>
        <w:t>44</w:t>
      </w:r>
      <w:r w:rsidRPr="00710919">
        <w:rPr>
          <w:noProof/>
        </w:rPr>
        <w:t>(3): p. 1000-1005.</w:t>
      </w:r>
    </w:p>
    <w:p w14:paraId="0B2C0E83" w14:textId="002B2F38" w:rsidR="00123580" w:rsidRPr="00AF2E83" w:rsidRDefault="00411C9C" w:rsidP="008A2C2A">
      <w:pPr>
        <w:autoSpaceDE w:val="0"/>
        <w:autoSpaceDN w:val="0"/>
        <w:adjustRightInd w:val="0"/>
        <w:rPr>
          <w:rFonts w:ascii="Times New Roman" w:eastAsia="標楷體" w:hAnsi="Times New Roman" w:cs="Times New Roman"/>
          <w:color w:val="000000"/>
        </w:rPr>
      </w:pPr>
      <w:r>
        <w:rPr>
          <w:rFonts w:ascii="Times New Roman" w:eastAsia="標楷體" w:hAnsi="Times New Roman" w:cs="Times New Roman"/>
          <w:color w:val="000000"/>
        </w:rPr>
        <w:fldChar w:fldCharType="end"/>
      </w:r>
    </w:p>
    <w:sectPr w:rsidR="00123580" w:rsidRPr="00AF2E83" w:rsidSect="00C0354E">
      <w:footerReference w:type="even" r:id="rId18"/>
      <w:footerReference w:type="default" r:id="rId19"/>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58EC12" w14:textId="77777777" w:rsidR="00B666EB" w:rsidRDefault="00B666EB">
      <w:r>
        <w:separator/>
      </w:r>
    </w:p>
  </w:endnote>
  <w:endnote w:type="continuationSeparator" w:id="0">
    <w:p w14:paraId="6A08CFC5" w14:textId="77777777" w:rsidR="00B666EB" w:rsidRDefault="00B66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2010601000101010101"/>
    <w:charset w:val="88"/>
    <w:family w:val="script"/>
    <w:pitch w:val="fixed"/>
    <w:sig w:usb0="00000003" w:usb1="080E0000" w:usb2="00000016" w:usb3="00000000" w:csb0="00100001" w:csb1="00000000"/>
  </w:font>
  <w:font w:name="Menlo">
    <w:panose1 w:val="020B0609030804020204"/>
    <w:charset w:val="00"/>
    <w:family w:val="modern"/>
    <w:pitch w:val="fixed"/>
    <w:sig w:usb0="E60022FF" w:usb1="D200F9FB" w:usb2="02000028" w:usb3="00000000" w:csb0="000001D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B41D58" w14:textId="7D982F4C" w:rsidR="008D4C1F" w:rsidRDefault="008D4C1F" w:rsidP="00BE28CC">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820270">
      <w:rPr>
        <w:rStyle w:val="a4"/>
        <w:noProof/>
      </w:rPr>
      <w:t>8</w:t>
    </w:r>
    <w:r>
      <w:rPr>
        <w:rStyle w:val="a4"/>
      </w:rPr>
      <w:fldChar w:fldCharType="end"/>
    </w:r>
  </w:p>
  <w:p w14:paraId="3CD6B4E7" w14:textId="77777777" w:rsidR="008D4C1F" w:rsidRDefault="008D4C1F">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47D8A8" w14:textId="77777777" w:rsidR="008D4C1F" w:rsidRDefault="008D4C1F" w:rsidP="00BE28CC">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C205CD">
      <w:rPr>
        <w:rStyle w:val="a4"/>
        <w:noProof/>
      </w:rPr>
      <w:t>1</w:t>
    </w:r>
    <w:r>
      <w:rPr>
        <w:rStyle w:val="a4"/>
      </w:rPr>
      <w:fldChar w:fldCharType="end"/>
    </w:r>
  </w:p>
  <w:p w14:paraId="3A4F5DE7" w14:textId="77777777" w:rsidR="008D4C1F" w:rsidRDefault="008D4C1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7071D2" w14:textId="77777777" w:rsidR="00B666EB" w:rsidRDefault="00B666EB">
      <w:r>
        <w:separator/>
      </w:r>
    </w:p>
  </w:footnote>
  <w:footnote w:type="continuationSeparator" w:id="0">
    <w:p w14:paraId="1EAC901F" w14:textId="77777777" w:rsidR="00B666EB" w:rsidRDefault="00B666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E331B1"/>
    <w:multiLevelType w:val="hybridMultilevel"/>
    <w:tmpl w:val="7BD04970"/>
    <w:lvl w:ilvl="0" w:tplc="7DE8C3B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AE34F63"/>
    <w:multiLevelType w:val="hybridMultilevel"/>
    <w:tmpl w:val="153E4232"/>
    <w:lvl w:ilvl="0" w:tplc="C504C17A">
      <w:start w:val="1"/>
      <w:numFmt w:val="taiwaneseCountingThousand"/>
      <w:lvlText w:val="(%1)"/>
      <w:lvlJc w:val="left"/>
      <w:pPr>
        <w:tabs>
          <w:tab w:val="num" w:pos="1571"/>
        </w:tabs>
        <w:ind w:left="1571" w:hanging="720"/>
      </w:pPr>
      <w:rPr>
        <w:rFonts w:hint="eastAsia"/>
      </w:rPr>
    </w:lvl>
    <w:lvl w:ilvl="1" w:tplc="04090019" w:tentative="1">
      <w:start w:val="1"/>
      <w:numFmt w:val="ideographTraditional"/>
      <w:lvlText w:val="%2、"/>
      <w:lvlJc w:val="left"/>
      <w:pPr>
        <w:tabs>
          <w:tab w:val="num" w:pos="1811"/>
        </w:tabs>
        <w:ind w:left="1811" w:hanging="480"/>
      </w:pPr>
    </w:lvl>
    <w:lvl w:ilvl="2" w:tplc="0409001B" w:tentative="1">
      <w:start w:val="1"/>
      <w:numFmt w:val="lowerRoman"/>
      <w:lvlText w:val="%3."/>
      <w:lvlJc w:val="right"/>
      <w:pPr>
        <w:tabs>
          <w:tab w:val="num" w:pos="2291"/>
        </w:tabs>
        <w:ind w:left="2291" w:hanging="480"/>
      </w:pPr>
    </w:lvl>
    <w:lvl w:ilvl="3" w:tplc="0409000F" w:tentative="1">
      <w:start w:val="1"/>
      <w:numFmt w:val="decimal"/>
      <w:lvlText w:val="%4."/>
      <w:lvlJc w:val="left"/>
      <w:pPr>
        <w:tabs>
          <w:tab w:val="num" w:pos="2771"/>
        </w:tabs>
        <w:ind w:left="2771" w:hanging="480"/>
      </w:pPr>
    </w:lvl>
    <w:lvl w:ilvl="4" w:tplc="04090019" w:tentative="1">
      <w:start w:val="1"/>
      <w:numFmt w:val="ideographTraditional"/>
      <w:lvlText w:val="%5、"/>
      <w:lvlJc w:val="left"/>
      <w:pPr>
        <w:tabs>
          <w:tab w:val="num" w:pos="3251"/>
        </w:tabs>
        <w:ind w:left="3251" w:hanging="480"/>
      </w:pPr>
    </w:lvl>
    <w:lvl w:ilvl="5" w:tplc="0409001B" w:tentative="1">
      <w:start w:val="1"/>
      <w:numFmt w:val="lowerRoman"/>
      <w:lvlText w:val="%6."/>
      <w:lvlJc w:val="right"/>
      <w:pPr>
        <w:tabs>
          <w:tab w:val="num" w:pos="3731"/>
        </w:tabs>
        <w:ind w:left="3731" w:hanging="480"/>
      </w:pPr>
    </w:lvl>
    <w:lvl w:ilvl="6" w:tplc="0409000F" w:tentative="1">
      <w:start w:val="1"/>
      <w:numFmt w:val="decimal"/>
      <w:lvlText w:val="%7."/>
      <w:lvlJc w:val="left"/>
      <w:pPr>
        <w:tabs>
          <w:tab w:val="num" w:pos="4211"/>
        </w:tabs>
        <w:ind w:left="4211" w:hanging="480"/>
      </w:pPr>
    </w:lvl>
    <w:lvl w:ilvl="7" w:tplc="04090019" w:tentative="1">
      <w:start w:val="1"/>
      <w:numFmt w:val="ideographTraditional"/>
      <w:lvlText w:val="%8、"/>
      <w:lvlJc w:val="left"/>
      <w:pPr>
        <w:tabs>
          <w:tab w:val="num" w:pos="4691"/>
        </w:tabs>
        <w:ind w:left="4691" w:hanging="480"/>
      </w:pPr>
    </w:lvl>
    <w:lvl w:ilvl="8" w:tplc="0409001B" w:tentative="1">
      <w:start w:val="1"/>
      <w:numFmt w:val="lowerRoman"/>
      <w:lvlText w:val="%9."/>
      <w:lvlJc w:val="right"/>
      <w:pPr>
        <w:tabs>
          <w:tab w:val="num" w:pos="5171"/>
        </w:tabs>
        <w:ind w:left="5171" w:hanging="480"/>
      </w:pPr>
    </w:lvl>
  </w:abstractNum>
  <w:abstractNum w:abstractNumId="2" w15:restartNumberingAfterBreak="0">
    <w:nsid w:val="4B75142C"/>
    <w:multiLevelType w:val="hybridMultilevel"/>
    <w:tmpl w:val="6C744076"/>
    <w:lvl w:ilvl="0" w:tplc="EF34211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6A452DF1"/>
    <w:multiLevelType w:val="multilevel"/>
    <w:tmpl w:val="6450E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5648F0"/>
    <w:multiLevelType w:val="hybridMultilevel"/>
    <w:tmpl w:val="F488A342"/>
    <w:lvl w:ilvl="0" w:tplc="C91A7A2E">
      <w:start w:val="1"/>
      <w:numFmt w:val="decimal"/>
      <w:lvlText w:val="%1."/>
      <w:lvlJc w:val="left"/>
      <w:pPr>
        <w:tabs>
          <w:tab w:val="num" w:pos="1493"/>
        </w:tabs>
        <w:ind w:left="1493" w:hanging="360"/>
      </w:pPr>
      <w:rPr>
        <w:rFonts w:hint="eastAsia"/>
      </w:rPr>
    </w:lvl>
    <w:lvl w:ilvl="1" w:tplc="A2AE749A">
      <w:start w:val="10"/>
      <w:numFmt w:val="taiwaneseCountingThousand"/>
      <w:lvlText w:val="%2、"/>
      <w:lvlJc w:val="left"/>
      <w:pPr>
        <w:tabs>
          <w:tab w:val="num" w:pos="2333"/>
        </w:tabs>
        <w:ind w:left="2333" w:hanging="720"/>
      </w:pPr>
      <w:rPr>
        <w:rFonts w:hint="eastAsia"/>
      </w:rPr>
    </w:lvl>
    <w:lvl w:ilvl="2" w:tplc="0409001B" w:tentative="1">
      <w:start w:val="1"/>
      <w:numFmt w:val="lowerRoman"/>
      <w:lvlText w:val="%3."/>
      <w:lvlJc w:val="right"/>
      <w:pPr>
        <w:tabs>
          <w:tab w:val="num" w:pos="2573"/>
        </w:tabs>
        <w:ind w:left="2573" w:hanging="480"/>
      </w:pPr>
    </w:lvl>
    <w:lvl w:ilvl="3" w:tplc="0409000F" w:tentative="1">
      <w:start w:val="1"/>
      <w:numFmt w:val="decimal"/>
      <w:lvlText w:val="%4."/>
      <w:lvlJc w:val="left"/>
      <w:pPr>
        <w:tabs>
          <w:tab w:val="num" w:pos="3053"/>
        </w:tabs>
        <w:ind w:left="3053" w:hanging="480"/>
      </w:pPr>
    </w:lvl>
    <w:lvl w:ilvl="4" w:tplc="04090019" w:tentative="1">
      <w:start w:val="1"/>
      <w:numFmt w:val="ideographTraditional"/>
      <w:lvlText w:val="%5、"/>
      <w:lvlJc w:val="left"/>
      <w:pPr>
        <w:tabs>
          <w:tab w:val="num" w:pos="3533"/>
        </w:tabs>
        <w:ind w:left="3533" w:hanging="480"/>
      </w:pPr>
    </w:lvl>
    <w:lvl w:ilvl="5" w:tplc="0409001B" w:tentative="1">
      <w:start w:val="1"/>
      <w:numFmt w:val="lowerRoman"/>
      <w:lvlText w:val="%6."/>
      <w:lvlJc w:val="right"/>
      <w:pPr>
        <w:tabs>
          <w:tab w:val="num" w:pos="4013"/>
        </w:tabs>
        <w:ind w:left="4013" w:hanging="480"/>
      </w:pPr>
    </w:lvl>
    <w:lvl w:ilvl="6" w:tplc="0409000F" w:tentative="1">
      <w:start w:val="1"/>
      <w:numFmt w:val="decimal"/>
      <w:lvlText w:val="%7."/>
      <w:lvlJc w:val="left"/>
      <w:pPr>
        <w:tabs>
          <w:tab w:val="num" w:pos="4493"/>
        </w:tabs>
        <w:ind w:left="4493" w:hanging="480"/>
      </w:pPr>
    </w:lvl>
    <w:lvl w:ilvl="7" w:tplc="04090019" w:tentative="1">
      <w:start w:val="1"/>
      <w:numFmt w:val="ideographTraditional"/>
      <w:lvlText w:val="%8、"/>
      <w:lvlJc w:val="left"/>
      <w:pPr>
        <w:tabs>
          <w:tab w:val="num" w:pos="4973"/>
        </w:tabs>
        <w:ind w:left="4973" w:hanging="480"/>
      </w:pPr>
    </w:lvl>
    <w:lvl w:ilvl="8" w:tplc="0409001B" w:tentative="1">
      <w:start w:val="1"/>
      <w:numFmt w:val="lowerRoman"/>
      <w:lvlText w:val="%9."/>
      <w:lvlJc w:val="right"/>
      <w:pPr>
        <w:tabs>
          <w:tab w:val="num" w:pos="5453"/>
        </w:tabs>
        <w:ind w:left="5453" w:hanging="480"/>
      </w:pPr>
    </w:lvl>
  </w:abstractNum>
  <w:abstractNum w:abstractNumId="5" w15:restartNumberingAfterBreak="0">
    <w:nsid w:val="74BA5C36"/>
    <w:multiLevelType w:val="hybridMultilevel"/>
    <w:tmpl w:val="8E14116A"/>
    <w:lvl w:ilvl="0" w:tplc="9334B580">
      <w:start w:val="1"/>
      <w:numFmt w:val="taiwaneseCountingThousand"/>
      <w:lvlText w:val="（%1）"/>
      <w:lvlJc w:val="left"/>
      <w:pPr>
        <w:ind w:left="1080" w:hanging="10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696006760">
    <w:abstractNumId w:val="4"/>
  </w:num>
  <w:num w:numId="2" w16cid:durableId="757599570">
    <w:abstractNumId w:val="1"/>
  </w:num>
  <w:num w:numId="3" w16cid:durableId="1529177096">
    <w:abstractNumId w:val="0"/>
  </w:num>
  <w:num w:numId="4" w16cid:durableId="1581476328">
    <w:abstractNumId w:val="5"/>
  </w:num>
  <w:num w:numId="5" w16cid:durableId="1444617658">
    <w:abstractNumId w:val="2"/>
  </w:num>
  <w:num w:numId="6" w16cid:durableId="1187062042">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5s22w5rd0devle050v55zrfasde5xaxfzae&quot;&gt;My EndNote Library&lt;record-ids&gt;&lt;item&gt;12&lt;/item&gt;&lt;item&gt;16&lt;/item&gt;&lt;item&gt;23&lt;/item&gt;&lt;item&gt;24&lt;/item&gt;&lt;item&gt;26&lt;/item&gt;&lt;item&gt;59&lt;/item&gt;&lt;item&gt;76&lt;/item&gt;&lt;item&gt;77&lt;/item&gt;&lt;item&gt;79&lt;/item&gt;&lt;item&gt;88&lt;/item&gt;&lt;item&gt;92&lt;/item&gt;&lt;item&gt;104&lt;/item&gt;&lt;item&gt;105&lt;/item&gt;&lt;item&gt;106&lt;/item&gt;&lt;item&gt;119&lt;/item&gt;&lt;item&gt;120&lt;/item&gt;&lt;/record-ids&gt;&lt;/item&gt;&lt;/Libraries&gt;"/>
  </w:docVars>
  <w:rsids>
    <w:rsidRoot w:val="00F669F2"/>
    <w:rsid w:val="00005BD2"/>
    <w:rsid w:val="00007D6F"/>
    <w:rsid w:val="00012CC6"/>
    <w:rsid w:val="00014DCA"/>
    <w:rsid w:val="0001577B"/>
    <w:rsid w:val="0001738E"/>
    <w:rsid w:val="000203C0"/>
    <w:rsid w:val="0002283D"/>
    <w:rsid w:val="000270F2"/>
    <w:rsid w:val="0003335A"/>
    <w:rsid w:val="000334E1"/>
    <w:rsid w:val="000360FB"/>
    <w:rsid w:val="00037F9C"/>
    <w:rsid w:val="00052F99"/>
    <w:rsid w:val="00063293"/>
    <w:rsid w:val="00065F60"/>
    <w:rsid w:val="000717E1"/>
    <w:rsid w:val="00080C2C"/>
    <w:rsid w:val="00084E70"/>
    <w:rsid w:val="000877B8"/>
    <w:rsid w:val="000A356B"/>
    <w:rsid w:val="000A42A8"/>
    <w:rsid w:val="000B4C4F"/>
    <w:rsid w:val="000B63E0"/>
    <w:rsid w:val="000D00A1"/>
    <w:rsid w:val="000D22F9"/>
    <w:rsid w:val="000D2BFE"/>
    <w:rsid w:val="000D6347"/>
    <w:rsid w:val="000E291A"/>
    <w:rsid w:val="000F03CD"/>
    <w:rsid w:val="000F2F6F"/>
    <w:rsid w:val="000F4811"/>
    <w:rsid w:val="0010486A"/>
    <w:rsid w:val="00113E2A"/>
    <w:rsid w:val="001232BF"/>
    <w:rsid w:val="00123580"/>
    <w:rsid w:val="0012517D"/>
    <w:rsid w:val="001258A9"/>
    <w:rsid w:val="001300B2"/>
    <w:rsid w:val="0013270A"/>
    <w:rsid w:val="00133E13"/>
    <w:rsid w:val="001363CD"/>
    <w:rsid w:val="00137785"/>
    <w:rsid w:val="001419BB"/>
    <w:rsid w:val="0014630C"/>
    <w:rsid w:val="001524EE"/>
    <w:rsid w:val="001551FF"/>
    <w:rsid w:val="00156D62"/>
    <w:rsid w:val="0015700A"/>
    <w:rsid w:val="001643F4"/>
    <w:rsid w:val="00164855"/>
    <w:rsid w:val="00166EE2"/>
    <w:rsid w:val="001724C3"/>
    <w:rsid w:val="0017260C"/>
    <w:rsid w:val="00173342"/>
    <w:rsid w:val="00183BE7"/>
    <w:rsid w:val="001860D3"/>
    <w:rsid w:val="00187FC7"/>
    <w:rsid w:val="0019429D"/>
    <w:rsid w:val="00194B74"/>
    <w:rsid w:val="001955D8"/>
    <w:rsid w:val="001A284B"/>
    <w:rsid w:val="001A60DB"/>
    <w:rsid w:val="001C2D2B"/>
    <w:rsid w:val="001C4F2B"/>
    <w:rsid w:val="001D25A0"/>
    <w:rsid w:val="001D5BB6"/>
    <w:rsid w:val="001D7B08"/>
    <w:rsid w:val="001E10FE"/>
    <w:rsid w:val="001E2505"/>
    <w:rsid w:val="001E61A5"/>
    <w:rsid w:val="001F0A42"/>
    <w:rsid w:val="00203AC4"/>
    <w:rsid w:val="00203FA8"/>
    <w:rsid w:val="00213F09"/>
    <w:rsid w:val="00224C49"/>
    <w:rsid w:val="00225711"/>
    <w:rsid w:val="00237627"/>
    <w:rsid w:val="00240002"/>
    <w:rsid w:val="0024030A"/>
    <w:rsid w:val="00241831"/>
    <w:rsid w:val="00243A30"/>
    <w:rsid w:val="00245002"/>
    <w:rsid w:val="00252727"/>
    <w:rsid w:val="00267FBA"/>
    <w:rsid w:val="00270DA9"/>
    <w:rsid w:val="00283784"/>
    <w:rsid w:val="00283DF6"/>
    <w:rsid w:val="00284A26"/>
    <w:rsid w:val="00291722"/>
    <w:rsid w:val="00297D61"/>
    <w:rsid w:val="002A666F"/>
    <w:rsid w:val="002B2426"/>
    <w:rsid w:val="002C5D20"/>
    <w:rsid w:val="002C73D8"/>
    <w:rsid w:val="002D21C4"/>
    <w:rsid w:val="002D77EA"/>
    <w:rsid w:val="002F2591"/>
    <w:rsid w:val="002F43EB"/>
    <w:rsid w:val="002F6E2F"/>
    <w:rsid w:val="003062BE"/>
    <w:rsid w:val="00306DA0"/>
    <w:rsid w:val="00307B0D"/>
    <w:rsid w:val="0031052A"/>
    <w:rsid w:val="00310CCD"/>
    <w:rsid w:val="0031595E"/>
    <w:rsid w:val="003242E8"/>
    <w:rsid w:val="00327012"/>
    <w:rsid w:val="00331E65"/>
    <w:rsid w:val="0033477D"/>
    <w:rsid w:val="00340EA2"/>
    <w:rsid w:val="003421FA"/>
    <w:rsid w:val="00342777"/>
    <w:rsid w:val="003448AD"/>
    <w:rsid w:val="0034583A"/>
    <w:rsid w:val="00346EEF"/>
    <w:rsid w:val="0035561B"/>
    <w:rsid w:val="0036164B"/>
    <w:rsid w:val="00366639"/>
    <w:rsid w:val="00366FED"/>
    <w:rsid w:val="00374F5C"/>
    <w:rsid w:val="00375069"/>
    <w:rsid w:val="00375469"/>
    <w:rsid w:val="00377436"/>
    <w:rsid w:val="003812A6"/>
    <w:rsid w:val="00382B64"/>
    <w:rsid w:val="00391D33"/>
    <w:rsid w:val="003938DF"/>
    <w:rsid w:val="00397D71"/>
    <w:rsid w:val="003A1F61"/>
    <w:rsid w:val="003A3BD3"/>
    <w:rsid w:val="003B02F4"/>
    <w:rsid w:val="003B0BFD"/>
    <w:rsid w:val="003B3F68"/>
    <w:rsid w:val="003B5B4D"/>
    <w:rsid w:val="003C2067"/>
    <w:rsid w:val="003C2B8A"/>
    <w:rsid w:val="003C44C8"/>
    <w:rsid w:val="003C4C73"/>
    <w:rsid w:val="003C5F62"/>
    <w:rsid w:val="003C6999"/>
    <w:rsid w:val="003D1982"/>
    <w:rsid w:val="003D4D8B"/>
    <w:rsid w:val="003D5C0A"/>
    <w:rsid w:val="003E3B90"/>
    <w:rsid w:val="003F0969"/>
    <w:rsid w:val="003F3BC4"/>
    <w:rsid w:val="00401321"/>
    <w:rsid w:val="00401FB9"/>
    <w:rsid w:val="00406EC3"/>
    <w:rsid w:val="004079D2"/>
    <w:rsid w:val="00411C9C"/>
    <w:rsid w:val="00416997"/>
    <w:rsid w:val="00432615"/>
    <w:rsid w:val="00434ED6"/>
    <w:rsid w:val="004412F9"/>
    <w:rsid w:val="00442981"/>
    <w:rsid w:val="00453EED"/>
    <w:rsid w:val="00457CB5"/>
    <w:rsid w:val="00463886"/>
    <w:rsid w:val="004645C1"/>
    <w:rsid w:val="00467DAE"/>
    <w:rsid w:val="00473996"/>
    <w:rsid w:val="00485F90"/>
    <w:rsid w:val="00487795"/>
    <w:rsid w:val="004932C7"/>
    <w:rsid w:val="004B0339"/>
    <w:rsid w:val="004B0699"/>
    <w:rsid w:val="004B7D62"/>
    <w:rsid w:val="004C21A3"/>
    <w:rsid w:val="004C4D9A"/>
    <w:rsid w:val="004C74DF"/>
    <w:rsid w:val="004D13AA"/>
    <w:rsid w:val="004D2C4A"/>
    <w:rsid w:val="004D3EE7"/>
    <w:rsid w:val="004D7BB5"/>
    <w:rsid w:val="004E0E74"/>
    <w:rsid w:val="004E61E8"/>
    <w:rsid w:val="004F5B32"/>
    <w:rsid w:val="00503F55"/>
    <w:rsid w:val="005103BC"/>
    <w:rsid w:val="00530739"/>
    <w:rsid w:val="00531E16"/>
    <w:rsid w:val="0053230B"/>
    <w:rsid w:val="00533EFA"/>
    <w:rsid w:val="00534B9B"/>
    <w:rsid w:val="005359B7"/>
    <w:rsid w:val="0054052C"/>
    <w:rsid w:val="005522C3"/>
    <w:rsid w:val="00555916"/>
    <w:rsid w:val="00555AEE"/>
    <w:rsid w:val="0056323A"/>
    <w:rsid w:val="00567BF4"/>
    <w:rsid w:val="00575D66"/>
    <w:rsid w:val="00580C86"/>
    <w:rsid w:val="005869C9"/>
    <w:rsid w:val="00592EC0"/>
    <w:rsid w:val="005A2D60"/>
    <w:rsid w:val="005A337C"/>
    <w:rsid w:val="005A69F2"/>
    <w:rsid w:val="005A73D7"/>
    <w:rsid w:val="005B52DA"/>
    <w:rsid w:val="005B5734"/>
    <w:rsid w:val="005B7E94"/>
    <w:rsid w:val="005D0687"/>
    <w:rsid w:val="005D09E7"/>
    <w:rsid w:val="005D179E"/>
    <w:rsid w:val="005F15A5"/>
    <w:rsid w:val="005F16C3"/>
    <w:rsid w:val="005F3A42"/>
    <w:rsid w:val="005F54D5"/>
    <w:rsid w:val="00601F8E"/>
    <w:rsid w:val="006056C3"/>
    <w:rsid w:val="00607575"/>
    <w:rsid w:val="00614B19"/>
    <w:rsid w:val="006220C6"/>
    <w:rsid w:val="006347B1"/>
    <w:rsid w:val="006417E8"/>
    <w:rsid w:val="00646790"/>
    <w:rsid w:val="006550A5"/>
    <w:rsid w:val="006560B9"/>
    <w:rsid w:val="0066181D"/>
    <w:rsid w:val="00673EB8"/>
    <w:rsid w:val="006760BD"/>
    <w:rsid w:val="00681205"/>
    <w:rsid w:val="00681460"/>
    <w:rsid w:val="0068232F"/>
    <w:rsid w:val="00682C15"/>
    <w:rsid w:val="006A2B1C"/>
    <w:rsid w:val="006A74D3"/>
    <w:rsid w:val="006A78AC"/>
    <w:rsid w:val="006C375E"/>
    <w:rsid w:val="006C7868"/>
    <w:rsid w:val="006D4D03"/>
    <w:rsid w:val="006D5FFE"/>
    <w:rsid w:val="006E0907"/>
    <w:rsid w:val="006F01B8"/>
    <w:rsid w:val="006F2EDA"/>
    <w:rsid w:val="00702BC7"/>
    <w:rsid w:val="00710919"/>
    <w:rsid w:val="00711AC3"/>
    <w:rsid w:val="007136EE"/>
    <w:rsid w:val="00713A4E"/>
    <w:rsid w:val="007168C0"/>
    <w:rsid w:val="00717787"/>
    <w:rsid w:val="00720684"/>
    <w:rsid w:val="00722205"/>
    <w:rsid w:val="00726B8D"/>
    <w:rsid w:val="00731682"/>
    <w:rsid w:val="00731D57"/>
    <w:rsid w:val="0073545E"/>
    <w:rsid w:val="00740BB9"/>
    <w:rsid w:val="007506A3"/>
    <w:rsid w:val="0075413B"/>
    <w:rsid w:val="00757625"/>
    <w:rsid w:val="0076349F"/>
    <w:rsid w:val="00765288"/>
    <w:rsid w:val="00770636"/>
    <w:rsid w:val="00771498"/>
    <w:rsid w:val="007816F7"/>
    <w:rsid w:val="00783B85"/>
    <w:rsid w:val="007856B4"/>
    <w:rsid w:val="00787825"/>
    <w:rsid w:val="007A08D2"/>
    <w:rsid w:val="007A2494"/>
    <w:rsid w:val="007A43C0"/>
    <w:rsid w:val="007A5EFE"/>
    <w:rsid w:val="007B0558"/>
    <w:rsid w:val="007B338E"/>
    <w:rsid w:val="007B5652"/>
    <w:rsid w:val="007C4AF7"/>
    <w:rsid w:val="007C6A88"/>
    <w:rsid w:val="007C7693"/>
    <w:rsid w:val="007E07A1"/>
    <w:rsid w:val="007E142C"/>
    <w:rsid w:val="007E650C"/>
    <w:rsid w:val="007F59E8"/>
    <w:rsid w:val="007F5D28"/>
    <w:rsid w:val="007F7DAA"/>
    <w:rsid w:val="00801FD3"/>
    <w:rsid w:val="00812592"/>
    <w:rsid w:val="00816464"/>
    <w:rsid w:val="00817464"/>
    <w:rsid w:val="00817668"/>
    <w:rsid w:val="00817D70"/>
    <w:rsid w:val="00820270"/>
    <w:rsid w:val="00832C7D"/>
    <w:rsid w:val="00833CCA"/>
    <w:rsid w:val="0083508B"/>
    <w:rsid w:val="0084120A"/>
    <w:rsid w:val="008418C0"/>
    <w:rsid w:val="00845BD6"/>
    <w:rsid w:val="00847BFA"/>
    <w:rsid w:val="008569ED"/>
    <w:rsid w:val="00864B95"/>
    <w:rsid w:val="00872CFA"/>
    <w:rsid w:val="008741AA"/>
    <w:rsid w:val="00874DEB"/>
    <w:rsid w:val="00876070"/>
    <w:rsid w:val="00876AB5"/>
    <w:rsid w:val="00877652"/>
    <w:rsid w:val="00877A1E"/>
    <w:rsid w:val="00883192"/>
    <w:rsid w:val="008A2C2A"/>
    <w:rsid w:val="008B7DF9"/>
    <w:rsid w:val="008C1853"/>
    <w:rsid w:val="008D4C1F"/>
    <w:rsid w:val="008D5824"/>
    <w:rsid w:val="008E04B1"/>
    <w:rsid w:val="008E0973"/>
    <w:rsid w:val="008E13CB"/>
    <w:rsid w:val="008E7988"/>
    <w:rsid w:val="008F087A"/>
    <w:rsid w:val="008F09F6"/>
    <w:rsid w:val="0090247D"/>
    <w:rsid w:val="00903B80"/>
    <w:rsid w:val="00904362"/>
    <w:rsid w:val="0091049C"/>
    <w:rsid w:val="0091092E"/>
    <w:rsid w:val="00921787"/>
    <w:rsid w:val="0093609B"/>
    <w:rsid w:val="00936738"/>
    <w:rsid w:val="00937A27"/>
    <w:rsid w:val="0094360D"/>
    <w:rsid w:val="00954B03"/>
    <w:rsid w:val="009560FB"/>
    <w:rsid w:val="009561AA"/>
    <w:rsid w:val="0096508F"/>
    <w:rsid w:val="00966AB0"/>
    <w:rsid w:val="009676D3"/>
    <w:rsid w:val="00973D4C"/>
    <w:rsid w:val="009841CA"/>
    <w:rsid w:val="00984C77"/>
    <w:rsid w:val="00987626"/>
    <w:rsid w:val="009902C9"/>
    <w:rsid w:val="00991B0D"/>
    <w:rsid w:val="00991F0F"/>
    <w:rsid w:val="0099387D"/>
    <w:rsid w:val="0099442B"/>
    <w:rsid w:val="00996AEF"/>
    <w:rsid w:val="009A0359"/>
    <w:rsid w:val="009A2196"/>
    <w:rsid w:val="009B11EF"/>
    <w:rsid w:val="009B4136"/>
    <w:rsid w:val="009B4F36"/>
    <w:rsid w:val="009C26FD"/>
    <w:rsid w:val="009C3A34"/>
    <w:rsid w:val="009C7095"/>
    <w:rsid w:val="009D0CBF"/>
    <w:rsid w:val="009F182E"/>
    <w:rsid w:val="00A045E9"/>
    <w:rsid w:val="00A050E1"/>
    <w:rsid w:val="00A05889"/>
    <w:rsid w:val="00A06B0C"/>
    <w:rsid w:val="00A203F3"/>
    <w:rsid w:val="00A21A22"/>
    <w:rsid w:val="00A32A1B"/>
    <w:rsid w:val="00A45519"/>
    <w:rsid w:val="00A76806"/>
    <w:rsid w:val="00A86DC6"/>
    <w:rsid w:val="00A91863"/>
    <w:rsid w:val="00AA6C1D"/>
    <w:rsid w:val="00AB147D"/>
    <w:rsid w:val="00AC1CEF"/>
    <w:rsid w:val="00AC2607"/>
    <w:rsid w:val="00AC3589"/>
    <w:rsid w:val="00AC63FD"/>
    <w:rsid w:val="00AC644A"/>
    <w:rsid w:val="00AC7470"/>
    <w:rsid w:val="00AC74AD"/>
    <w:rsid w:val="00AC7907"/>
    <w:rsid w:val="00AD0EA7"/>
    <w:rsid w:val="00AE0D75"/>
    <w:rsid w:val="00AE2AD6"/>
    <w:rsid w:val="00AF1FD2"/>
    <w:rsid w:val="00AF2E83"/>
    <w:rsid w:val="00AF59E7"/>
    <w:rsid w:val="00B002F0"/>
    <w:rsid w:val="00B13784"/>
    <w:rsid w:val="00B14B2F"/>
    <w:rsid w:val="00B15676"/>
    <w:rsid w:val="00B15D67"/>
    <w:rsid w:val="00B27262"/>
    <w:rsid w:val="00B33C8E"/>
    <w:rsid w:val="00B36727"/>
    <w:rsid w:val="00B37070"/>
    <w:rsid w:val="00B42B0E"/>
    <w:rsid w:val="00B450D0"/>
    <w:rsid w:val="00B476BF"/>
    <w:rsid w:val="00B50938"/>
    <w:rsid w:val="00B60900"/>
    <w:rsid w:val="00B62CF9"/>
    <w:rsid w:val="00B666EB"/>
    <w:rsid w:val="00B6774D"/>
    <w:rsid w:val="00B67B8A"/>
    <w:rsid w:val="00B7041C"/>
    <w:rsid w:val="00B77F6E"/>
    <w:rsid w:val="00B914C7"/>
    <w:rsid w:val="00BB2B48"/>
    <w:rsid w:val="00BB6E18"/>
    <w:rsid w:val="00BC30DA"/>
    <w:rsid w:val="00BC350F"/>
    <w:rsid w:val="00BD0D7B"/>
    <w:rsid w:val="00BD71AA"/>
    <w:rsid w:val="00BE0684"/>
    <w:rsid w:val="00BE28CC"/>
    <w:rsid w:val="00BE68CD"/>
    <w:rsid w:val="00BF4EBC"/>
    <w:rsid w:val="00C0354E"/>
    <w:rsid w:val="00C0624A"/>
    <w:rsid w:val="00C106F3"/>
    <w:rsid w:val="00C14D75"/>
    <w:rsid w:val="00C157E9"/>
    <w:rsid w:val="00C1674F"/>
    <w:rsid w:val="00C205CD"/>
    <w:rsid w:val="00C205F7"/>
    <w:rsid w:val="00C22599"/>
    <w:rsid w:val="00C226F5"/>
    <w:rsid w:val="00C2777B"/>
    <w:rsid w:val="00C36F28"/>
    <w:rsid w:val="00C43262"/>
    <w:rsid w:val="00C4499C"/>
    <w:rsid w:val="00C4789F"/>
    <w:rsid w:val="00C54AC7"/>
    <w:rsid w:val="00C6732A"/>
    <w:rsid w:val="00C711A8"/>
    <w:rsid w:val="00C74770"/>
    <w:rsid w:val="00C75430"/>
    <w:rsid w:val="00C834EE"/>
    <w:rsid w:val="00C8630C"/>
    <w:rsid w:val="00C86B60"/>
    <w:rsid w:val="00C86FA7"/>
    <w:rsid w:val="00C90479"/>
    <w:rsid w:val="00C94CFE"/>
    <w:rsid w:val="00CA240B"/>
    <w:rsid w:val="00CA5208"/>
    <w:rsid w:val="00CB2D97"/>
    <w:rsid w:val="00CC309A"/>
    <w:rsid w:val="00CC3B72"/>
    <w:rsid w:val="00CC48AA"/>
    <w:rsid w:val="00CD43B0"/>
    <w:rsid w:val="00CF127D"/>
    <w:rsid w:val="00CF1630"/>
    <w:rsid w:val="00CF2238"/>
    <w:rsid w:val="00CF4031"/>
    <w:rsid w:val="00D07184"/>
    <w:rsid w:val="00D1276D"/>
    <w:rsid w:val="00D12993"/>
    <w:rsid w:val="00D132CF"/>
    <w:rsid w:val="00D20430"/>
    <w:rsid w:val="00D22541"/>
    <w:rsid w:val="00D25988"/>
    <w:rsid w:val="00D26509"/>
    <w:rsid w:val="00D32F8F"/>
    <w:rsid w:val="00D3493B"/>
    <w:rsid w:val="00D34CC7"/>
    <w:rsid w:val="00D35B6E"/>
    <w:rsid w:val="00D37DD2"/>
    <w:rsid w:val="00D41705"/>
    <w:rsid w:val="00D422C2"/>
    <w:rsid w:val="00D42F9A"/>
    <w:rsid w:val="00D44383"/>
    <w:rsid w:val="00D5466D"/>
    <w:rsid w:val="00D55E04"/>
    <w:rsid w:val="00D57F4F"/>
    <w:rsid w:val="00D60002"/>
    <w:rsid w:val="00D63C3B"/>
    <w:rsid w:val="00D643CA"/>
    <w:rsid w:val="00D66E2B"/>
    <w:rsid w:val="00D7294D"/>
    <w:rsid w:val="00D83C8C"/>
    <w:rsid w:val="00D908C5"/>
    <w:rsid w:val="00D914C6"/>
    <w:rsid w:val="00D9165D"/>
    <w:rsid w:val="00D917AA"/>
    <w:rsid w:val="00D94583"/>
    <w:rsid w:val="00DA13BF"/>
    <w:rsid w:val="00DA3B3B"/>
    <w:rsid w:val="00DB07AE"/>
    <w:rsid w:val="00DB36E3"/>
    <w:rsid w:val="00DB38C4"/>
    <w:rsid w:val="00DC3883"/>
    <w:rsid w:val="00DC76DF"/>
    <w:rsid w:val="00DC7A3E"/>
    <w:rsid w:val="00DD36BE"/>
    <w:rsid w:val="00DF26F7"/>
    <w:rsid w:val="00DF43C8"/>
    <w:rsid w:val="00DF5EC9"/>
    <w:rsid w:val="00DF6C82"/>
    <w:rsid w:val="00DF7431"/>
    <w:rsid w:val="00E010D7"/>
    <w:rsid w:val="00E0352B"/>
    <w:rsid w:val="00E05FB8"/>
    <w:rsid w:val="00E078E1"/>
    <w:rsid w:val="00E1158A"/>
    <w:rsid w:val="00E12868"/>
    <w:rsid w:val="00E32E42"/>
    <w:rsid w:val="00E35FC7"/>
    <w:rsid w:val="00E54505"/>
    <w:rsid w:val="00E55BAB"/>
    <w:rsid w:val="00E6753F"/>
    <w:rsid w:val="00E7479F"/>
    <w:rsid w:val="00E75591"/>
    <w:rsid w:val="00E76185"/>
    <w:rsid w:val="00E8067A"/>
    <w:rsid w:val="00E82F4D"/>
    <w:rsid w:val="00E9052A"/>
    <w:rsid w:val="00E91C79"/>
    <w:rsid w:val="00E9530B"/>
    <w:rsid w:val="00EA4E51"/>
    <w:rsid w:val="00EA66FA"/>
    <w:rsid w:val="00EB35A1"/>
    <w:rsid w:val="00EB500D"/>
    <w:rsid w:val="00EB51BD"/>
    <w:rsid w:val="00EC3016"/>
    <w:rsid w:val="00EC3A85"/>
    <w:rsid w:val="00ED017E"/>
    <w:rsid w:val="00ED02D2"/>
    <w:rsid w:val="00ED143F"/>
    <w:rsid w:val="00ED6656"/>
    <w:rsid w:val="00ED740A"/>
    <w:rsid w:val="00ED7C88"/>
    <w:rsid w:val="00EE3E6C"/>
    <w:rsid w:val="00EE5888"/>
    <w:rsid w:val="00EF0902"/>
    <w:rsid w:val="00EF4126"/>
    <w:rsid w:val="00F02E82"/>
    <w:rsid w:val="00F145CE"/>
    <w:rsid w:val="00F24AD6"/>
    <w:rsid w:val="00F36DDA"/>
    <w:rsid w:val="00F512D4"/>
    <w:rsid w:val="00F520E6"/>
    <w:rsid w:val="00F52C08"/>
    <w:rsid w:val="00F56434"/>
    <w:rsid w:val="00F57DA2"/>
    <w:rsid w:val="00F664C6"/>
    <w:rsid w:val="00F669F2"/>
    <w:rsid w:val="00F71D9A"/>
    <w:rsid w:val="00F72C8C"/>
    <w:rsid w:val="00F87718"/>
    <w:rsid w:val="00F87E5E"/>
    <w:rsid w:val="00F9083D"/>
    <w:rsid w:val="00F91802"/>
    <w:rsid w:val="00F95614"/>
    <w:rsid w:val="00FB1CA0"/>
    <w:rsid w:val="00FB2D3B"/>
    <w:rsid w:val="00FB5F49"/>
    <w:rsid w:val="00FB6BBC"/>
    <w:rsid w:val="00FB7BD6"/>
    <w:rsid w:val="00FC18DC"/>
    <w:rsid w:val="00FD50AB"/>
    <w:rsid w:val="00FD597D"/>
    <w:rsid w:val="00FF35D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347167"/>
  <w15:chartTrackingRefBased/>
  <w15:docId w15:val="{E5813BDC-F523-473A-B52C-A2177874B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caption" w:semiHidden="1" w:uiPriority="35" w:unhideWhenUsed="1" w:qFormat="1"/>
    <w:lsdException w:name="table of figures"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C4F2B"/>
    <w:rPr>
      <w:rFonts w:ascii="新細明體" w:hAnsi="新細明體" w:cs="新細明體"/>
      <w:sz w:val="24"/>
      <w:szCs w:val="24"/>
    </w:rPr>
  </w:style>
  <w:style w:type="paragraph" w:styleId="3">
    <w:name w:val="heading 3"/>
    <w:basedOn w:val="a"/>
    <w:next w:val="a"/>
    <w:link w:val="30"/>
    <w:semiHidden/>
    <w:unhideWhenUsed/>
    <w:qFormat/>
    <w:rsid w:val="007816F7"/>
    <w:pPr>
      <w:keepNext/>
      <w:spacing w:line="720" w:lineRule="auto"/>
      <w:outlineLvl w:val="2"/>
    </w:pPr>
    <w:rPr>
      <w:rFonts w:asciiTheme="majorHAnsi" w:eastAsiaTheme="majorEastAsia" w:hAnsiTheme="majorHAnsi" w:cstheme="majorBidi"/>
      <w:b/>
      <w:bCs/>
      <w:sz w:val="36"/>
      <w:szCs w:val="36"/>
    </w:rPr>
  </w:style>
  <w:style w:type="paragraph" w:styleId="9">
    <w:name w:val="heading 9"/>
    <w:basedOn w:val="a"/>
    <w:next w:val="a"/>
    <w:link w:val="90"/>
    <w:uiPriority w:val="9"/>
    <w:semiHidden/>
    <w:unhideWhenUsed/>
    <w:qFormat/>
    <w:rsid w:val="000360FB"/>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widowControl w:val="0"/>
      <w:tabs>
        <w:tab w:val="center" w:pos="4153"/>
        <w:tab w:val="right" w:pos="8306"/>
      </w:tabs>
      <w:snapToGrid w:val="0"/>
    </w:pPr>
    <w:rPr>
      <w:rFonts w:ascii="Times New Roman" w:hAnsi="Times New Roman" w:cs="Times New Roman"/>
      <w:kern w:val="2"/>
      <w:sz w:val="20"/>
      <w:szCs w:val="20"/>
    </w:rPr>
  </w:style>
  <w:style w:type="character" w:styleId="a4">
    <w:name w:val="page number"/>
    <w:basedOn w:val="a0"/>
  </w:style>
  <w:style w:type="paragraph" w:styleId="a5">
    <w:name w:val="header"/>
    <w:basedOn w:val="a"/>
    <w:pPr>
      <w:widowControl w:val="0"/>
      <w:tabs>
        <w:tab w:val="center" w:pos="4153"/>
        <w:tab w:val="right" w:pos="8306"/>
      </w:tabs>
      <w:snapToGrid w:val="0"/>
    </w:pPr>
    <w:rPr>
      <w:rFonts w:ascii="Times New Roman" w:hAnsi="Times New Roman" w:cs="Times New Roman"/>
      <w:kern w:val="2"/>
      <w:sz w:val="20"/>
      <w:szCs w:val="20"/>
    </w:rPr>
  </w:style>
  <w:style w:type="paragraph" w:styleId="31">
    <w:name w:val="Body Text Indent 3"/>
    <w:basedOn w:val="a"/>
    <w:rsid w:val="003B0BFD"/>
    <w:pPr>
      <w:widowControl w:val="0"/>
      <w:spacing w:line="500" w:lineRule="exact"/>
      <w:ind w:leftChars="265" w:left="639" w:hangingChars="1" w:hanging="3"/>
      <w:jc w:val="both"/>
    </w:pPr>
    <w:rPr>
      <w:rFonts w:ascii="標楷體" w:eastAsia="標楷體" w:hAnsi="標楷體" w:cs="Times New Roman"/>
      <w:color w:val="FF0000"/>
      <w:kern w:val="2"/>
      <w:sz w:val="32"/>
    </w:rPr>
  </w:style>
  <w:style w:type="table" w:styleId="1">
    <w:name w:val="Grid Table 1 Light"/>
    <w:basedOn w:val="a1"/>
    <w:uiPriority w:val="46"/>
    <w:rsid w:val="00DA3B3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a6">
    <w:name w:val="Table Grid"/>
    <w:basedOn w:val="a1"/>
    <w:uiPriority w:val="39"/>
    <w:rsid w:val="00DA3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E1158A"/>
    <w:rPr>
      <w:b/>
      <w:bCs/>
    </w:rPr>
  </w:style>
  <w:style w:type="character" w:styleId="a8">
    <w:name w:val="Emphasis"/>
    <w:basedOn w:val="a0"/>
    <w:uiPriority w:val="20"/>
    <w:qFormat/>
    <w:rsid w:val="00E1158A"/>
    <w:rPr>
      <w:i/>
      <w:iCs/>
    </w:rPr>
  </w:style>
  <w:style w:type="paragraph" w:styleId="a9">
    <w:name w:val="caption"/>
    <w:basedOn w:val="a"/>
    <w:next w:val="a"/>
    <w:uiPriority w:val="35"/>
    <w:unhideWhenUsed/>
    <w:qFormat/>
    <w:rsid w:val="007B338E"/>
    <w:pPr>
      <w:widowControl w:val="0"/>
    </w:pPr>
    <w:rPr>
      <w:rFonts w:ascii="Times New Roman" w:hAnsi="Times New Roman" w:cs="Times New Roman"/>
      <w:kern w:val="2"/>
      <w:sz w:val="20"/>
      <w:szCs w:val="20"/>
    </w:rPr>
  </w:style>
  <w:style w:type="paragraph" w:styleId="aa">
    <w:name w:val="table of figures"/>
    <w:basedOn w:val="a"/>
    <w:next w:val="a"/>
    <w:uiPriority w:val="99"/>
    <w:rsid w:val="000360FB"/>
    <w:pPr>
      <w:widowControl w:val="0"/>
      <w:ind w:leftChars="400" w:left="400" w:hangingChars="200" w:hanging="200"/>
    </w:pPr>
    <w:rPr>
      <w:rFonts w:ascii="Times New Roman" w:hAnsi="Times New Roman" w:cs="Times New Roman"/>
      <w:kern w:val="2"/>
    </w:rPr>
  </w:style>
  <w:style w:type="character" w:styleId="ab">
    <w:name w:val="Hyperlink"/>
    <w:basedOn w:val="a0"/>
    <w:uiPriority w:val="99"/>
    <w:unhideWhenUsed/>
    <w:rsid w:val="000360FB"/>
    <w:rPr>
      <w:color w:val="0563C1" w:themeColor="hyperlink"/>
      <w:u w:val="single"/>
    </w:rPr>
  </w:style>
  <w:style w:type="character" w:customStyle="1" w:styleId="90">
    <w:name w:val="標題 9 字元"/>
    <w:basedOn w:val="a0"/>
    <w:link w:val="9"/>
    <w:uiPriority w:val="9"/>
    <w:semiHidden/>
    <w:rsid w:val="000360FB"/>
    <w:rPr>
      <w:rFonts w:ascii="新細明體" w:eastAsiaTheme="majorEastAsia" w:hAnsi="新細明體" w:cstheme="majorBidi"/>
      <w:color w:val="272727" w:themeColor="text1" w:themeTint="D8"/>
      <w:sz w:val="24"/>
      <w:szCs w:val="24"/>
    </w:rPr>
  </w:style>
  <w:style w:type="paragraph" w:customStyle="1" w:styleId="p1">
    <w:name w:val="p1"/>
    <w:basedOn w:val="a"/>
    <w:rsid w:val="00FB7BD6"/>
    <w:rPr>
      <w:rFonts w:ascii="Times New Roman" w:hAnsi="Times New Roman" w:cs="Times New Roman"/>
      <w:color w:val="000000"/>
      <w:sz w:val="18"/>
      <w:szCs w:val="18"/>
    </w:rPr>
  </w:style>
  <w:style w:type="character" w:customStyle="1" w:styleId="apple-converted-space">
    <w:name w:val="apple-converted-space"/>
    <w:basedOn w:val="a0"/>
    <w:rsid w:val="00FB7BD6"/>
  </w:style>
  <w:style w:type="paragraph" w:styleId="Web">
    <w:name w:val="Normal (Web)"/>
    <w:basedOn w:val="a"/>
    <w:link w:val="Web0"/>
    <w:uiPriority w:val="99"/>
    <w:unhideWhenUsed/>
    <w:rsid w:val="00765288"/>
    <w:pPr>
      <w:spacing w:before="100" w:beforeAutospacing="1" w:after="100" w:afterAutospacing="1"/>
    </w:pPr>
  </w:style>
  <w:style w:type="paragraph" w:customStyle="1" w:styleId="EndNoteBibliographyTitle">
    <w:name w:val="EndNote Bibliography Title"/>
    <w:basedOn w:val="a"/>
    <w:link w:val="EndNoteBibliographyTitle0"/>
    <w:rsid w:val="00DD36BE"/>
    <w:pPr>
      <w:widowControl w:val="0"/>
      <w:jc w:val="center"/>
    </w:pPr>
    <w:rPr>
      <w:rFonts w:ascii="Times New Roman" w:hAnsi="Times New Roman" w:cs="Times New Roman"/>
      <w:kern w:val="2"/>
    </w:rPr>
  </w:style>
  <w:style w:type="character" w:customStyle="1" w:styleId="Web0">
    <w:name w:val="內文 (Web) 字元"/>
    <w:basedOn w:val="a0"/>
    <w:link w:val="Web"/>
    <w:uiPriority w:val="99"/>
    <w:rsid w:val="00DD36BE"/>
    <w:rPr>
      <w:rFonts w:ascii="新細明體" w:hAnsi="新細明體" w:cs="新細明體"/>
      <w:sz w:val="24"/>
      <w:szCs w:val="24"/>
    </w:rPr>
  </w:style>
  <w:style w:type="character" w:customStyle="1" w:styleId="EndNoteBibliographyTitle0">
    <w:name w:val="EndNote Bibliography Title 字元"/>
    <w:basedOn w:val="Web0"/>
    <w:link w:val="EndNoteBibliographyTitle"/>
    <w:rsid w:val="00DD36BE"/>
    <w:rPr>
      <w:rFonts w:ascii="新細明體" w:hAnsi="新細明體" w:cs="新細明體"/>
      <w:kern w:val="2"/>
      <w:sz w:val="24"/>
      <w:szCs w:val="24"/>
    </w:rPr>
  </w:style>
  <w:style w:type="paragraph" w:customStyle="1" w:styleId="EndNoteBibliography">
    <w:name w:val="EndNote Bibliography"/>
    <w:basedOn w:val="a"/>
    <w:link w:val="EndNoteBibliography0"/>
    <w:rsid w:val="00DD36BE"/>
    <w:pPr>
      <w:widowControl w:val="0"/>
    </w:pPr>
    <w:rPr>
      <w:rFonts w:ascii="Times New Roman" w:hAnsi="Times New Roman" w:cs="Times New Roman"/>
      <w:kern w:val="2"/>
    </w:rPr>
  </w:style>
  <w:style w:type="character" w:customStyle="1" w:styleId="EndNoteBibliography0">
    <w:name w:val="EndNote Bibliography 字元"/>
    <w:basedOn w:val="Web0"/>
    <w:link w:val="EndNoteBibliography"/>
    <w:rsid w:val="00DD36BE"/>
    <w:rPr>
      <w:rFonts w:ascii="新細明體" w:hAnsi="新細明體" w:cs="新細明體"/>
      <w:kern w:val="2"/>
      <w:sz w:val="24"/>
      <w:szCs w:val="24"/>
    </w:rPr>
  </w:style>
  <w:style w:type="table" w:styleId="ac">
    <w:name w:val="Grid Table Light"/>
    <w:basedOn w:val="a1"/>
    <w:uiPriority w:val="40"/>
    <w:rsid w:val="0041699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tion-enable-hover">
    <w:name w:val="notion-enable-hover"/>
    <w:basedOn w:val="a0"/>
    <w:rsid w:val="007168C0"/>
  </w:style>
  <w:style w:type="paragraph" w:styleId="ad">
    <w:name w:val="No Spacing"/>
    <w:uiPriority w:val="1"/>
    <w:qFormat/>
    <w:rsid w:val="007168C0"/>
    <w:rPr>
      <w:rFonts w:ascii="新細明體" w:hAnsi="新細明體" w:cs="新細明體"/>
      <w:sz w:val="24"/>
      <w:szCs w:val="24"/>
    </w:rPr>
  </w:style>
  <w:style w:type="character" w:styleId="ae">
    <w:name w:val="Placeholder Text"/>
    <w:basedOn w:val="a0"/>
    <w:uiPriority w:val="99"/>
    <w:semiHidden/>
    <w:rsid w:val="00183BE7"/>
    <w:rPr>
      <w:color w:val="666666"/>
    </w:rPr>
  </w:style>
  <w:style w:type="table" w:styleId="10">
    <w:name w:val="Plain Table 1"/>
    <w:basedOn w:val="a1"/>
    <w:uiPriority w:val="41"/>
    <w:rsid w:val="008418C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f">
    <w:name w:val="Revision"/>
    <w:hidden/>
    <w:uiPriority w:val="99"/>
    <w:semiHidden/>
    <w:rsid w:val="000A42A8"/>
    <w:rPr>
      <w:rFonts w:ascii="新細明體" w:hAnsi="新細明體" w:cs="新細明體"/>
      <w:sz w:val="24"/>
      <w:szCs w:val="24"/>
    </w:rPr>
  </w:style>
  <w:style w:type="paragraph" w:styleId="af0">
    <w:name w:val="List Paragraph"/>
    <w:basedOn w:val="a"/>
    <w:uiPriority w:val="34"/>
    <w:qFormat/>
    <w:rsid w:val="00D12993"/>
    <w:pPr>
      <w:ind w:leftChars="200" w:left="480"/>
    </w:pPr>
  </w:style>
  <w:style w:type="character" w:customStyle="1" w:styleId="30">
    <w:name w:val="標題 3 字元"/>
    <w:basedOn w:val="a0"/>
    <w:link w:val="3"/>
    <w:semiHidden/>
    <w:rsid w:val="007816F7"/>
    <w:rPr>
      <w:rFonts w:asciiTheme="majorHAnsi" w:eastAsiaTheme="majorEastAsia" w:hAnsiTheme="majorHAnsi" w:cstheme="majorBidi"/>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B941ED-AE7C-4261-A66A-8FD6182D1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7626</Words>
  <Characters>43470</Characters>
  <Application>Microsoft Office Word</Application>
  <DocSecurity>0</DocSecurity>
  <Lines>362</Lines>
  <Paragraphs>101</Paragraphs>
  <ScaleCrop>false</ScaleCrop>
  <Company>nsc-dm</Company>
  <LinksUpToDate>false</LinksUpToDate>
  <CharactersWithSpaces>50995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行政院國家科學委員會補助大專學生參與專題研究計畫作業要點</dc:title>
  <dc:subject/>
  <dc:creator>mhuchen_陳美華</dc:creator>
  <cp:keywords/>
  <dc:description>**638次主管會報通過**</dc:description>
  <cp:lastModifiedBy>葉善茹</cp:lastModifiedBy>
  <cp:revision>2</cp:revision>
  <cp:lastPrinted>2026-03-30T10:39:00Z</cp:lastPrinted>
  <dcterms:created xsi:type="dcterms:W3CDTF">2026-08-25T07:41:00Z</dcterms:created>
  <dcterms:modified xsi:type="dcterms:W3CDTF">2026-08-25T07:41:00Z</dcterms:modified>
</cp:coreProperties>
</file>