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2E500" w14:textId="77777777" w:rsidR="001E3C54" w:rsidRPr="00E10BE5" w:rsidRDefault="00000000" w:rsidP="00E10BE5">
      <w:pPr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 xml:space="preserve">Supplementary Table 1. </w:t>
      </w:r>
      <w:r w:rsidRPr="00E10BE5">
        <w:rPr>
          <w:rFonts w:ascii="Times New Roman" w:eastAsia="Times New Roman" w:hAnsi="Times New Roman" w:cs="Times New Roman"/>
          <w:szCs w:val="22"/>
        </w:rPr>
        <w:t>Definitions of exclusion criteria</w:t>
      </w:r>
    </w:p>
    <w:tbl>
      <w:tblPr>
        <w:tblW w:w="9427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9"/>
        <w:gridCol w:w="5338"/>
      </w:tblGrid>
      <w:tr w:rsidR="00131A64" w14:paraId="11A60F62" w14:textId="77777777" w:rsidTr="00E84A1B">
        <w:trPr>
          <w:trHeight w:val="293"/>
        </w:trPr>
        <w:tc>
          <w:tcPr>
            <w:tcW w:w="40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27FE0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Exclusion criterion</w:t>
            </w:r>
          </w:p>
        </w:tc>
        <w:tc>
          <w:tcPr>
            <w:tcW w:w="53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4921E4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Definition</w:t>
            </w:r>
          </w:p>
        </w:tc>
      </w:tr>
      <w:tr w:rsidR="00131A64" w14:paraId="1F37310C" w14:textId="77777777" w:rsidTr="00E84A1B">
        <w:trPr>
          <w:trHeight w:val="587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14:paraId="2AA8D72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Prior gastrectomy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2A51CD2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Admission comorbidity records indicating partial gastrectomy, total gastrectomy, afferent loop syndrome, or dumping syndrome</w:t>
            </w:r>
          </w:p>
        </w:tc>
      </w:tr>
      <w:tr w:rsidR="00131A64" w14:paraId="64107E35" w14:textId="77777777" w:rsidTr="00E84A1B">
        <w:trPr>
          <w:trHeight w:val="881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14:paraId="23616CD5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Gastrointestinal bleeding present at admission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6B98E83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Admission diagnosis or comorbidity records indicating gastric ulcer, duodenal ulcer, gastrointestinal bleeding, or small intestinal bleeding. Suspected diagnoses were excluded.</w:t>
            </w:r>
          </w:p>
        </w:tc>
      </w:tr>
      <w:tr w:rsidR="00131A64" w14:paraId="64E2D82C" w14:textId="77777777" w:rsidTr="00E84A1B">
        <w:trPr>
          <w:trHeight w:val="881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14:paraId="67C6B25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Endoscopic gastrointestinal hemostasis within 2 days of admission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4CB55DF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Japanese procedure codes K654 (endoscopic hemostasis of gastric or duodenal bleeding) or K722 (endoscopic hemostasis of small intestinal or colonic bleeding)</w:t>
            </w:r>
          </w:p>
        </w:tc>
      </w:tr>
      <w:tr w:rsidR="00131A64" w14:paraId="0A69F2C3" w14:textId="77777777" w:rsidTr="00E84A1B">
        <w:trPr>
          <w:trHeight w:val="587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14:paraId="6D8BEB1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Upper gastrointestinal endoscopy within 2 days of admission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2BC6F32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Japanese procedure code D308 (esophagogastroduodenoscopy)</w:t>
            </w:r>
          </w:p>
        </w:tc>
      </w:tr>
      <w:tr w:rsidR="00131A64" w14:paraId="5A1B22F5" w14:textId="77777777" w:rsidTr="00E84A1B">
        <w:trPr>
          <w:trHeight w:val="587"/>
        </w:trPr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</w:tcPr>
          <w:p w14:paraId="1D92D80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Dual antiplatelet therapy within 2 days of admission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</w:tcPr>
          <w:p w14:paraId="2576D02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Concomitant use of aspirin and clopidogrel within 2 days of admission</w:t>
            </w:r>
          </w:p>
        </w:tc>
      </w:tr>
      <w:tr w:rsidR="00131A64" w14:paraId="50EDDCD7" w14:textId="77777777" w:rsidTr="00E84A1B">
        <w:trPr>
          <w:trHeight w:val="587"/>
        </w:trPr>
        <w:tc>
          <w:tcPr>
            <w:tcW w:w="408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E18E7D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Concomitant antiplatelet and anticoagulant therapy within 2 days of admission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83374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Use of aspirin or clopidogrel with a direct oral anticoagulant or warfarin within 2 days of admission</w:t>
            </w:r>
          </w:p>
        </w:tc>
      </w:tr>
    </w:tbl>
    <w:p w14:paraId="503E09C8" w14:textId="77777777" w:rsidR="001E3C54" w:rsidRPr="00E10BE5" w:rsidRDefault="001E3C54" w:rsidP="00E10BE5">
      <w:pPr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770A2A26" w14:textId="63E9A3F2" w:rsidR="001E3C54" w:rsidRPr="00E10BE5" w:rsidRDefault="001E3C54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5BFFF49B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>Supplementary Table 2.</w:t>
      </w:r>
      <w:r w:rsidRPr="00E10BE5">
        <w:rPr>
          <w:rFonts w:ascii="Times New Roman" w:eastAsia="Times New Roman" w:hAnsi="Times New Roman" w:cs="Times New Roman"/>
          <w:szCs w:val="22"/>
        </w:rPr>
        <w:t xml:space="preserve"> Definitions of primary outcomes related to surgical procedures</w:t>
      </w:r>
    </w:p>
    <w:tbl>
      <w:tblPr>
        <w:tblW w:w="8540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0"/>
        <w:gridCol w:w="3580"/>
      </w:tblGrid>
      <w:tr w:rsidR="00131A64" w14:paraId="571D7B27" w14:textId="77777777">
        <w:trPr>
          <w:trHeight w:val="420"/>
        </w:trPr>
        <w:tc>
          <w:tcPr>
            <w:tcW w:w="4960" w:type="dxa"/>
            <w:tcBorders>
              <w:top w:val="single" w:sz="6" w:space="0" w:color="808080"/>
              <w:left w:val="nil"/>
              <w:bottom w:val="single" w:sz="6" w:space="0" w:color="000000"/>
              <w:right w:val="nil"/>
            </w:tcBorders>
          </w:tcPr>
          <w:p w14:paraId="0557C17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Procedures</w:t>
            </w:r>
          </w:p>
        </w:tc>
        <w:tc>
          <w:tcPr>
            <w:tcW w:w="3580" w:type="dxa"/>
            <w:tcBorders>
              <w:top w:val="single" w:sz="6" w:space="0" w:color="808080"/>
              <w:left w:val="nil"/>
              <w:bottom w:val="single" w:sz="6" w:space="0" w:color="000000"/>
              <w:right w:val="nil"/>
            </w:tcBorders>
          </w:tcPr>
          <w:p w14:paraId="12A4CB7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Japanese procedure codes</w:t>
            </w:r>
          </w:p>
        </w:tc>
      </w:tr>
      <w:tr w:rsidR="00131A64" w14:paraId="1C29C096" w14:textId="77777777">
        <w:trPr>
          <w:trHeight w:val="420"/>
        </w:trPr>
        <w:tc>
          <w:tcPr>
            <w:tcW w:w="49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10A5D7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Surgery for gastric hemorrhage</w:t>
            </w:r>
          </w:p>
        </w:tc>
        <w:tc>
          <w:tcPr>
            <w:tcW w:w="35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B1417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K646</w:t>
            </w:r>
          </w:p>
        </w:tc>
      </w:tr>
      <w:tr w:rsidR="00131A64" w14:paraId="39CAF341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08CDF71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Gastric suturing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608DC4F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K647</w:t>
            </w:r>
          </w:p>
        </w:tc>
      </w:tr>
      <w:tr w:rsidR="00131A64" w14:paraId="760F462E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9E2DA2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Laparoscopic gastric suturing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4ED9012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K647-2</w:t>
            </w:r>
          </w:p>
        </w:tc>
      </w:tr>
      <w:tr w:rsidR="00131A64" w14:paraId="17D7109A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4304584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Gastrotomy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18BCA37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K648</w:t>
            </w:r>
          </w:p>
        </w:tc>
      </w:tr>
      <w:tr w:rsidR="00131A64" w14:paraId="3DB03845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0A4A2A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Endoscopic gastric suturing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3701088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K654-2</w:t>
            </w:r>
          </w:p>
        </w:tc>
      </w:tr>
      <w:tr w:rsidR="00131A64" w14:paraId="0842A7F5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2C6B8F2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Laparoscopic partial gastrectomy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355E933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K654-3</w:t>
            </w:r>
          </w:p>
        </w:tc>
      </w:tr>
      <w:tr w:rsidR="00131A64" w14:paraId="644BC505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003228F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Proximal gastrectomy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1F5A3FB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K655-4</w:t>
            </w:r>
          </w:p>
        </w:tc>
      </w:tr>
      <w:tr w:rsidR="00131A64" w14:paraId="64C58A8E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49D2421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Laparoscopic gastrectomy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223EF83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K655-21</w:t>
            </w:r>
          </w:p>
        </w:tc>
      </w:tr>
      <w:tr w:rsidR="00131A64" w14:paraId="3778A041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0961605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Simple total gastrectomy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77BA0C5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K657-1</w:t>
            </w:r>
          </w:p>
        </w:tc>
      </w:tr>
      <w:tr w:rsidR="00131A64" w14:paraId="1378B8B2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29A8A31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Laparoscopic total gastrectomy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4584D1F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K657-21</w:t>
            </w:r>
          </w:p>
        </w:tc>
      </w:tr>
      <w:tr w:rsidR="00131A64" w14:paraId="0D77E4D9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195239B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Vagotomy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027CEC0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K659-3</w:t>
            </w:r>
          </w:p>
        </w:tc>
      </w:tr>
      <w:tr w:rsidR="00131A64" w14:paraId="700253AA" w14:textId="77777777">
        <w:trPr>
          <w:trHeight w:val="420"/>
        </w:trPr>
        <w:tc>
          <w:tcPr>
            <w:tcW w:w="4960" w:type="dxa"/>
            <w:tcBorders>
              <w:top w:val="nil"/>
              <w:left w:val="nil"/>
              <w:bottom w:val="single" w:sz="6" w:space="0" w:color="808080"/>
              <w:right w:val="nil"/>
            </w:tcBorders>
          </w:tcPr>
          <w:p w14:paraId="4B93089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Duodenojejunostomy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6" w:space="0" w:color="808080"/>
              <w:right w:val="nil"/>
            </w:tcBorders>
          </w:tcPr>
          <w:p w14:paraId="62BC61D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K663</w:t>
            </w:r>
          </w:p>
        </w:tc>
      </w:tr>
    </w:tbl>
    <w:p w14:paraId="3FCF4212" w14:textId="0DFCD178" w:rsidR="001E3C54" w:rsidRPr="00E10BE5" w:rsidRDefault="001E3C54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0D2672FA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 xml:space="preserve">Supplementary Table 3. </w:t>
      </w:r>
      <w:r w:rsidRPr="00E10BE5">
        <w:rPr>
          <w:rFonts w:ascii="Times New Roman" w:eastAsia="Times New Roman" w:hAnsi="Times New Roman" w:cs="Times New Roman"/>
          <w:szCs w:val="22"/>
        </w:rPr>
        <w:t>Covariates definitions</w:t>
      </w:r>
    </w:p>
    <w:tbl>
      <w:tblPr>
        <w:tblW w:w="8540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0"/>
        <w:gridCol w:w="3580"/>
      </w:tblGrid>
      <w:tr w:rsidR="00131A64" w14:paraId="28A77EFB" w14:textId="77777777">
        <w:trPr>
          <w:trHeight w:val="400"/>
        </w:trPr>
        <w:tc>
          <w:tcPr>
            <w:tcW w:w="49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7158A6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Primary diagnosis categories</w:t>
            </w:r>
          </w:p>
        </w:tc>
        <w:tc>
          <w:tcPr>
            <w:tcW w:w="35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06B8A5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ICD-10 codes</w:t>
            </w:r>
          </w:p>
        </w:tc>
      </w:tr>
      <w:tr w:rsidR="00131A64" w14:paraId="582B8FB6" w14:textId="77777777">
        <w:trPr>
          <w:trHeight w:val="400"/>
        </w:trPr>
        <w:tc>
          <w:tcPr>
            <w:tcW w:w="49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CBF265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Infectious diseases</w:t>
            </w:r>
          </w:p>
        </w:tc>
        <w:tc>
          <w:tcPr>
            <w:tcW w:w="358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C2DE80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A00–B99</w:t>
            </w:r>
          </w:p>
        </w:tc>
      </w:tr>
      <w:tr w:rsidR="00131A64" w14:paraId="5A42AAE8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1A352F4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Neoplasms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0563A1C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C00–D48</w:t>
            </w:r>
          </w:p>
        </w:tc>
      </w:tr>
      <w:tr w:rsidR="00131A64" w14:paraId="18EF3875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4AA36F0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Hematologic and immune disorders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7AE75D3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D50–D89</w:t>
            </w:r>
          </w:p>
        </w:tc>
      </w:tr>
      <w:tr w:rsidR="00131A64" w14:paraId="6CC2B815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2C55AC8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Cardiovascular diseases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6DC9AB6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I00–I99</w:t>
            </w:r>
          </w:p>
        </w:tc>
      </w:tr>
      <w:tr w:rsidR="00131A64" w14:paraId="422B4B73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051CFA1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Respiratory diseases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43B2EC9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J00–J99</w:t>
            </w:r>
          </w:p>
        </w:tc>
      </w:tr>
      <w:tr w:rsidR="00131A64" w14:paraId="6209253E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11FA5884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Gastrointestinal diseases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4C227C5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K00–K93</w:t>
            </w:r>
          </w:p>
        </w:tc>
      </w:tr>
      <w:tr w:rsidR="00131A64" w14:paraId="2E69EA6A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13E69D3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Neurologic diseases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112AB4E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G00–G99</w:t>
            </w:r>
          </w:p>
        </w:tc>
      </w:tr>
      <w:tr w:rsidR="00131A64" w14:paraId="73ABF947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052B3B5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Injuries and external causes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6FC5005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S00–T98</w:t>
            </w:r>
          </w:p>
        </w:tc>
      </w:tr>
      <w:tr w:rsidR="00131A64" w14:paraId="1CCDB673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2786FE9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Kidney and genitourinary diseases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</w:tcPr>
          <w:p w14:paraId="00E2EDE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N00–N99</w:t>
            </w:r>
          </w:p>
        </w:tc>
      </w:tr>
      <w:tr w:rsidR="00131A64" w14:paraId="63D97187" w14:textId="77777777">
        <w:trPr>
          <w:trHeight w:val="400"/>
        </w:trPr>
        <w:tc>
          <w:tcPr>
            <w:tcW w:w="4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ADD131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Other disease categories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E3289B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All remaining diagnoses</w:t>
            </w:r>
          </w:p>
        </w:tc>
      </w:tr>
    </w:tbl>
    <w:p w14:paraId="27E533E7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ICD-10, International Classification of Diseases, 10th revision.</w:t>
      </w:r>
    </w:p>
    <w:p w14:paraId="1F04FDB6" w14:textId="36FCA237" w:rsidR="001E3C54" w:rsidRPr="00E10BE5" w:rsidRDefault="001E3C54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1D85EBF6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lastRenderedPageBreak/>
        <w:t>Supplementary Table 4.</w:t>
      </w:r>
      <w:r w:rsidRPr="00E10BE5">
        <w:rPr>
          <w:rFonts w:ascii="Times New Roman" w:eastAsia="Times New Roman" w:hAnsi="Times New Roman" w:cs="Times New Roman"/>
          <w:szCs w:val="22"/>
        </w:rPr>
        <w:t xml:space="preserve"> Medication definitions</w:t>
      </w:r>
    </w:p>
    <w:tbl>
      <w:tblPr>
        <w:tblW w:w="8501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5"/>
        <w:gridCol w:w="5406"/>
      </w:tblGrid>
      <w:tr w:rsidR="00131A64" w14:paraId="025C91EB" w14:textId="77777777">
        <w:trPr>
          <w:trHeight w:val="341"/>
        </w:trPr>
        <w:tc>
          <w:tcPr>
            <w:tcW w:w="30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BA02B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Covariates</w:t>
            </w:r>
          </w:p>
        </w:tc>
        <w:tc>
          <w:tcPr>
            <w:tcW w:w="54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07628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Definitions</w:t>
            </w:r>
          </w:p>
        </w:tc>
      </w:tr>
      <w:tr w:rsidR="00131A64" w14:paraId="481B9366" w14:textId="77777777">
        <w:trPr>
          <w:trHeight w:val="682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4569DE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Antiplatelet agents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79F5070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Aspirin, buffered aspirin, clopidogrel, ticlopidine, prasugrel, ticagrelor, cilostazol, dipyridamole,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sarpogrelate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ethyl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icosapentate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limaprost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beraprost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ozagrel</w:t>
            </w:r>
            <w:proofErr w:type="spellEnd"/>
          </w:p>
        </w:tc>
      </w:tr>
      <w:tr w:rsidR="00131A64" w14:paraId="02ADA877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64F293A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Direct oral anticoagulants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4916970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Apixaban, rivaroxaban, dabigatran, or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edoxaban</w:t>
            </w:r>
            <w:proofErr w:type="spellEnd"/>
          </w:p>
        </w:tc>
      </w:tr>
      <w:tr w:rsidR="00131A64" w14:paraId="11BDDADA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5B248F6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Hemostatic therapy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249F63A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Carbazochrome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sodium sulfonate hydrate or tranexamic acid</w:t>
            </w:r>
          </w:p>
        </w:tc>
      </w:tr>
      <w:tr w:rsidR="00131A64" w14:paraId="0E3A956A" w14:textId="77777777">
        <w:trPr>
          <w:trHeight w:val="682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B819BF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Reversal agents for anticoagulation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7649F4A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Idarucizumab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four-factor prothrombin complex concentrate, vitamin K preparations,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andexanet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alfa, or protamine sulfate</w:t>
            </w:r>
          </w:p>
        </w:tc>
      </w:tr>
      <w:tr w:rsidR="00131A64" w14:paraId="4FC6AB1C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882BD9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Probiotics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4AAFA7D6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Lactic acid bacteria or antibiotic-resistant lactic acid bacteria preparations</w:t>
            </w:r>
          </w:p>
        </w:tc>
      </w:tr>
      <w:tr w:rsidR="00131A64" w14:paraId="2B2F6C12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139F405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Gastroprotective agents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5F751EE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Ecabet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sodium,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enprostil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, misoprostol, sucralfate, teprenone, or </w:t>
            </w:r>
            <w:proofErr w:type="spellStart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rebamipide</w:t>
            </w:r>
            <w:proofErr w:type="spellEnd"/>
          </w:p>
        </w:tc>
      </w:tr>
      <w:tr w:rsidR="00131A64" w14:paraId="042F771F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5551B47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Vasoactive agents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3A84655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Norepinephrine, epinephrine, vasopressin, dopamine, or phenylephrine</w:t>
            </w:r>
          </w:p>
        </w:tc>
      </w:tr>
      <w:tr w:rsidR="00131A64" w14:paraId="01E62DB2" w14:textId="77777777">
        <w:trPr>
          <w:trHeight w:val="682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2BF9978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High-risk antibiotics for CDI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213824B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Clindamycin, carbapenems, fluoroquinolones, or second- to fourth-generation cephalosporins</w:t>
            </w:r>
          </w:p>
        </w:tc>
      </w:tr>
      <w:tr w:rsidR="00131A64" w14:paraId="2FBDF223" w14:textId="77777777">
        <w:trPr>
          <w:trHeight w:val="34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673C0A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Moderate-risk antibiotics for CDI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51B1DED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Broad-spectrum penicillins or beta-lactam/beta-lactamase inhibitor combinations</w:t>
            </w:r>
          </w:p>
        </w:tc>
      </w:tr>
      <w:tr w:rsidR="00131A64" w14:paraId="3616CC06" w14:textId="77777777">
        <w:trPr>
          <w:trHeight w:val="1365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24FEE60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Low-risk antibiotics for CDI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61CAA48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Aminoglycosides, amphenicols, oral glycopeptides, spectinomycin, sulfonamides, first-generation cephalosporins, tetracyclines, narrow-spectrum penicillins,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oral penicillins, fosfomycin, polypeptides, macrolides, methenamine, monobactams, trimethoprim-sulfamethoxazole, vancomycin, teicoplanin, linezolid, or metronidazole</w:t>
            </w:r>
          </w:p>
        </w:tc>
      </w:tr>
      <w:tr w:rsidR="00131A64" w14:paraId="6DA4071C" w14:textId="77777777">
        <w:trPr>
          <w:trHeight w:val="42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239DDB1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Circulatory failure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79EBFF0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Use of any vasoactive agent or SOFA cardiovascular score at admission </w:t>
            </w:r>
            <w:r w:rsidR="006B199E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of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≥2. Vasoactive agent use was defined as epinephrine or phenylephrine use for two consecutive days, or any use of norepinephrine, vasopressin, or dopamine.</w:t>
            </w:r>
          </w:p>
        </w:tc>
      </w:tr>
      <w:tr w:rsidR="00131A64" w14:paraId="1DF87885" w14:textId="77777777">
        <w:trPr>
          <w:trHeight w:val="421"/>
        </w:trPr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48B1AD5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Coagulopathy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14:paraId="6353B94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Use of fresh frozen plasma or SOFA coagulation score at admission</w:t>
            </w:r>
            <w:r w:rsidR="006B199E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of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≥3</w:t>
            </w:r>
          </w:p>
        </w:tc>
      </w:tr>
      <w:tr w:rsidR="00131A64" w14:paraId="495FB045" w14:textId="77777777">
        <w:trPr>
          <w:trHeight w:val="1024"/>
        </w:trPr>
        <w:tc>
          <w:tcPr>
            <w:tcW w:w="30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0344CF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Chronic liver disease</w:t>
            </w:r>
          </w:p>
        </w:tc>
        <w:tc>
          <w:tcPr>
            <w:tcW w:w="54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79D14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ICD-10 codes B18, K73, K74, K70.0–K70.9, K71.1–K71.7, K72.1, K72.9, K76.0, K76.2–K76.9, I85, I86.4, I98.2, or Z94.4, or admission comorbidity records containing Japanese terms indicating chronic hepatitis or liver cirrhosis</w:t>
            </w:r>
          </w:p>
        </w:tc>
      </w:tr>
    </w:tbl>
    <w:p w14:paraId="76FA2878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 xml:space="preserve">CDI, </w:t>
      </w:r>
      <w:r w:rsidRPr="00E84A1B">
        <w:rPr>
          <w:rFonts w:ascii="Times New Roman" w:eastAsia="Times New Roman" w:hAnsi="Times New Roman" w:cs="Times New Roman"/>
          <w:i/>
          <w:iCs/>
          <w:szCs w:val="22"/>
        </w:rPr>
        <w:t>Clostridium difficile</w:t>
      </w:r>
      <w:r w:rsidRPr="00E10BE5">
        <w:rPr>
          <w:rFonts w:ascii="Times New Roman" w:eastAsia="Times New Roman" w:hAnsi="Times New Roman" w:cs="Times New Roman"/>
          <w:szCs w:val="22"/>
        </w:rPr>
        <w:t xml:space="preserve"> infection; ICD-10, International Classification of Diseases, 10th Revision; SOFA, Sequential Organ Failure Assessment.</w:t>
      </w:r>
    </w:p>
    <w:p w14:paraId="75EF88E3" w14:textId="14E7E59C" w:rsidR="001E3C54" w:rsidRPr="00E10BE5" w:rsidRDefault="001E3C54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01637211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>Supplementary Table 5.</w:t>
      </w:r>
      <w:r w:rsidRPr="00E10BE5">
        <w:rPr>
          <w:rFonts w:ascii="Times New Roman" w:eastAsia="Times New Roman" w:hAnsi="Times New Roman" w:cs="Times New Roman"/>
          <w:szCs w:val="22"/>
        </w:rPr>
        <w:t xml:space="preserve"> Proton pump inhibitors were administered within </w:t>
      </w:r>
      <w:r w:rsidR="006538F7">
        <w:rPr>
          <w:rFonts w:ascii="Times New Roman" w:eastAsia="Times New Roman" w:hAnsi="Times New Roman" w:cs="Times New Roman"/>
          <w:szCs w:val="22"/>
        </w:rPr>
        <w:t>2</w:t>
      </w:r>
      <w:r w:rsidRPr="00E10BE5">
        <w:rPr>
          <w:rFonts w:ascii="Times New Roman" w:eastAsia="Times New Roman" w:hAnsi="Times New Roman" w:cs="Times New Roman"/>
          <w:szCs w:val="22"/>
        </w:rPr>
        <w:t xml:space="preserve"> days of admission</w:t>
      </w:r>
    </w:p>
    <w:tbl>
      <w:tblPr>
        <w:tblW w:w="0" w:type="auto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0"/>
        <w:gridCol w:w="1500"/>
        <w:gridCol w:w="2660"/>
        <w:gridCol w:w="800"/>
        <w:gridCol w:w="920"/>
      </w:tblGrid>
      <w:tr w:rsidR="00131A64" w14:paraId="3CE8154B" w14:textId="77777777">
        <w:trPr>
          <w:trHeight w:val="400"/>
        </w:trPr>
        <w:tc>
          <w:tcPr>
            <w:tcW w:w="19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1BA48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Drug</w:t>
            </w:r>
          </w:p>
        </w:tc>
        <w:tc>
          <w:tcPr>
            <w:tcW w:w="41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84C62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Daily dose, median (IQR), mg/day</w:t>
            </w:r>
          </w:p>
        </w:tc>
        <w:tc>
          <w:tcPr>
            <w:tcW w:w="8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B1F6E4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59824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(%)</w:t>
            </w:r>
          </w:p>
        </w:tc>
      </w:tr>
      <w:tr w:rsidR="00131A64" w14:paraId="5E23D823" w14:textId="77777777">
        <w:trPr>
          <w:trHeight w:val="4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E85B1D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Omeprazole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A056066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B4FFF3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</w:rPr>
              <w:t>20-40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6FF0333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3030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602A9F0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(47.4)</w:t>
            </w:r>
          </w:p>
        </w:tc>
      </w:tr>
      <w:tr w:rsidR="00131A64" w14:paraId="716C9332" w14:textId="77777777">
        <w:trPr>
          <w:trHeight w:val="4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20279594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Lansoprazole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9A20098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6FD990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</w:rPr>
              <w:t>15-30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9E4FBF6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2349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0A2D25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(36.7)</w:t>
            </w:r>
          </w:p>
        </w:tc>
      </w:tr>
      <w:tr w:rsidR="00131A64" w14:paraId="03E9BA57" w14:textId="77777777">
        <w:trPr>
          <w:trHeight w:val="40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6D57D075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Esomeprazole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CE51CE7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C92A24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(20-20)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0679DBD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221B146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(10.7)</w:t>
            </w:r>
          </w:p>
        </w:tc>
      </w:tr>
      <w:tr w:rsidR="00131A64" w14:paraId="7F4FAEED" w14:textId="77777777">
        <w:trPr>
          <w:trHeight w:val="400"/>
        </w:trPr>
        <w:tc>
          <w:tcPr>
            <w:tcW w:w="1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9E4916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lastRenderedPageBreak/>
              <w:t>Rabeprazole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66B4A6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2D0E1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(10-10)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831ECA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41045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(5.3)</w:t>
            </w:r>
          </w:p>
        </w:tc>
      </w:tr>
    </w:tbl>
    <w:p w14:paraId="2EF6C4F1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IQR, interquartile range.</w:t>
      </w:r>
    </w:p>
    <w:p w14:paraId="4BEE1B5B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br w:type="page"/>
      </w:r>
    </w:p>
    <w:p w14:paraId="7B088735" w14:textId="77777777" w:rsidR="00FA747A" w:rsidRDefault="00FA747A" w:rsidP="00FA747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</w:rPr>
        <w:sectPr w:rsidR="00FA747A" w:rsidSect="00E10BE5">
          <w:type w:val="continuous"/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202A7133" w14:textId="16C881BC" w:rsidR="00FA747A" w:rsidRDefault="00FA747A" w:rsidP="00FA747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Supplementary </w:t>
      </w:r>
      <w:r w:rsidRPr="0054553D">
        <w:rPr>
          <w:rFonts w:ascii="Times New Roman" w:eastAsia="Times New Roma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4553D">
        <w:rPr>
          <w:rFonts w:ascii="Times New Roman" w:eastAsia="Times New Roman" w:hAnsi="Times New Roman" w:cs="Times New Roman"/>
          <w:b/>
          <w:bCs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Full Baseline characteristics before and after propensity score overlap weighting</w:t>
      </w:r>
    </w:p>
    <w:tbl>
      <w:tblPr>
        <w:tblW w:w="13355" w:type="dxa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92"/>
        <w:gridCol w:w="850"/>
        <w:gridCol w:w="1134"/>
        <w:gridCol w:w="851"/>
        <w:gridCol w:w="850"/>
        <w:gridCol w:w="851"/>
        <w:gridCol w:w="1417"/>
        <w:gridCol w:w="1559"/>
        <w:gridCol w:w="851"/>
      </w:tblGrid>
      <w:tr w:rsidR="00FA747A" w14:paraId="1636BA03" w14:textId="77777777" w:rsidTr="00A628C3">
        <w:trPr>
          <w:trHeight w:val="400"/>
        </w:trPr>
        <w:tc>
          <w:tcPr>
            <w:tcW w:w="4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4586C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510EB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Unweighted cohort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AE245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CB5481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9A970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9FF19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After adjustment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04A4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3858024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8AD03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Characteristics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63BB7C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PPI group (n = 5,941)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1C392D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 SUP group (n=3,235)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CA1E82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012CA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PPI group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1BF12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 SUP group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004B5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ASD</w:t>
            </w:r>
          </w:p>
        </w:tc>
      </w:tr>
      <w:tr w:rsidR="00FA747A" w14:paraId="56846337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35B5EC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Age, years,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5049C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2BC57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4436F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FD511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1C8B0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0ED48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72.7 (14.3)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FB127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73.5 (14.8)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00ECA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</w:tr>
      <w:tr w:rsidR="00FA747A" w14:paraId="5D27BAEB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FDF220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Male,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283ED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3,928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001DC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(66.1)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82C99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1,968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7D449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BDCD78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80424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7C1EF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BC12B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</w:tr>
      <w:tr w:rsidR="00FA747A" w14:paraId="28FE28B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83AB68A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Body mass index,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79BEE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E481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3F6FF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B754F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4423DC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20805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E9810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06913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</w:tr>
      <w:tr w:rsidR="00FA747A" w14:paraId="279AD028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96C3192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B6800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59C1F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(15.6)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73EB0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0BC5B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(16.3)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AC6EA5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1D8B2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6F4D0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(17.2)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9D4E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1C78B650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930679E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18.5–24.9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04177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057F8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B5B6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F539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65BBE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E5E7F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(52.3)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014CF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F2963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3F15F2A6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DF6CCBD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25.0–29.9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1958E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1,160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74ABD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F18F6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18428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BC3D02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7D500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737E9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CB8E1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752CFEB5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80AA74A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≥30.0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C0ABA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871E5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A380D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928967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E115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DBA65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896E3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55EB3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522BA804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A34574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Japanese Coma Scale,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04D31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3488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2A38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688A9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9E286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9431E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4A60A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6BA1D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</w:tr>
      <w:tr w:rsidR="00FA747A" w14:paraId="152BC217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FD97A2A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(alert)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309FD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3,888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71857A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(65.4)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1A68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2,286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36EF4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(70.7)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86920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9D979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CE909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8EDFC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7900C63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AC1BC4E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1-digit (dizziness)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61CEE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4B7A9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A9CFD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962ED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(20.5)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8EA9A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0EEEB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E9B3B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A0FC6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08D046C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DC176BD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2-digit (somnolence)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F4F81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DD81F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D08A4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555E37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0C6C6C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1A8629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DB48B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80A89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40BE072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9371FCC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3-digit (coma)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CBAC1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9636D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C398D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CA96A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01F011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63719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09E7F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15432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3EAF41DD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52486A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Charlson Comorbidity Index,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4DC22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F239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A46F2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4A1B1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FD2F7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12F5C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6B64F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0D9F9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</w:tr>
      <w:tr w:rsidR="00FA747A" w14:paraId="727B36E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47E90ED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8AC58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3,014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C9191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D599D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1,567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7CD12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70E0E0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6F8FB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E9755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(48.9)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47545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6F384F9C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BF5A5E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E9E63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324D8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D4598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7B800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ECAE7F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EEF8F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D1990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E8B36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687B731C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E530CFB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25D60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9059A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CD363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A592D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FEA75C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672DD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558A0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9C5BD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67AF2C9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2FBE1B2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≥3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0E526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C83C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D91A7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D98D5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102655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9B821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DA85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4F7E5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40D07158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64DA9C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SOFA score at ICU admission,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769E0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99DDA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D9C28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07E9D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1C2AD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B6593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88675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F0894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2E6CE5F7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799080D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D68E5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1FCBF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DFADB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177B0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D69A12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E1940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5.1(3.0)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F8DB8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5.1(3.0)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0AEE8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</w:tr>
      <w:tr w:rsidR="00FA747A" w14:paraId="5E1D890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2BF0E6C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Respiratory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9908F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9F3B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07F40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2A432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5F245B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02943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 (1.1)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FC138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 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8652A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</w:t>
            </w:r>
          </w:p>
        </w:tc>
      </w:tr>
      <w:tr w:rsidR="00FA747A" w14:paraId="582F366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E1E28B5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Cardiovascular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0C81D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D158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8EC2E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D7742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90C9E6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9E577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 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8D708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 (0.8)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23BDA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</w:t>
            </w:r>
          </w:p>
        </w:tc>
      </w:tr>
      <w:tr w:rsidR="00FA747A" w14:paraId="6968835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647415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Hepatic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A1C53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70A4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F1E39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B5E31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D6AAA6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5D775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 (0.6)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B8716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 (0.6)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E2DDE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</w:t>
            </w:r>
          </w:p>
        </w:tc>
      </w:tr>
      <w:tr w:rsidR="00FA747A" w14:paraId="2E87D15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983CB4A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Coagulation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1ACD8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C2A6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03BA9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AF14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A7EFC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A5EF0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 (1.2)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D065B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 (1.2)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DB0CD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</w:tr>
      <w:tr w:rsidR="00FA747A" w14:paraId="2F70724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B76FCE1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Renal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D00A6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2BA98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14261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053B9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CBA210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151EF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 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52042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 (1.0)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765A3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</w:tr>
      <w:tr w:rsidR="00FA747A" w14:paraId="1BA4FDC7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07DC2C3D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Neurological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99E6F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E848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6EC6A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C78A1A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09B8F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0A04C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 (1.3)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65CB0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 (1.3)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2A1CF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</w:tr>
      <w:tr w:rsidR="00FA747A" w14:paraId="14A631C6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3A885E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Emergency admission to tertiary hospitals,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26854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D3C6C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7D1C1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ABF58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F7EF7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AAD93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5BC7C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0D05D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</w:tr>
      <w:tr w:rsidR="00FA747A" w14:paraId="2182A4C5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6D0278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Admission in a teaching hospital,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898BD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5,444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74FA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46FC7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2,876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4FB8A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(88.9)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6A745F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FF145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(91.4)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BD01F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(89.4)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00246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</w:t>
            </w:r>
          </w:p>
        </w:tc>
      </w:tr>
      <w:tr w:rsidR="00FA747A" w14:paraId="4520E6C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BF7E95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COVID-19 infection,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C07FC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F3042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(16.3)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F4417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0232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D1A6D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F9B8B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2FB93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E24FE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</w:tr>
      <w:tr w:rsidR="00FA747A" w14:paraId="02DA4ED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A4141A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Primary diagnosis category,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128D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09AE2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6A0DE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A3BED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DE18B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67556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438B3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3F6A3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6FA8D08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0C0E806B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61503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EC8B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775D1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3B824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02348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A65BF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21F3C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931C1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</w:t>
            </w:r>
          </w:p>
        </w:tc>
      </w:tr>
      <w:tr w:rsidR="00FA747A" w14:paraId="376F348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A53C945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Neoplasm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5D1ED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747EC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30C1B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840AC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D6B5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2B277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96EC8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FCFC7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</w:tr>
      <w:tr w:rsidR="00FA747A" w14:paraId="6E5408AA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03E24AF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Hematologic and immune disorders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12360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AF65F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E769C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D1E83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C62F31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0D40E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7F5FB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87D71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</w:t>
            </w:r>
          </w:p>
        </w:tc>
      </w:tr>
      <w:tr w:rsidR="00FA747A" w14:paraId="61183A60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8DD4424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Cardiovascular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8BDF9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0D546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6C0E9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1,688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78BDE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19205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FAFEB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0A095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(46.9)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15598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</w:tr>
      <w:tr w:rsidR="00FA747A" w14:paraId="2ED1D5A6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98466C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Respiratory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674AA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73C8A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CA2E2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58AA7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8F7918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256D3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DBB0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(22.4)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1E19D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</w:tr>
      <w:tr w:rsidR="00FA747A" w14:paraId="7323285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2FE0FE8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Gastrointestinal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B4FF8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BB225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20ACE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96298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C50E4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C227B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79800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3248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</w:t>
            </w:r>
          </w:p>
        </w:tc>
      </w:tr>
      <w:tr w:rsidR="00FA747A" w14:paraId="5A5CC39E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6CEB54C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Neurological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0DE07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69872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73C7E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C8BAB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B0CBFD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8E6EE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4113B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9D589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</w:tr>
      <w:tr w:rsidR="00FA747A" w14:paraId="69091AC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3C95CAA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External causes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F4BE8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EE41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C0268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931EB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0F8271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0C090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C36BE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0F10E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</w:t>
            </w:r>
          </w:p>
        </w:tc>
      </w:tr>
      <w:tr w:rsidR="00FA747A" w14:paraId="6F04BD2D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D54430B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Renal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9CCA2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04D74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C3516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15AB8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61A00D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45D5F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2D090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C0AEF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</w:t>
            </w:r>
          </w:p>
        </w:tc>
      </w:tr>
      <w:tr w:rsidR="00FA747A" w14:paraId="3E14ED70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23DA4ED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Other category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0EC8A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34538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75705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63443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3DF6C8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3144F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(14.6)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2F068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194FB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</w:tr>
      <w:tr w:rsidR="00FA747A" w14:paraId="1B0E6464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3E5AB1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Circulatory failure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E2780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23DED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(25.9)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27C0D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1D7B2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(18.9)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0B585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A49107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0A9A8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(26.1)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D6DDF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</w:tr>
      <w:tr w:rsidR="00FA747A" w14:paraId="7B7AF2C6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22E03A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Coagulopathy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4F07C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E9CBD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3D9E3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EB9D2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F83CE7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45470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C3B57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152D6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</w:tr>
      <w:tr w:rsidR="00FA747A" w14:paraId="0B337C82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6C07E8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Chronic liver disease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C2F0C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9B3C0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5A0A6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4D8D4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3276D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054AC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13859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F9F4D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</w:tr>
      <w:tr w:rsidR="00FA747A" w14:paraId="665BFB5F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13C3FD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Barthel Index at admission, mean(SD)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6B342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C12A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249F1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38.5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F8B41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(44.2)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228630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82CE7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36.8 (43.8)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3825D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36.3 (43.6)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117FA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</w:tr>
      <w:tr w:rsidR="00FA747A" w14:paraId="4B94776D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1C74F17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Non-smoker,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320E8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65385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2EA0B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1,649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D8812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DF3B2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ED821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(47.6)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A573C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5803B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</w:tr>
      <w:tr w:rsidR="00FA747A" w14:paraId="1031C4C7" w14:textId="77777777" w:rsidTr="00A628C3">
        <w:trPr>
          <w:trHeight w:val="68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9B65D8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Treatments and procedures within 2 days of admission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2FC0F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0B90C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BE57E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3FB79A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7351A2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0F80A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C7677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D980E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41A37C6C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056D0FF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Deep vein thrombosis prophylaxis,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9CBB2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2,530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C48BF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39DFB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49362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(37.3)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AFF32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1064D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F8F94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80C21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</w:tr>
      <w:tr w:rsidR="00FA747A" w14:paraId="516A00DB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7E90351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Rehabilitation,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310A3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2,743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6217B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343CE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1,331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11D13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9446FB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73EBC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D289D4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26E69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5.0</w:t>
            </w:r>
          </w:p>
        </w:tc>
      </w:tr>
      <w:tr w:rsidR="00FA747A" w14:paraId="03F85631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AAFBA02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High-flow nasal cannula,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7FC08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3,844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0916A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(64.7)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B65C2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1,623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F953E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158131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0A035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2E6EC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5CAA2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</w:tr>
      <w:tr w:rsidR="00FA747A" w14:paraId="31074516" w14:textId="77777777" w:rsidTr="00A628C3">
        <w:trPr>
          <w:trHeight w:val="39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690F35DE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Noninvasive positive pressure ventilation,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927BF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2,105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AA5EF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(35.4)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08FD7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1,615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F0CE1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(49.9)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1F3EF7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9BF782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72262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(44.4)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2E448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</w:tr>
      <w:tr w:rsidR="00FA747A" w14:paraId="60CFCB4C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EF21B41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Renal replacement therapy,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0C8AA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FA35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9A6B2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0D2DC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A2F6B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DF1A2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FB1DF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B85CD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</w:t>
            </w:r>
          </w:p>
        </w:tc>
      </w:tr>
      <w:tr w:rsidR="00FA747A" w14:paraId="17043D9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EB71F38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Initiation of enteral nutrition,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355D7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3,149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E977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(53.0)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14600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B3E8A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(66.8)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F1CDF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76B75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64A38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(61.5)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E255D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</w:tr>
      <w:tr w:rsidR="00FA747A" w14:paraId="4E53F036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8BAFEC8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5% Albumin administration,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CCF1F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6C144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(7.5)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2EFC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C5E5D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0FFBB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3890A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12CD4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92E5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</w:tr>
      <w:tr w:rsidR="00FA747A" w14:paraId="62C18BEC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05332655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25% Albumin administration,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522EC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D915A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1FA81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7F613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C0D73E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0E26B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EFFA8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6A1C0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</w:tr>
      <w:tr w:rsidR="00FA747A" w14:paraId="5EC49AA7" w14:textId="77777777" w:rsidTr="00A628C3">
        <w:trPr>
          <w:trHeight w:val="247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621C36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Total red blood cell units transfused,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5180F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D289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9B372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9F5DE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E17FF8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F710E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 (1.2)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50568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 (1.2)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13F5A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</w:tr>
      <w:tr w:rsidR="00FA747A" w14:paraId="5DD94D55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76DEA56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Total platelet units transfused,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C3ADC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EE582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B9889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BB002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026B9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E6E80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 (2.2)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615D9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 (2.2)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514BE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</w:tr>
      <w:tr w:rsidR="00FA747A" w14:paraId="416336C4" w14:textId="77777777" w:rsidTr="00A628C3">
        <w:trPr>
          <w:trHeight w:val="68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478981B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Total fresh frozen plasma units transfused, mean (SD)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70490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AE901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DAE0E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F2E53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167DF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0AA28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 (1.8)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0966E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 (1.8)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BCF08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</w:t>
            </w:r>
          </w:p>
        </w:tc>
      </w:tr>
      <w:tr w:rsidR="00FA747A" w14:paraId="4A41AE64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638D5FF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Antithrombotic therapies,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76547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93B90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2EA3F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55848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C97580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AD762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9AC16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F9B92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7C751DFF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4CC114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Antiplatelet therapy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BF168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EFA33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(16.4)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615E3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68BFE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(8.0)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96927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7D32F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1860B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42BDB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</w:tr>
      <w:tr w:rsidR="00FA747A" w14:paraId="1CC6CA1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40CBDE4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Direct oral anticoagulants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DDB03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BE066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08376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42DED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6B7EDA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EE332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2C733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4C28D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</w:tr>
      <w:tr w:rsidR="00FA747A" w14:paraId="5FDC3AB0" w14:textId="77777777" w:rsidTr="00A628C3">
        <w:trPr>
          <w:trHeight w:val="343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143D16A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Reversal agents for anticoagulation therapy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C5890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7A4B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E7F1F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39EAD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F23135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56C3E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A736B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EBA9C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</w:tr>
      <w:tr w:rsidR="00FA747A" w14:paraId="3FB58834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EC44928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Hemostatic therapy,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37477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BE7CF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CC376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75CB3F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031A83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1CD94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C8296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E9E9A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</w:t>
            </w:r>
          </w:p>
        </w:tc>
      </w:tr>
      <w:tr w:rsidR="00FA747A" w14:paraId="4AA03A49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237193E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Antibiotics,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D03E0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7AE6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1BE51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316F1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7E9760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81FA3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680C1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A54DA2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A747A" w14:paraId="5509151B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7FE8D4B6" w14:textId="77777777" w:rsidR="00FA747A" w:rsidRDefault="00FA747A" w:rsidP="00A628C3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High-risk antibiotics for CDI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35544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2,390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F4C42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(40.2)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4D74B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836A2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(31.3)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8CDDB9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22BD7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CBBEC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636AE7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</w:t>
            </w:r>
          </w:p>
        </w:tc>
      </w:tr>
      <w:tr w:rsidR="00FA747A" w14:paraId="1FCAC8A7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87B89F1" w14:textId="77777777" w:rsidR="00FA747A" w:rsidRDefault="00FA747A" w:rsidP="00A628C3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Intermediate-risk antibiotics for CDI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67DA4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E0667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(29.4)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B855C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BF0A74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010492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9154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(27.4)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512BA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(26.2)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0401E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</w:tr>
      <w:tr w:rsidR="00FA747A" w14:paraId="68D177D4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1806331" w14:textId="77777777" w:rsidR="00FA747A" w:rsidRDefault="00FA747A" w:rsidP="00A628C3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Low-risk antibiotics for CDI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6A354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BB766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07713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8FF8F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4E0FD7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C2804D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C0D19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(17.8)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35F3A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</w:t>
            </w:r>
          </w:p>
        </w:tc>
      </w:tr>
      <w:tr w:rsidR="00FA747A" w14:paraId="6D219BBD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46EEED43" w14:textId="77777777" w:rsidR="00FA747A" w:rsidRDefault="00FA747A" w:rsidP="00A628C3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 antibiotics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10F6B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1,876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66A8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(31.6)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C0B96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1,435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952C1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(44.4)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C82984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EDA6A3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(39.1)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1E947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320CC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</w:tr>
      <w:tr w:rsidR="00FA747A" w14:paraId="7306413F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D609354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Probiotics, n(%)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00C61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D6D7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1DAF79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179BD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083E1E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440BD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873C8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(5.2)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2ADA5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</w:tr>
      <w:tr w:rsidR="00FA747A" w14:paraId="558DAB3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201F656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Other gastroprotective agents, n(%)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54230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07898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AF29C6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E26081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D0AF6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BA2788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8B4DA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2F7AF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</w:tr>
      <w:tr w:rsidR="00FA747A" w14:paraId="3D570FDB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36EDB05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Non-steroidal anti-inflammatory drugs, n(%)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92301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C2805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A801BC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5772CC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DBCC5C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3BAD80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7BFDA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BF2765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</w:tr>
      <w:tr w:rsidR="00FA747A" w14:paraId="26E1A603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500806F2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Corticosteroids, n (%)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EFF4934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84130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(45.5)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D97421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48D77B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7F4AB6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620C2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(31.0)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7A440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(29.1)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91DD3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</w:tr>
      <w:tr w:rsidR="00FA747A" w14:paraId="1B9F121A" w14:textId="77777777" w:rsidTr="00A628C3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AA78C3" w14:textId="77777777" w:rsidR="00FA747A" w:rsidRDefault="00FA747A" w:rsidP="00A628C3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Dobutamine, n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E7A91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14F4999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(9.6)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9C755CA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F32ECBE" w14:textId="77777777" w:rsidR="00FA747A" w:rsidRDefault="00FA747A" w:rsidP="00A628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B0FE01" w14:textId="77777777" w:rsidR="00FA747A" w:rsidRDefault="00FA747A" w:rsidP="00A62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40D430E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D24FFF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(10.8)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E53B04B" w14:textId="77777777" w:rsidR="00FA747A" w:rsidRDefault="00FA747A" w:rsidP="00A62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</w:tr>
    </w:tbl>
    <w:p w14:paraId="408635A7" w14:textId="77777777" w:rsidR="00FA747A" w:rsidRDefault="00FA747A" w:rsidP="00FA747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ASD, absolute standardized difference; CDI, </w:t>
      </w:r>
      <w:r w:rsidRPr="0054553D">
        <w:rPr>
          <w:rFonts w:ascii="Times New Roman" w:eastAsia="Times New Roman" w:hAnsi="Times New Roman" w:cs="Times New Roman"/>
          <w:i/>
          <w:iCs/>
          <w:sz w:val="24"/>
        </w:rPr>
        <w:t>Clostridioides difficile</w:t>
      </w:r>
      <w:r>
        <w:rPr>
          <w:rFonts w:ascii="Times New Roman" w:eastAsia="Times New Roman" w:hAnsi="Times New Roman" w:cs="Times New Roman"/>
          <w:sz w:val="24"/>
        </w:rPr>
        <w:t xml:space="preserve"> infection; HFNC, high-flow nasal cannula; NPPV, noninvasive positive pressure ventilation; PPI, proton pump inhibitor; SD, standard deviation; SOFA, Sequential Organ Failure Assessment; SUP, stress ulcer prophylaxis.</w:t>
      </w:r>
    </w:p>
    <w:p w14:paraId="77C52912" w14:textId="77777777" w:rsidR="00FA747A" w:rsidRPr="00FA747A" w:rsidRDefault="00FA747A" w:rsidP="00FA747A"/>
    <w:p w14:paraId="1FA794EA" w14:textId="77777777" w:rsidR="00FA747A" w:rsidRDefault="00FA747A">
      <w:pPr>
        <w:widowControl/>
        <w:rPr>
          <w:rFonts w:ascii="Times New Roman" w:eastAsia="Times New Roman" w:hAnsi="Times New Roman" w:cs="Times New Roman"/>
          <w:b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szCs w:val="22"/>
        </w:rPr>
        <w:br w:type="page"/>
      </w:r>
    </w:p>
    <w:p w14:paraId="1137F0EC" w14:textId="77777777" w:rsidR="00FA747A" w:rsidRDefault="00FA747A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b/>
          <w:bCs/>
          <w:szCs w:val="22"/>
        </w:rPr>
        <w:sectPr w:rsidR="00FA747A" w:rsidSect="00FA747A"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089C48AE" w14:textId="5F78281C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FB568B">
        <w:rPr>
          <w:rFonts w:ascii="Times New Roman" w:eastAsia="Times New Roman" w:hAnsi="Times New Roman" w:cs="Times New Roman"/>
          <w:b/>
          <w:bCs/>
          <w:szCs w:val="22"/>
        </w:rPr>
        <w:t>7</w:t>
      </w:r>
      <w:r w:rsidRPr="00E84A1B">
        <w:rPr>
          <w:rFonts w:ascii="Times New Roman" w:eastAsia="Times New Roman" w:hAnsi="Times New Roman" w:cs="Times New Roman"/>
          <w:b/>
          <w:bCs/>
          <w:szCs w:val="22"/>
        </w:rPr>
        <w:t xml:space="preserve">. </w:t>
      </w:r>
      <w:r w:rsidRPr="00E10BE5">
        <w:rPr>
          <w:rFonts w:ascii="Times New Roman" w:eastAsia="Times New Roman" w:hAnsi="Times New Roman" w:cs="Times New Roman"/>
          <w:szCs w:val="22"/>
        </w:rPr>
        <w:t>Missing data</w:t>
      </w:r>
    </w:p>
    <w:tbl>
      <w:tblPr>
        <w:tblW w:w="0" w:type="auto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9"/>
        <w:gridCol w:w="1261"/>
        <w:gridCol w:w="1500"/>
      </w:tblGrid>
      <w:tr w:rsidR="00131A64" w14:paraId="6546EE5F" w14:textId="77777777">
        <w:trPr>
          <w:trHeight w:val="400"/>
        </w:trPr>
        <w:tc>
          <w:tcPr>
            <w:tcW w:w="39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9CEDC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Variables</w:t>
            </w:r>
          </w:p>
        </w:tc>
        <w:tc>
          <w:tcPr>
            <w:tcW w:w="27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5B292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Missing proportion, n(%)</w:t>
            </w:r>
          </w:p>
        </w:tc>
      </w:tr>
      <w:tr w:rsidR="00131A64" w14:paraId="778F3586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6D33A29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Weight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0F1E3F4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AC30B25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(4.6)</w:t>
            </w:r>
          </w:p>
        </w:tc>
      </w:tr>
      <w:tr w:rsidR="00131A64" w14:paraId="32B12F3A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4C05408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Height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08955A3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634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FA6F27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(6.9)</w:t>
            </w:r>
          </w:p>
        </w:tc>
      </w:tr>
      <w:tr w:rsidR="00131A64" w14:paraId="08B0FAED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526DA18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SOFA score at ICU admission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2DB2F0B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DA89D8D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52D46CBE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0896FB44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Respiratory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33216C7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3,546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3A0972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(38.6)</w:t>
            </w:r>
          </w:p>
        </w:tc>
      </w:tr>
      <w:tr w:rsidR="00131A64" w14:paraId="7E164F26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3A5C953B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Cardiovascular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CD5DAF8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3,121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33E0A1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(34.0)</w:t>
            </w:r>
          </w:p>
        </w:tc>
      </w:tr>
      <w:tr w:rsidR="00131A64" w14:paraId="437D158B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38E75E7E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Hepatic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1F20D195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3,172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14F16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(34.6)</w:t>
            </w:r>
          </w:p>
        </w:tc>
      </w:tr>
      <w:tr w:rsidR="00131A64" w14:paraId="5C90FF86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30B04047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Coagulation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49EA1E8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3,114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4B6316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(33.9)</w:t>
            </w:r>
          </w:p>
        </w:tc>
      </w:tr>
      <w:tr w:rsidR="00131A64" w14:paraId="429373EB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41A794BE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Renal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502076D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3,113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E3C89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(33.9)</w:t>
            </w:r>
          </w:p>
        </w:tc>
      </w:tr>
      <w:tr w:rsidR="00131A64" w14:paraId="1DB93403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2DD2CC26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Neurological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AEE961D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3,110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E0194D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(33.9)</w:t>
            </w:r>
          </w:p>
        </w:tc>
      </w:tr>
      <w:tr w:rsidR="00131A64" w14:paraId="3C65236B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650D1A7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Barthel index at admission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42BC92EE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75D968A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54BFFE12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0F0CA04F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Feeding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26EA168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861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933012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(9.4)</w:t>
            </w:r>
          </w:p>
        </w:tc>
      </w:tr>
      <w:tr w:rsidR="00131A64" w14:paraId="4E6C3BF0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6482EEA0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Bathing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E095428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6EE48D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(4.5)</w:t>
            </w:r>
          </w:p>
        </w:tc>
      </w:tr>
      <w:tr w:rsidR="00131A64" w14:paraId="3B2D0660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29444101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Grooming (personal hygiene)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3A7E7C89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17C5DF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(5.5)</w:t>
            </w:r>
          </w:p>
        </w:tc>
      </w:tr>
      <w:tr w:rsidR="00131A64" w14:paraId="3E975EFB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495A5536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Dressing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983C545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F33BAF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(5.5)</w:t>
            </w:r>
          </w:p>
        </w:tc>
      </w:tr>
      <w:tr w:rsidR="00131A64" w14:paraId="49368A7D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50239C33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Bowel control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12C2247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1,181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152BB7CA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(12.9)</w:t>
            </w:r>
          </w:p>
        </w:tc>
      </w:tr>
      <w:tr w:rsidR="00131A64" w14:paraId="1B09C6D1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4C6BB50A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Bladder control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B0D17C6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902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055EA4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(9.8)</w:t>
            </w:r>
          </w:p>
        </w:tc>
      </w:tr>
      <w:tr w:rsidR="00131A64" w14:paraId="138EE881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611D00AA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Toilet use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30AF5133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1,119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0CAEA64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(12.2)</w:t>
            </w:r>
          </w:p>
        </w:tc>
      </w:tr>
      <w:tr w:rsidR="00131A64" w14:paraId="58C65D1D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6C7A5F19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Transfers (bed to chair and back)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D9F31CD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F4658B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(4.1)</w:t>
            </w:r>
          </w:p>
        </w:tc>
      </w:tr>
      <w:tr w:rsidR="00131A64" w14:paraId="24B9F24D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</w:tcPr>
          <w:p w14:paraId="4CEF0C4F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Mobility (walking on level surface)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9B80653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3D7468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(5.9)</w:t>
            </w:r>
          </w:p>
        </w:tc>
      </w:tr>
      <w:tr w:rsidR="00131A64" w14:paraId="3CF414E7" w14:textId="77777777">
        <w:trPr>
          <w:trHeight w:val="400"/>
        </w:trPr>
        <w:tc>
          <w:tcPr>
            <w:tcW w:w="399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914978" w14:textId="77777777" w:rsidR="001E3C54" w:rsidRPr="00E10BE5" w:rsidRDefault="00000000" w:rsidP="00E10BE5">
            <w:pPr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Stairs (going up and down)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BC3DBC" w14:textId="77777777" w:rsidR="001E3C54" w:rsidRPr="00E10BE5" w:rsidRDefault="00000000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C99378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(5.8)</w:t>
            </w:r>
          </w:p>
        </w:tc>
      </w:tr>
    </w:tbl>
    <w:p w14:paraId="7AD2BA1B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ICU, intensive care unit</w:t>
      </w:r>
      <w:r>
        <w:rPr>
          <w:rFonts w:ascii="Times New Roman" w:eastAsia="Times New Roman" w:hAnsi="Times New Roman" w:cs="Times New Roman"/>
          <w:szCs w:val="22"/>
        </w:rPr>
        <w:t>;</w:t>
      </w:r>
      <w:r w:rsidRPr="00E10BE5">
        <w:rPr>
          <w:rFonts w:ascii="Times New Roman" w:eastAsia="Times New Roman" w:hAnsi="Times New Roman" w:cs="Times New Roman"/>
          <w:szCs w:val="22"/>
        </w:rPr>
        <w:t xml:space="preserve"> SOFA, Sequential Organ Failure Assessment.</w:t>
      </w:r>
    </w:p>
    <w:p w14:paraId="013A95FF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br w:type="page"/>
      </w:r>
    </w:p>
    <w:p w14:paraId="3F99189A" w14:textId="77777777" w:rsidR="001E3C54" w:rsidRPr="00E10BE5" w:rsidRDefault="001E3C54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  <w:sectPr w:rsidR="001E3C54" w:rsidRPr="00E10BE5" w:rsidSect="00FA747A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F5191ED" w14:textId="441CA1F3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FA747A">
        <w:rPr>
          <w:rFonts w:ascii="Times New Roman" w:eastAsia="Times New Roman" w:hAnsi="Times New Roman" w:cs="Times New Roman"/>
          <w:b/>
          <w:bCs/>
          <w:szCs w:val="22"/>
        </w:rPr>
        <w:t>8</w:t>
      </w:r>
      <w:r w:rsidRPr="00E84A1B">
        <w:rPr>
          <w:rFonts w:ascii="Times New Roman" w:eastAsia="Times New Roman" w:hAnsi="Times New Roman" w:cs="Times New Roman"/>
          <w:b/>
          <w:bCs/>
          <w:szCs w:val="22"/>
        </w:rPr>
        <w:t>.</w:t>
      </w:r>
      <w:r w:rsidRPr="00E10BE5">
        <w:rPr>
          <w:rFonts w:ascii="Times New Roman" w:eastAsia="Times New Roman" w:hAnsi="Times New Roman" w:cs="Times New Roman"/>
          <w:szCs w:val="22"/>
        </w:rPr>
        <w:t xml:space="preserve"> Subgroup </w:t>
      </w:r>
      <w:r>
        <w:rPr>
          <w:rFonts w:ascii="Times New Roman" w:eastAsia="Times New Roman" w:hAnsi="Times New Roman" w:cs="Times New Roman"/>
          <w:szCs w:val="22"/>
        </w:rPr>
        <w:t>a</w:t>
      </w:r>
      <w:r w:rsidRPr="00E10BE5">
        <w:rPr>
          <w:rFonts w:ascii="Times New Roman" w:eastAsia="Times New Roman" w:hAnsi="Times New Roman" w:cs="Times New Roman"/>
          <w:szCs w:val="22"/>
        </w:rPr>
        <w:t>nalysis of 90-day mortality</w:t>
      </w:r>
    </w:p>
    <w:tbl>
      <w:tblPr>
        <w:tblW w:w="0" w:type="auto"/>
        <w:tblInd w:w="-3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4"/>
        <w:gridCol w:w="1258"/>
        <w:gridCol w:w="1118"/>
        <w:gridCol w:w="619"/>
        <w:gridCol w:w="1257"/>
        <w:gridCol w:w="960"/>
        <w:gridCol w:w="2347"/>
        <w:gridCol w:w="1577"/>
        <w:gridCol w:w="1943"/>
      </w:tblGrid>
      <w:tr w:rsidR="00131A64" w14:paraId="7E0C2762" w14:textId="77777777" w:rsidTr="00E84A1B">
        <w:trPr>
          <w:trHeight w:val="269"/>
        </w:trPr>
        <w:tc>
          <w:tcPr>
            <w:tcW w:w="2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582F6E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Subgroups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204BE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PPI</w:t>
            </w:r>
          </w:p>
        </w:tc>
        <w:tc>
          <w:tcPr>
            <w:tcW w:w="11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0BC410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6D8508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D958157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 SUP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8F9CA2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78A4E8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Adjusted 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Cause-specific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HR</w:t>
            </w:r>
          </w:p>
        </w:tc>
        <w:tc>
          <w:tcPr>
            <w:tcW w:w="15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5B18A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95%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CI</w:t>
            </w:r>
          </w:p>
        </w:tc>
        <w:tc>
          <w:tcPr>
            <w:tcW w:w="19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BCD4CE8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84A1B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-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value for interaction</w:t>
            </w:r>
          </w:p>
        </w:tc>
      </w:tr>
      <w:tr w:rsidR="00131A64" w14:paraId="567BE5EC" w14:textId="77777777" w:rsidTr="00E84A1B">
        <w:trPr>
          <w:trHeight w:val="286"/>
        </w:trPr>
        <w:tc>
          <w:tcPr>
            <w:tcW w:w="20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4FE944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B4A98D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Number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D94383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Event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FFE8C2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91312B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Number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181E88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Event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580E11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32060AB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294653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0966B91C" w14:textId="77777777" w:rsidTr="00E84A1B">
        <w:trPr>
          <w:trHeight w:val="269"/>
        </w:trPr>
        <w:tc>
          <w:tcPr>
            <w:tcW w:w="50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306DAB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Severe illness with bleeding risk factors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EEC1847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26C4FDC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30406C43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28608CD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5B0C7EBB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0.37</w:t>
            </w:r>
          </w:p>
        </w:tc>
      </w:tr>
      <w:tr w:rsidR="00131A64" w14:paraId="6F71E8C7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44D80D3C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Y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F809B2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744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3CBFCC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208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73AD5C8B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CC4433F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54A06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66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79997091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E8067E2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0.74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1.48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6F1E10A8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07B04E51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FFBFBC5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0F6C0E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5197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553665E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887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3B8ACEB6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728E1B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2947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666FCB2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393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47F917BF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A10E77C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0.77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358D4582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7D291045" w14:textId="77777777" w:rsidTr="00E84A1B">
        <w:trPr>
          <w:trHeight w:val="269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934D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Enteral nutrition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92D1DE3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22E031A8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DDDC99C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08C1568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691DDEF1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9FEAB2D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79F9BF33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0.03</w:t>
            </w:r>
          </w:p>
        </w:tc>
      </w:tr>
      <w:tr w:rsidR="00131A64" w14:paraId="19EC4C83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2B6213F0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Y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CA3B52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3149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F6A7B21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475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3027D87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1966408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188656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223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48A6890A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37E42B1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0.88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1.26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4754C3E7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1FB97728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93FFE0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701347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2792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446EF4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620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0576C04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4D77F6A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3FD48F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236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0DCA4C0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0.79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4D2F5AB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0.66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0.95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4C276E26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21A7D980" w14:textId="77777777" w:rsidTr="00E84A1B">
        <w:trPr>
          <w:trHeight w:val="269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1CFAB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Respiratory support modality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57CB3FBB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B58CF70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91AC1C0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62878FDB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5A6ABBD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661729B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0.39</w:t>
            </w:r>
          </w:p>
        </w:tc>
      </w:tr>
      <w:tr w:rsidR="00131A64" w14:paraId="5CF6F4DB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3F4FC7AF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NPPV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2AC69A6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5B5E06C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278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4136FBB3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562E215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D883A95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154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1E3C692E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0.98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E9BD7B7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0.80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1.21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0BAF3E55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2CCBC30A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91C555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HFNC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F01E38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3836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81DF53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817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5F61389C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2FC5A12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BC3040B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305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137EF569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0.88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89987B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0.75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04F7AD9B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5B6136F0" w14:textId="77777777" w:rsidTr="00E84A1B">
        <w:trPr>
          <w:trHeight w:val="269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6252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Circulatory failure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6CC5729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08387B64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9E26758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A387C3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059C3A28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56FBCD0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3AAB5ED0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0.17</w:t>
            </w:r>
          </w:p>
        </w:tc>
      </w:tr>
      <w:tr w:rsidR="00131A64" w14:paraId="0EBC6808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3B858C2D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Yes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D5F5EE9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1799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EC8CBD7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416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14:paraId="1840BD9E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6B706F5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928D17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138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 w14:paraId="2F3B8C04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1.04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A773512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1.31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6A3BAF2E" w14:textId="77777777" w:rsidR="001E3C54" w:rsidRPr="00E10BE5" w:rsidRDefault="001E3C54" w:rsidP="00E10BE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131A64" w14:paraId="1B3D8F70" w14:textId="77777777" w:rsidTr="00E84A1B">
        <w:trPr>
          <w:trHeight w:val="269"/>
        </w:trPr>
        <w:tc>
          <w:tcPr>
            <w:tcW w:w="20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EFB91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9CC4C8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4142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35F842" w14:textId="77777777" w:rsidR="001E3C54" w:rsidRPr="00E10BE5" w:rsidRDefault="00000000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81E061" w14:textId="77777777" w:rsidR="001E3C54" w:rsidRPr="00E10BE5" w:rsidRDefault="001E3C54" w:rsidP="00E10BE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9D25D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580D8F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321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CDD47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991945B" w14:textId="77777777" w:rsidR="001E3C54" w:rsidRPr="00E10BE5" w:rsidRDefault="00000000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F53D4D" w14:textId="77777777" w:rsidR="001E3C54" w:rsidRPr="00E10BE5" w:rsidRDefault="001E3C54" w:rsidP="00E10BE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</w:tbl>
    <w:p w14:paraId="23B474B6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lastRenderedPageBreak/>
        <w:t>CI, confidence interval; HFNC, high-flow nasal cannula;</w:t>
      </w:r>
      <w:r w:rsidRPr="00BE5818">
        <w:rPr>
          <w:rFonts w:ascii="Times New Roman" w:eastAsia="Times New Roman" w:hAnsi="Times New Roman" w:cs="Times New Roman"/>
          <w:szCs w:val="22"/>
        </w:rPr>
        <w:t xml:space="preserve"> </w:t>
      </w:r>
      <w:r w:rsidRPr="00E10BE5">
        <w:rPr>
          <w:rFonts w:ascii="Times New Roman" w:eastAsia="Times New Roman" w:hAnsi="Times New Roman" w:cs="Times New Roman"/>
          <w:szCs w:val="22"/>
        </w:rPr>
        <w:t>HR, hazard ratio; NPPV, non-invasive positive pressure ventilation; SUP, stress ulcer prophylaxis.</w:t>
      </w:r>
    </w:p>
    <w:p w14:paraId="5CEE265C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br w:type="page"/>
      </w:r>
    </w:p>
    <w:p w14:paraId="374272C3" w14:textId="77777777" w:rsidR="001E3C54" w:rsidRPr="00E10BE5" w:rsidRDefault="001E3C54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  <w:sectPr w:rsidR="001E3C54" w:rsidRPr="00E10BE5" w:rsidSect="00E10BE5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0B39666E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lastRenderedPageBreak/>
        <w:t>Supplementary Figure 1</w:t>
      </w:r>
      <w:r w:rsidRPr="00E10BE5">
        <w:rPr>
          <w:rFonts w:ascii="Times New Roman" w:eastAsia="Times New Roman" w:hAnsi="Times New Roman" w:cs="Times New Roman"/>
          <w:szCs w:val="22"/>
        </w:rPr>
        <w:t xml:space="preserve"> Cumulative incidence function curves for 90-day mortality.</w:t>
      </w:r>
    </w:p>
    <w:p w14:paraId="341B374B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475004CA" wp14:editId="63D490E6">
            <wp:extent cx="4744085" cy="2575486"/>
            <wp:effectExtent l="0" t="0" r="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38918870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30" cy="2584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50DF8" w14:textId="77777777" w:rsidR="001E3C54" w:rsidRPr="00E10BE5" w:rsidRDefault="001E3C54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0F958EC8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>Supplementary Figure 2</w:t>
      </w:r>
      <w:r>
        <w:rPr>
          <w:rFonts w:ascii="Times New Roman" w:eastAsia="Times New Roman" w:hAnsi="Times New Roman" w:cs="Times New Roman"/>
          <w:szCs w:val="22"/>
        </w:rPr>
        <w:t>.</w:t>
      </w:r>
      <w:r w:rsidRPr="00E10BE5">
        <w:rPr>
          <w:rFonts w:ascii="Times New Roman" w:eastAsia="Times New Roman" w:hAnsi="Times New Roman" w:cs="Times New Roman"/>
          <w:szCs w:val="22"/>
        </w:rPr>
        <w:t xml:space="preserve"> Weighted cumulative incidence function curves for 90-day mortality.</w:t>
      </w:r>
    </w:p>
    <w:p w14:paraId="77933E28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6CC7A763" wp14:editId="426D6704">
            <wp:extent cx="4744529" cy="2579544"/>
            <wp:effectExtent l="0" t="0" r="571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119104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788" cy="258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48AE0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Weighted curves were estimated after propensity score overlap weighting.</w:t>
      </w:r>
    </w:p>
    <w:p w14:paraId="1D10A771" w14:textId="1F604C0B" w:rsidR="001E3C54" w:rsidRPr="00E10BE5" w:rsidRDefault="001E3C54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</w:p>
    <w:p w14:paraId="22F45B64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>Supplementary Figure 3.</w:t>
      </w:r>
      <w:r w:rsidRPr="00E10BE5">
        <w:rPr>
          <w:rFonts w:ascii="Times New Roman" w:eastAsia="Times New Roman" w:hAnsi="Times New Roman" w:cs="Times New Roman"/>
          <w:szCs w:val="22"/>
        </w:rPr>
        <w:t xml:space="preserve"> Crude cumulative incidence function curves for live discharge within 90 </w:t>
      </w:r>
      <w:r w:rsidRPr="00E10BE5">
        <w:rPr>
          <w:rFonts w:ascii="Times New Roman" w:eastAsia="Times New Roman" w:hAnsi="Times New Roman" w:cs="Times New Roman"/>
          <w:szCs w:val="22"/>
        </w:rPr>
        <w:lastRenderedPageBreak/>
        <w:t>days.</w:t>
      </w:r>
      <w:r w:rsidRPr="00E10BE5"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7A15ED6D" wp14:editId="36425ACC">
            <wp:extent cx="5359400" cy="2947093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756250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947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0BE5">
        <w:rPr>
          <w:rFonts w:ascii="Times New Roman" w:eastAsia="Times New Roman" w:hAnsi="Times New Roman" w:cs="Times New Roman"/>
          <w:szCs w:val="22"/>
        </w:rPr>
        <w:br/>
      </w:r>
    </w:p>
    <w:p w14:paraId="1362CDCB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t>Supplementary Figure 4</w:t>
      </w:r>
      <w:r>
        <w:rPr>
          <w:rFonts w:ascii="Times New Roman" w:eastAsia="Times New Roman" w:hAnsi="Times New Roman" w:cs="Times New Roman"/>
          <w:szCs w:val="22"/>
        </w:rPr>
        <w:t>.</w:t>
      </w:r>
      <w:r w:rsidRPr="00E10BE5">
        <w:rPr>
          <w:rFonts w:ascii="Times New Roman" w:eastAsia="Times New Roman" w:hAnsi="Times New Roman" w:cs="Times New Roman"/>
          <w:szCs w:val="22"/>
        </w:rPr>
        <w:t xml:space="preserve"> Weighted cumulative incidence function curves for live discharge within 90 days.</w:t>
      </w:r>
    </w:p>
    <w:p w14:paraId="507D9CA4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noProof/>
          <w:szCs w:val="22"/>
        </w:rPr>
        <w:drawing>
          <wp:inline distT="0" distB="0" distL="0" distR="0" wp14:anchorId="2AA202AD" wp14:editId="244D7407">
            <wp:extent cx="5359400" cy="2913842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8835732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91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F2CBF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Weighted curves were estimated after propensity score overlap weighting.</w:t>
      </w:r>
    </w:p>
    <w:p w14:paraId="5B948E2D" w14:textId="77777777" w:rsidR="001E3C54" w:rsidRPr="00E10BE5" w:rsidRDefault="00000000" w:rsidP="00E10BE5">
      <w:pPr>
        <w:widowControl/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br w:type="page"/>
      </w:r>
    </w:p>
    <w:p w14:paraId="6D1F38AD" w14:textId="77777777" w:rsidR="001E3C54" w:rsidRPr="00E10BE5" w:rsidRDefault="001E3C54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  <w:sectPr w:rsidR="001E3C54" w:rsidRPr="00E10BE5" w:rsidSect="00E10BE5">
          <w:type w:val="continuous"/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1CE2701" w14:textId="0AADF352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84A1B">
        <w:rPr>
          <w:rFonts w:ascii="Times New Roman" w:eastAsia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FA747A">
        <w:rPr>
          <w:rFonts w:ascii="Times New Roman" w:eastAsia="Times New Roman" w:hAnsi="Times New Roman" w:cs="Times New Roman"/>
          <w:b/>
          <w:bCs/>
          <w:szCs w:val="22"/>
        </w:rPr>
        <w:t>9</w:t>
      </w:r>
      <w:r>
        <w:rPr>
          <w:rFonts w:ascii="Times New Roman" w:eastAsia="Times New Roman" w:hAnsi="Times New Roman" w:cs="Times New Roman"/>
          <w:szCs w:val="22"/>
        </w:rPr>
        <w:t>.</w:t>
      </w:r>
      <w:r w:rsidRPr="00E10BE5">
        <w:rPr>
          <w:rFonts w:ascii="Times New Roman" w:eastAsia="Times New Roman" w:hAnsi="Times New Roman" w:cs="Times New Roman"/>
          <w:szCs w:val="22"/>
        </w:rPr>
        <w:t xml:space="preserve"> Sensitivity analyses of the primary outcome</w:t>
      </w:r>
    </w:p>
    <w:tbl>
      <w:tblPr>
        <w:tblW w:w="12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0"/>
        <w:gridCol w:w="800"/>
        <w:gridCol w:w="700"/>
        <w:gridCol w:w="1060"/>
        <w:gridCol w:w="680"/>
        <w:gridCol w:w="1800"/>
        <w:gridCol w:w="1500"/>
        <w:gridCol w:w="1380"/>
      </w:tblGrid>
      <w:tr w:rsidR="00131A64" w14:paraId="2C3FBC4B" w14:textId="77777777">
        <w:trPr>
          <w:trHeight w:val="400"/>
        </w:trPr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B2941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Sensitivity analyses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A7EEC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PPI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41B8C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Yu Gothic" w:hAnsi="Times New Roman" w:cs="Times New Roman"/>
                <w:color w:val="000000"/>
                <w:szCs w:val="22"/>
              </w:rPr>
              <w:t xml:space="preserve">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18E6A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 SUP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1806E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Yu Gothic" w:hAnsi="Times New Roman" w:cs="Times New Roman"/>
                <w:color w:val="000000"/>
                <w:szCs w:val="22"/>
              </w:rPr>
              <w:t xml:space="preserve">　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8C278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Effect measure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, HR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94C84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Adjusted hazard ratio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A90C0A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95%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CI</w:t>
            </w:r>
          </w:p>
        </w:tc>
      </w:tr>
      <w:tr w:rsidR="00131A64" w14:paraId="0A6A2B30" w14:textId="77777777">
        <w:trPr>
          <w:trHeight w:val="68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748DD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Fine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Gray model for 90-day upper gastrointestinal bleeding, n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(%)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01EE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D16A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B411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39A82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5F1F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2"/>
              </w:rPr>
              <w:t>S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ubdistribution</w:t>
            </w:r>
            <w:proofErr w:type="spellEnd"/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CEADF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5935" w14:textId="77777777" w:rsidR="001E3C54" w:rsidRPr="00E10BE5" w:rsidRDefault="00000000" w:rsidP="00E10BE5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0.48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1.31</w:t>
            </w:r>
          </w:p>
        </w:tc>
      </w:tr>
      <w:tr w:rsidR="00131A64" w14:paraId="68C1ACC1" w14:textId="77777777">
        <w:trPr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7754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Complete case analysis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98F69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63F8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AFD1A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D0BF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046F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ause-specific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3D005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02469" w14:textId="77777777" w:rsidR="001E3C54" w:rsidRPr="00E10BE5" w:rsidRDefault="00000000" w:rsidP="00E10BE5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0.38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1.81</w:t>
            </w:r>
          </w:p>
        </w:tc>
      </w:tr>
      <w:tr w:rsidR="00131A64" w14:paraId="67348250" w14:textId="77777777">
        <w:trPr>
          <w:trHeight w:val="68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556E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Upper gastrointestinal bleeding requiring hemostatic intervention within 30 days, n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(%)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35DB0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0507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39A15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0ED8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52792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ause-specific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E13B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826D" w14:textId="77777777" w:rsidR="001E3C54" w:rsidRPr="00E10BE5" w:rsidRDefault="00000000" w:rsidP="00E10BE5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0.41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1.31</w:t>
            </w:r>
          </w:p>
        </w:tc>
      </w:tr>
      <w:tr w:rsidR="00131A64" w14:paraId="3E2D7E46" w14:textId="77777777">
        <w:trPr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146C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Exposure redefined as any SUP use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5982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ACE1B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1C1A4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96A1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58776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ause-specific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A60F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98BD" w14:textId="77777777" w:rsidR="001E3C54" w:rsidRPr="00E10BE5" w:rsidRDefault="00000000" w:rsidP="00E10BE5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1.18</w:t>
            </w:r>
          </w:p>
        </w:tc>
      </w:tr>
      <w:tr w:rsidR="00131A64" w14:paraId="59E3EADF" w14:textId="77777777">
        <w:trPr>
          <w:trHeight w:val="680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5227AE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Exposure redefined as PPI use on hospital day 1 or 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93FC3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FF7ED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F72200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E05136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(0.7)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85E15" w14:textId="77777777" w:rsidR="001E3C54" w:rsidRPr="00E10BE5" w:rsidRDefault="00000000" w:rsidP="00E10BE5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C</w:t>
            </w:r>
            <w:r w:rsidRPr="00E10BE5">
              <w:rPr>
                <w:rFonts w:ascii="Times New Roman" w:eastAsia="Times New Roman" w:hAnsi="Times New Roman" w:cs="Times New Roman"/>
                <w:szCs w:val="22"/>
              </w:rPr>
              <w:t>ause-specific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E20D3" w14:textId="77777777" w:rsidR="001E3C54" w:rsidRPr="00E10BE5" w:rsidRDefault="00000000" w:rsidP="00E10BE5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E0649" w14:textId="77777777" w:rsidR="001E3C54" w:rsidRPr="00E10BE5" w:rsidRDefault="00000000" w:rsidP="00E10BE5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0.55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–</w:t>
            </w:r>
            <w:r w:rsidRPr="00E10BE5">
              <w:rPr>
                <w:rFonts w:ascii="Times New Roman" w:eastAsia="Times New Roman" w:hAnsi="Times New Roman" w:cs="Times New Roman"/>
                <w:color w:val="000000"/>
                <w:szCs w:val="22"/>
              </w:rPr>
              <w:t>1.45</w:t>
            </w:r>
          </w:p>
        </w:tc>
      </w:tr>
    </w:tbl>
    <w:p w14:paraId="17B64A60" w14:textId="77777777" w:rsidR="001E3C54" w:rsidRPr="00E10BE5" w:rsidRDefault="00000000" w:rsidP="00E10BE5">
      <w:pPr>
        <w:tabs>
          <w:tab w:val="left" w:pos="2781"/>
        </w:tabs>
        <w:spacing w:line="360" w:lineRule="auto"/>
        <w:rPr>
          <w:rFonts w:ascii="Times New Roman" w:eastAsia="Times New Roman" w:hAnsi="Times New Roman" w:cs="Times New Roman"/>
          <w:szCs w:val="22"/>
        </w:rPr>
      </w:pPr>
      <w:r w:rsidRPr="00E10BE5">
        <w:rPr>
          <w:rFonts w:ascii="Times New Roman" w:eastAsia="Times New Roman" w:hAnsi="Times New Roman" w:cs="Times New Roman"/>
          <w:szCs w:val="22"/>
        </w:rPr>
        <w:t>HR, hazard ratio; PPI, proton pump inhibitor</w:t>
      </w:r>
      <w:r>
        <w:rPr>
          <w:rFonts w:ascii="Times New Roman" w:eastAsia="Times New Roman" w:hAnsi="Times New Roman" w:cs="Times New Roman"/>
          <w:szCs w:val="22"/>
        </w:rPr>
        <w:t>;</w:t>
      </w:r>
      <w:r w:rsidRPr="00BE5818">
        <w:rPr>
          <w:rFonts w:ascii="Times New Roman" w:eastAsia="Times New Roman" w:hAnsi="Times New Roman" w:cs="Times New Roman"/>
          <w:szCs w:val="22"/>
        </w:rPr>
        <w:t xml:space="preserve"> </w:t>
      </w:r>
      <w:r w:rsidRPr="00E10BE5">
        <w:rPr>
          <w:rFonts w:ascii="Times New Roman" w:eastAsia="Times New Roman" w:hAnsi="Times New Roman" w:cs="Times New Roman"/>
          <w:szCs w:val="22"/>
        </w:rPr>
        <w:t>SUP, stress ulcer prophylaxis.</w:t>
      </w:r>
    </w:p>
    <w:sectPr w:rsidR="001E3C54" w:rsidRPr="00E10BE5" w:rsidSect="00E10BE5">
      <w:type w:val="continuous"/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removeDateAndTime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C54"/>
    <w:rsid w:val="00131A64"/>
    <w:rsid w:val="001E3C54"/>
    <w:rsid w:val="003F4A6D"/>
    <w:rsid w:val="004E16D3"/>
    <w:rsid w:val="006538F7"/>
    <w:rsid w:val="006B199E"/>
    <w:rsid w:val="00907B05"/>
    <w:rsid w:val="0092741B"/>
    <w:rsid w:val="00B056F4"/>
    <w:rsid w:val="00BE49E4"/>
    <w:rsid w:val="00BE5818"/>
    <w:rsid w:val="00C53953"/>
    <w:rsid w:val="00D0022C"/>
    <w:rsid w:val="00E10BE5"/>
    <w:rsid w:val="00E84A1B"/>
    <w:rsid w:val="00F90BFA"/>
    <w:rsid w:val="00FA747A"/>
    <w:rsid w:val="00FB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30107"/>
  <w15:docId w15:val="{3BB582DE-5E80-4BD3-A326-E11B99E9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numPr>
        <w:ilvl w:val="8"/>
      </w:numPr>
      <w:ind w:left="1440"/>
      <w:outlineLvl w:val="8"/>
    </w:p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line="360" w:lineRule="auto"/>
      <w:ind w:left="1200"/>
    </w:pPr>
    <w:rPr>
      <w:rFonts w:ascii="Calibri" w:eastAsia="Calibri" w:hAnsi="Calibri" w:cs="Calibri"/>
    </w:rPr>
  </w:style>
  <w:style w:type="paragraph" w:customStyle="1" w:styleId="Caption1">
    <w:name w:val="Caption1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Reference">
    <w:name w:val="Reference"/>
    <w:basedOn w:val="a"/>
    <w:uiPriority w:val="16"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</w:rPr>
  </w:style>
  <w:style w:type="paragraph" w:customStyle="1" w:styleId="Surtitle">
    <w:name w:val="Surtitle"/>
    <w:basedOn w:val="a"/>
    <w:uiPriority w:val="16"/>
    <w:semiHidden/>
    <w:unhideWhenUsed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  <w:rPr>
      <w:shd w:val="clear" w:color="auto" w:fill="E9F9FF"/>
    </w:rPr>
  </w:style>
  <w:style w:type="character" w:customStyle="1" w:styleId="City">
    <w:name w:val="City"/>
    <w:basedOn w:val="a0"/>
    <w:uiPriority w:val="17"/>
    <w:semiHidden/>
    <w:unhideWhenUsed/>
    <w:rPr>
      <w:shd w:val="clear" w:color="auto" w:fill="D7D7D7"/>
    </w:rPr>
  </w:style>
  <w:style w:type="character" w:customStyle="1" w:styleId="Conference">
    <w:name w:val="Conference"/>
    <w:basedOn w:val="a0"/>
    <w:uiPriority w:val="17"/>
    <w:semiHidden/>
    <w:unhideWhenUsed/>
    <w:rPr>
      <w:shd w:val="clear" w:color="auto" w:fill="FFAFBC"/>
    </w:rPr>
  </w:style>
  <w:style w:type="character" w:customStyle="1" w:styleId="Country">
    <w:name w:val="Country"/>
    <w:basedOn w:val="a0"/>
    <w:uiPriority w:val="17"/>
    <w:semiHidden/>
    <w:unhideWhenUsed/>
    <w:rPr>
      <w:shd w:val="clear" w:color="auto" w:fill="97C5D1"/>
    </w:rPr>
  </w:style>
  <w:style w:type="character" w:customStyle="1" w:styleId="Cross-reference">
    <w:name w:val="Cross-reference"/>
    <w:basedOn w:val="a0"/>
    <w:uiPriority w:val="17"/>
    <w:semiHidden/>
    <w:unhideWhenUsed/>
    <w:rPr>
      <w:shd w:val="clear" w:color="auto" w:fill="FFE3C9"/>
    </w:rPr>
  </w:style>
  <w:style w:type="character" w:customStyle="1" w:styleId="DatabaseLink">
    <w:name w:val="Database Link"/>
    <w:basedOn w:val="a0"/>
    <w:uiPriority w:val="17"/>
    <w:semiHidden/>
    <w:unhideWhenUsed/>
    <w:rPr>
      <w:shd w:val="clear" w:color="auto" w:fill="AFBEFF"/>
    </w:rPr>
  </w:style>
  <w:style w:type="character" w:customStyle="1" w:styleId="Edition">
    <w:name w:val="Edition"/>
    <w:basedOn w:val="a0"/>
    <w:uiPriority w:val="17"/>
    <w:semiHidden/>
    <w:unhideWhenUsed/>
    <w:rPr>
      <w:shd w:val="clear" w:color="auto" w:fill="FFF6A4"/>
    </w:rPr>
  </w:style>
  <w:style w:type="character" w:customStyle="1" w:styleId="FamilyName">
    <w:name w:val="Family Name"/>
    <w:basedOn w:val="a0"/>
    <w:uiPriority w:val="17"/>
    <w:semiHidden/>
    <w:unhideWhenUsed/>
    <w:rPr>
      <w:shd w:val="clear" w:color="auto" w:fill="88F4BE"/>
    </w:rPr>
  </w:style>
  <w:style w:type="character" w:customStyle="1" w:styleId="GeneSequence">
    <w:name w:val="Gene Sequence"/>
    <w:basedOn w:val="a0"/>
    <w:uiPriority w:val="17"/>
    <w:semiHidden/>
    <w:unhideWhenUsed/>
    <w:rPr>
      <w:shd w:val="clear" w:color="auto" w:fill="FFCDF2"/>
    </w:rPr>
  </w:style>
  <w:style w:type="character" w:customStyle="1" w:styleId="GivenName">
    <w:name w:val="Given Name"/>
    <w:basedOn w:val="a0"/>
    <w:uiPriority w:val="17"/>
    <w:semiHidden/>
    <w:unhideWhenUsed/>
    <w:rPr>
      <w:shd w:val="clear" w:color="auto" w:fill="D0FCE2"/>
    </w:rPr>
  </w:style>
  <w:style w:type="character" w:customStyle="1" w:styleId="GlossaryTerm">
    <w:name w:val="Glossary Term"/>
    <w:basedOn w:val="a0"/>
    <w:uiPriority w:val="17"/>
    <w:semiHidden/>
    <w:unhideWhenUsed/>
    <w:rPr>
      <w:shd w:val="clear" w:color="auto" w:fill="FFCFD7"/>
    </w:rPr>
  </w:style>
  <w:style w:type="character" w:customStyle="1" w:styleId="GrantID">
    <w:name w:val="Grant ID"/>
    <w:basedOn w:val="a0"/>
    <w:uiPriority w:val="17"/>
    <w:semiHidden/>
    <w:unhideWhenUsed/>
    <w:rPr>
      <w:shd w:val="clear" w:color="auto" w:fill="DDA5FF"/>
    </w:rPr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styleId="a6">
    <w:name w:val="Hyperlink"/>
    <w:basedOn w:val="a0"/>
    <w:uiPriority w:val="17"/>
    <w:semiHidden/>
    <w:unhideWhenUsed/>
    <w:rPr>
      <w:color w:val="0563C1"/>
    </w:rPr>
  </w:style>
  <w:style w:type="character" w:customStyle="1" w:styleId="IssueNumber">
    <w:name w:val="Issue Number"/>
    <w:basedOn w:val="a0"/>
    <w:uiPriority w:val="17"/>
    <w:semiHidden/>
    <w:unhideWhenUsed/>
    <w:rPr>
      <w:shd w:val="clear" w:color="auto" w:fill="CDD5FF"/>
    </w:rPr>
  </w:style>
  <w:style w:type="character" w:customStyle="1" w:styleId="Label">
    <w:name w:val="Label"/>
    <w:basedOn w:val="a0"/>
    <w:uiPriority w:val="17"/>
    <w:semiHidden/>
    <w:unhideWhenUsed/>
    <w:rPr>
      <w:shd w:val="clear" w:color="auto" w:fill="FFC391"/>
      <w:vertAlign w:val="baseline"/>
    </w:rPr>
  </w:style>
  <w:style w:type="character" w:customStyle="1" w:styleId="Location">
    <w:name w:val="Location"/>
    <w:basedOn w:val="a0"/>
    <w:uiPriority w:val="17"/>
    <w:semiHidden/>
    <w:unhideWhenUsed/>
    <w:rPr>
      <w:shd w:val="clear" w:color="auto" w:fill="F9EDFF"/>
    </w:rPr>
  </w:style>
  <w:style w:type="character" w:customStyle="1" w:styleId="Miscellaneous">
    <w:name w:val="Miscellaneous"/>
    <w:basedOn w:val="a0"/>
    <w:uiPriority w:val="17"/>
    <w:semiHidden/>
    <w:unhideWhenUsed/>
    <w:rPr>
      <w:shd w:val="clear" w:color="auto" w:fill="F0F0F0"/>
    </w:rPr>
  </w:style>
  <w:style w:type="character" w:customStyle="1" w:styleId="NameScientific">
    <w:name w:val="Name Scientific"/>
    <w:basedOn w:val="a0"/>
    <w:uiPriority w:val="17"/>
    <w:semiHidden/>
    <w:unhideWhenUsed/>
    <w:rPr>
      <w:shd w:val="clear" w:color="auto" w:fill="91E0FF"/>
    </w:rPr>
  </w:style>
  <w:style w:type="character" w:customStyle="1" w:styleId="Organization">
    <w:name w:val="Organization"/>
    <w:basedOn w:val="a0"/>
    <w:uiPriority w:val="17"/>
    <w:semiHidden/>
    <w:unhideWhenUsed/>
    <w:rPr>
      <w:shd w:val="clear" w:color="auto" w:fill="D1FFB5"/>
    </w:rPr>
  </w:style>
  <w:style w:type="character" w:customStyle="1" w:styleId="PageNumbers">
    <w:name w:val="Page Numbers"/>
    <w:basedOn w:val="a0"/>
    <w:uiPriority w:val="17"/>
    <w:semiHidden/>
    <w:unhideWhenUsed/>
    <w:rPr>
      <w:shd w:val="clear" w:color="auto" w:fill="FFEDF0"/>
    </w:rPr>
  </w:style>
  <w:style w:type="character" w:customStyle="1" w:styleId="Postcode">
    <w:name w:val="Postcode"/>
    <w:basedOn w:val="a0"/>
    <w:uiPriority w:val="17"/>
    <w:semiHidden/>
    <w:unhideWhenUsed/>
    <w:rPr>
      <w:shd w:val="clear" w:color="auto" w:fill="BEBEBE"/>
    </w:rPr>
  </w:style>
  <w:style w:type="character" w:customStyle="1" w:styleId="Publisher">
    <w:name w:val="Publisher"/>
    <w:basedOn w:val="a0"/>
    <w:uiPriority w:val="17"/>
    <w:semiHidden/>
    <w:unhideWhenUsed/>
    <w:rPr>
      <w:shd w:val="clear" w:color="auto" w:fill="F2DDFF"/>
    </w:rPr>
  </w:style>
  <w:style w:type="character" w:customStyle="1" w:styleId="Region">
    <w:name w:val="Region"/>
    <w:basedOn w:val="a0"/>
    <w:uiPriority w:val="17"/>
    <w:semiHidden/>
    <w:unhideWhenUsed/>
    <w:rPr>
      <w:shd w:val="clear" w:color="auto" w:fill="D8E9EE"/>
    </w:rPr>
  </w:style>
  <w:style w:type="character" w:customStyle="1" w:styleId="Source">
    <w:name w:val="Source"/>
    <w:basedOn w:val="a0"/>
    <w:uiPriority w:val="17"/>
    <w:semiHidden/>
    <w:unhideWhenUsed/>
    <w:rPr>
      <w:shd w:val="clear" w:color="auto" w:fill="C1EDFF"/>
    </w:rPr>
  </w:style>
  <w:style w:type="character" w:customStyle="1" w:styleId="VolumeNumber">
    <w:name w:val="Volume Number"/>
    <w:basedOn w:val="a0"/>
    <w:uiPriority w:val="17"/>
    <w:semiHidden/>
    <w:unhideWhenUsed/>
    <w:rPr>
      <w:shd w:val="clear" w:color="auto" w:fill="EDF0FF"/>
    </w:rPr>
  </w:style>
  <w:style w:type="character" w:customStyle="1" w:styleId="Year">
    <w:name w:val="Year"/>
    <w:basedOn w:val="a0"/>
    <w:uiPriority w:val="17"/>
    <w:semiHidden/>
    <w:unhideWhenUsed/>
    <w:rPr>
      <w:shd w:val="clear" w:color="auto" w:fill="FFF9C9"/>
    </w:rPr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7">
    <w:name w:val="Quote"/>
    <w:basedOn w:val="a"/>
    <w:next w:val="a"/>
    <w:uiPriority w:val="29"/>
    <w:qFormat/>
    <w:pPr>
      <w:spacing w:before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TOC11">
    <w:name w:val="TOC 1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</w:rPr>
  </w:style>
  <w:style w:type="paragraph" w:customStyle="1" w:styleId="TOC41">
    <w:name w:val="TOC 4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a0"/>
    <w:uiPriority w:val="99"/>
    <w:semiHidden/>
    <w:unhideWhenUsed/>
    <w:rPr>
      <w:sz w:val="16"/>
    </w:rPr>
  </w:style>
  <w:style w:type="paragraph" w:customStyle="1" w:styleId="CommentText1">
    <w:name w:val="Comment Text1"/>
    <w:basedOn w:val="a"/>
    <w:uiPriority w:val="99"/>
    <w:semiHidden/>
    <w:unhideWhenUsed/>
    <w:pPr>
      <w:spacing w:after="0"/>
    </w:pPr>
    <w:rPr>
      <w:rFonts w:ascii="Calibri" w:eastAsia="Calibri" w:hAnsi="Calibri" w:cs="Calibri"/>
      <w:sz w:val="20"/>
    </w:rPr>
  </w:style>
  <w:style w:type="character" w:customStyle="1" w:styleId="EndnoteReference1">
    <w:name w:val="Endnote Reference1"/>
    <w:basedOn w:val="a0"/>
    <w:uiPriority w:val="99"/>
    <w:semiHidden/>
    <w:unhideWhenUsed/>
    <w:rPr>
      <w:vertAlign w:val="superscript"/>
    </w:rPr>
  </w:style>
  <w:style w:type="paragraph" w:customStyle="1" w:styleId="EndnoteText1">
    <w:name w:val="Endnote Text1"/>
    <w:basedOn w:val="a"/>
    <w:uiPriority w:val="99"/>
    <w:semiHidden/>
    <w:unhideWhenUsed/>
    <w:rPr>
      <w:rFonts w:ascii="Calibri" w:eastAsia="Calibri" w:hAnsi="Calibri" w:cs="Calibri"/>
    </w:rPr>
  </w:style>
  <w:style w:type="character" w:customStyle="1" w:styleId="FootnoteReference1">
    <w:name w:val="Footnote Reference1"/>
    <w:basedOn w:val="a0"/>
    <w:uiPriority w:val="99"/>
    <w:semiHidden/>
    <w:unhideWhenUsed/>
    <w:rPr>
      <w:vertAlign w:val="superscript"/>
    </w:rPr>
  </w:style>
  <w:style w:type="paragraph" w:customStyle="1" w:styleId="FootnoteText1">
    <w:name w:val="Footnote Text1"/>
    <w:basedOn w:val="a"/>
    <w:uiPriority w:val="99"/>
    <w:semiHidden/>
    <w:unhideWhenUsed/>
    <w:rPr>
      <w:rFonts w:ascii="Calibri" w:eastAsia="Calibri" w:hAnsi="Calibri" w:cs="Calibri"/>
    </w:rPr>
  </w:style>
  <w:style w:type="paragraph" w:styleId="a9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23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paragraph" w:styleId="30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paragraph" w:styleId="40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styleId="50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aa">
    <w:name w:val="Revision"/>
    <w:hidden/>
    <w:uiPriority w:val="99"/>
    <w:semiHidden/>
    <w:pPr>
      <w:spacing w:after="0" w:line="240" w:lineRule="auto"/>
    </w:p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Pr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1800</Words>
  <Characters>10693</Characters>
  <Application>Microsoft Office Word</Application>
  <DocSecurity>0</DocSecurity>
  <Lines>1188</Lines>
  <Paragraphs>1041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 谷島</cp:lastModifiedBy>
  <cp:revision>3</cp:revision>
  <dcterms:created xsi:type="dcterms:W3CDTF">2026-08-20T03:28:00Z</dcterms:created>
  <dcterms:modified xsi:type="dcterms:W3CDTF">2026-08-25T02:00:00Z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9</vt:lpwstr>
  </property>
  <property fmtid="{D5CDD505-2E9C-101B-9397-08002B2CF9AE}" pid="8" name="Merops client version">
    <vt:lpwstr/>
  </property>
  <property fmtid="{D5CDD505-2E9C-101B-9397-08002B2CF9AE}" pid="9" name="Merops comment count">
    <vt:lpwstr>5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4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4</vt:lpwstr>
  </property>
  <property fmtid="{D5CDD505-2E9C-101B-9397-08002B2CF9AE}" pid="15" name="Merops input file path">
    <vt:lpwstr>crm_6681e646-865b-4b0c-a1c9-c1aced258274.docx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MG-Session/On-20260710/I:eb6d7176-9d86-47c2-acf0-9fa519bfba44</vt:lpwstr>
  </property>
  <property fmtid="{D5CDD505-2E9C-101B-9397-08002B2CF9AE}" pid="18" name="Merops processed date">
    <vt:lpwstr>2026/07/10 07:17:59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merops/preset-v1/fp_chest</vt:lpwstr>
  </property>
  <property fmtid="{D5CDD505-2E9C-101B-9397-08002B2CF9AE}" pid="24" name="Merops Standard Set modified">
    <vt:lpwstr/>
  </property>
  <property fmtid="{D5CDD505-2E9C-101B-9397-08002B2CF9AE}" pid="25" name="Merops tables count">
    <vt:lpwstr>8</vt:lpwstr>
  </property>
  <property fmtid="{D5CDD505-2E9C-101B-9397-08002B2CF9AE}" pid="26" name="Merops word count">
    <vt:lpwstr>958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