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20245" w14:textId="77777777" w:rsidR="008017F0" w:rsidRPr="00004E46" w:rsidRDefault="008017F0" w:rsidP="008017F0">
      <w:pPr>
        <w:spacing w:after="0" w:line="360" w:lineRule="auto"/>
        <w:jc w:val="center"/>
        <w:rPr>
          <w:rFonts w:ascii="Times New Roman" w:hAnsi="Times New Roman" w:cs="Times New Roman"/>
          <w:b/>
          <w:sz w:val="28"/>
          <w:szCs w:val="24"/>
          <w:lang w:val="en-GB"/>
        </w:rPr>
      </w:pPr>
      <w:bookmarkStart w:id="0" w:name="_Toc76365082"/>
      <w:r w:rsidRPr="00004E46">
        <w:rPr>
          <w:rFonts w:ascii="Times New Roman" w:hAnsi="Times New Roman" w:cs="Times New Roman"/>
          <w:b/>
          <w:sz w:val="28"/>
          <w:szCs w:val="24"/>
          <w:lang w:val="en-GB"/>
        </w:rPr>
        <w:t>Public capital and the productivity of public spending across the Italian regions</w:t>
      </w:r>
    </w:p>
    <w:p w14:paraId="74FD5569" w14:textId="77777777" w:rsidR="008017F0" w:rsidRDefault="008017F0" w:rsidP="003D4369">
      <w:pPr>
        <w:pStyle w:val="RSEG"/>
        <w:rPr>
          <w:b/>
          <w:bCs/>
        </w:rPr>
      </w:pPr>
    </w:p>
    <w:p w14:paraId="313FD3A4" w14:textId="5873FEA8" w:rsidR="003D4369" w:rsidRPr="008017F0" w:rsidRDefault="003D4369" w:rsidP="003D4369">
      <w:pPr>
        <w:pStyle w:val="RSEG"/>
        <w:rPr>
          <w:b/>
          <w:bCs/>
        </w:rPr>
      </w:pPr>
      <w:r w:rsidRPr="008017F0">
        <w:rPr>
          <w:b/>
          <w:bCs/>
        </w:rPr>
        <w:t>Appendix 1. The stock of public capital in monetary terms. Supplementary information</w:t>
      </w:r>
    </w:p>
    <w:p w14:paraId="78A70F9E" w14:textId="77777777" w:rsidR="003D4369" w:rsidRPr="008017F0" w:rsidRDefault="003D4369" w:rsidP="003D4369">
      <w:pPr>
        <w:pStyle w:val="RSEGTITOLO2"/>
      </w:pPr>
      <w:r w:rsidRPr="008017F0">
        <w:t xml:space="preserve">The available monetary indicators of public investment and public capital stock for the Italian regions </w:t>
      </w:r>
    </w:p>
    <w:p w14:paraId="27205EFC" w14:textId="5E443D7F" w:rsidR="00102A36" w:rsidRPr="008017F0" w:rsidRDefault="00102A36" w:rsidP="00102A36">
      <w:pPr>
        <w:spacing w:after="0" w:line="360" w:lineRule="auto"/>
        <w:jc w:val="both"/>
        <w:rPr>
          <w:rFonts w:ascii="Times New Roman" w:hAnsi="Times New Roman" w:cs="Times New Roman"/>
          <w:iCs/>
          <w:sz w:val="24"/>
          <w:szCs w:val="24"/>
          <w:lang w:val="en-GB"/>
        </w:rPr>
      </w:pPr>
      <w:r w:rsidRPr="008017F0">
        <w:rPr>
          <w:rFonts w:ascii="Times New Roman" w:hAnsi="Times New Roman" w:cs="Times New Roman"/>
          <w:iCs/>
          <w:sz w:val="24"/>
          <w:szCs w:val="24"/>
          <w:lang w:val="en-GB"/>
        </w:rPr>
        <w:t xml:space="preserve">The classification </w:t>
      </w:r>
      <w:r w:rsidR="007F75B6" w:rsidRPr="008017F0">
        <w:rPr>
          <w:rFonts w:ascii="Times New Roman" w:hAnsi="Times New Roman" w:cs="Times New Roman"/>
          <w:iCs/>
          <w:sz w:val="24"/>
          <w:szCs w:val="24"/>
          <w:lang w:val="en-GB"/>
        </w:rPr>
        <w:t>of</w:t>
      </w:r>
      <w:r w:rsidRPr="008017F0">
        <w:rPr>
          <w:rFonts w:ascii="Times New Roman" w:hAnsi="Times New Roman" w:cs="Times New Roman"/>
          <w:iCs/>
          <w:sz w:val="24"/>
          <w:szCs w:val="24"/>
          <w:lang w:val="en-GB"/>
        </w:rPr>
        <w:t xml:space="preserve"> infrastructure has long been debated (Hansen, 1965; Aschauer, 1989; Biehl, 1991; Sturm et al., 1995; Jochimsen, 1996; Buhr, 2003). We adopt the distinction among core infrastructure - primarily oriented toward the support of directly productive activities or toward the movement of economic goods (roads, highways, airports, naval transport, sewer networks, aqueducts, networks for water distribution, gas networks, electricity networks, irrigation plant and structures dedicated to the commodities transfer) – and noncore infrastructure including schools, structures for public safety, public accommodation, plant of waste disposal, hospitals, sport structures, and so on. The same classification has been adopted by the World Development Report (World Bank, 1994) including transport, energy (power, oil, gas, coal), telecommunications, water (irrigation projects, etc.), waste disposal, among economic infrastructure, and education, health, family welfare, housing, drinking water, sanitation, all the services available to the people for self-development and professional proficiency, among social infrastructure. </w:t>
      </w:r>
      <w:r w:rsidR="007F75B6" w:rsidRPr="008017F0">
        <w:rPr>
          <w:rFonts w:ascii="Times New Roman" w:hAnsi="Times New Roman" w:cs="Times New Roman"/>
          <w:iCs/>
          <w:sz w:val="24"/>
          <w:szCs w:val="24"/>
          <w:lang w:val="en-GB"/>
        </w:rPr>
        <w:t>Our taxonomy</w:t>
      </w:r>
      <w:r w:rsidRPr="008017F0">
        <w:rPr>
          <w:rFonts w:ascii="Times New Roman" w:hAnsi="Times New Roman" w:cs="Times New Roman"/>
          <w:iCs/>
          <w:sz w:val="24"/>
          <w:szCs w:val="24"/>
          <w:lang w:val="en-GB"/>
        </w:rPr>
        <w:t xml:space="preserve"> of core and noncore infrastructure is reported in Table</w:t>
      </w:r>
      <w:r w:rsidR="007F75B6" w:rsidRPr="008017F0">
        <w:rPr>
          <w:rFonts w:ascii="Times New Roman" w:hAnsi="Times New Roman" w:cs="Times New Roman"/>
          <w:iCs/>
          <w:sz w:val="24"/>
          <w:szCs w:val="24"/>
          <w:lang w:val="en-GB"/>
        </w:rPr>
        <w:t>s</w:t>
      </w:r>
      <w:r w:rsidRPr="008017F0">
        <w:rPr>
          <w:rFonts w:ascii="Times New Roman" w:hAnsi="Times New Roman" w:cs="Times New Roman"/>
          <w:iCs/>
          <w:sz w:val="24"/>
          <w:szCs w:val="24"/>
          <w:lang w:val="en-GB"/>
        </w:rPr>
        <w:t xml:space="preserve"> 1 </w:t>
      </w:r>
      <w:r w:rsidR="007F75B6" w:rsidRPr="008017F0">
        <w:rPr>
          <w:rFonts w:ascii="Times New Roman" w:hAnsi="Times New Roman" w:cs="Times New Roman"/>
          <w:iCs/>
          <w:sz w:val="24"/>
          <w:szCs w:val="24"/>
          <w:lang w:val="en-GB"/>
        </w:rPr>
        <w:t xml:space="preserve">and 2 </w:t>
      </w:r>
      <w:r w:rsidRPr="008017F0">
        <w:rPr>
          <w:rFonts w:ascii="Times New Roman" w:hAnsi="Times New Roman" w:cs="Times New Roman"/>
          <w:iCs/>
          <w:sz w:val="24"/>
          <w:szCs w:val="24"/>
          <w:lang w:val="en-GB"/>
        </w:rPr>
        <w:t xml:space="preserve">(main text). Note that one </w:t>
      </w:r>
      <w:r w:rsidR="007F75B6" w:rsidRPr="008017F0">
        <w:rPr>
          <w:rFonts w:ascii="Times New Roman" w:hAnsi="Times New Roman" w:cs="Times New Roman"/>
          <w:iCs/>
          <w:sz w:val="24"/>
          <w:szCs w:val="24"/>
          <w:lang w:val="en-GB"/>
        </w:rPr>
        <w:t xml:space="preserve">main </w:t>
      </w:r>
      <w:r w:rsidRPr="008017F0">
        <w:rPr>
          <w:rFonts w:ascii="Times New Roman" w:hAnsi="Times New Roman" w:cs="Times New Roman"/>
          <w:iCs/>
          <w:sz w:val="24"/>
          <w:szCs w:val="24"/>
          <w:lang w:val="en-GB"/>
        </w:rPr>
        <w:t>asset class (Others) includes categories from both core and noncore infrastructures</w:t>
      </w:r>
      <w:r w:rsidR="000336FE" w:rsidRPr="008017F0">
        <w:rPr>
          <w:rFonts w:ascii="Times New Roman" w:hAnsi="Times New Roman" w:cs="Times New Roman"/>
          <w:iCs/>
          <w:sz w:val="24"/>
          <w:szCs w:val="24"/>
          <w:lang w:val="en-GB"/>
        </w:rPr>
        <w:t>.</w:t>
      </w:r>
    </w:p>
    <w:p w14:paraId="3C0F26D2" w14:textId="1CA79F91" w:rsidR="003D4369" w:rsidRPr="008017F0" w:rsidRDefault="003D4369" w:rsidP="003D4369">
      <w:pPr>
        <w:spacing w:after="0" w:line="360" w:lineRule="auto"/>
        <w:jc w:val="both"/>
        <w:rPr>
          <w:rFonts w:ascii="Times New Roman" w:hAnsi="Times New Roman" w:cs="Times New Roman"/>
          <w:bCs/>
          <w:sz w:val="24"/>
          <w:szCs w:val="24"/>
          <w:lang w:val="en-GB"/>
        </w:rPr>
      </w:pPr>
      <w:r w:rsidRPr="008017F0">
        <w:rPr>
          <w:rFonts w:ascii="Times New Roman" w:hAnsi="Times New Roman" w:cs="Times New Roman"/>
          <w:bCs/>
          <w:sz w:val="24"/>
          <w:szCs w:val="24"/>
          <w:lang w:val="en-GB"/>
        </w:rPr>
        <w:t>Table A</w:t>
      </w:r>
      <w:r w:rsidR="005D2469" w:rsidRPr="008017F0">
        <w:rPr>
          <w:rFonts w:ascii="Times New Roman" w:hAnsi="Times New Roman" w:cs="Times New Roman"/>
          <w:bCs/>
          <w:sz w:val="24"/>
          <w:szCs w:val="24"/>
          <w:lang w:val="en-GB"/>
        </w:rPr>
        <w:t>1</w:t>
      </w:r>
      <w:r w:rsidRPr="008017F0">
        <w:rPr>
          <w:rFonts w:ascii="Times New Roman" w:hAnsi="Times New Roman" w:cs="Times New Roman"/>
          <w:bCs/>
          <w:sz w:val="24"/>
          <w:szCs w:val="24"/>
          <w:lang w:val="en-GB"/>
        </w:rPr>
        <w:t xml:space="preserve"> sums up the different series of public capital in monetary terms for Italian regions (NUTS2) and provinces (NUTS3), all based on the PIM.</w:t>
      </w:r>
    </w:p>
    <w:p w14:paraId="3531B60D" w14:textId="760F5E02" w:rsidR="003D4369" w:rsidRPr="008017F0" w:rsidRDefault="003D4369" w:rsidP="003D4369">
      <w:pPr>
        <w:keepNext/>
        <w:spacing w:before="160" w:after="0" w:line="240" w:lineRule="auto"/>
        <w:jc w:val="both"/>
        <w:rPr>
          <w:rFonts w:ascii="Times New Roman" w:hAnsi="Times New Roman" w:cs="Times New Roman"/>
          <w:b/>
          <w:lang w:val="en-GB"/>
        </w:rPr>
      </w:pPr>
      <w:r w:rsidRPr="008017F0">
        <w:rPr>
          <w:rFonts w:ascii="Times New Roman" w:hAnsi="Times New Roman" w:cs="Times New Roman"/>
          <w:lang w:val="en-GB"/>
        </w:rPr>
        <w:t>Table A</w:t>
      </w:r>
      <w:r w:rsidR="005D2469" w:rsidRPr="008017F0">
        <w:rPr>
          <w:rFonts w:ascii="Times New Roman" w:hAnsi="Times New Roman" w:cs="Times New Roman"/>
          <w:lang w:val="en-GB"/>
        </w:rPr>
        <w:t>1</w:t>
      </w:r>
      <w:r w:rsidRPr="008017F0">
        <w:rPr>
          <w:rFonts w:ascii="Times New Roman" w:hAnsi="Times New Roman" w:cs="Times New Roman"/>
          <w:lang w:val="en-GB"/>
        </w:rPr>
        <w:t>. The main indicators for the monetary value of the public capital stock. Italian regions and provinces</w:t>
      </w:r>
    </w:p>
    <w:p w14:paraId="4F21ECCF" w14:textId="77777777" w:rsidR="003D4369" w:rsidRPr="008017F0" w:rsidRDefault="003D4369" w:rsidP="003D4369">
      <w:pPr>
        <w:spacing w:after="0" w:line="360" w:lineRule="auto"/>
        <w:jc w:val="both"/>
        <w:rPr>
          <w:rFonts w:ascii="Times New Roman" w:hAnsi="Times New Roman" w:cs="Times New Roman"/>
          <w:sz w:val="24"/>
          <w:szCs w:val="24"/>
          <w:lang w:val="en-GB"/>
        </w:rPr>
      </w:pPr>
      <w:r w:rsidRPr="008017F0">
        <w:rPr>
          <w:noProof/>
          <w:lang w:val="en-GB"/>
        </w:rPr>
        <w:drawing>
          <wp:inline distT="0" distB="0" distL="0" distR="0" wp14:anchorId="5FF581CA" wp14:editId="68810210">
            <wp:extent cx="6120130" cy="2863215"/>
            <wp:effectExtent l="0" t="0" r="0" b="0"/>
            <wp:docPr id="101611517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2863215"/>
                    </a:xfrm>
                    <a:prstGeom prst="rect">
                      <a:avLst/>
                    </a:prstGeom>
                    <a:noFill/>
                    <a:ln>
                      <a:noFill/>
                    </a:ln>
                  </pic:spPr>
                </pic:pic>
              </a:graphicData>
            </a:graphic>
          </wp:inline>
        </w:drawing>
      </w:r>
    </w:p>
    <w:p w14:paraId="6386A41A" w14:textId="77777777" w:rsidR="003D4369" w:rsidRPr="008017F0" w:rsidRDefault="003D4369" w:rsidP="003D4369">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lastRenderedPageBreak/>
        <w:t xml:space="preserve">We choose to undertake the updating of the public investment series elaborated by Picci (2001), because of their finer disaggregation for nine asset classes (Roads, Rails, Ports, Buildings, Health, Water, Land, TLC, Others). </w:t>
      </w:r>
    </w:p>
    <w:p w14:paraId="3F5270A8" w14:textId="77777777" w:rsidR="003D4369" w:rsidRPr="008017F0" w:rsidRDefault="003D4369" w:rsidP="003D4369">
      <w:pPr>
        <w:keepNext/>
        <w:spacing w:after="0" w:line="360" w:lineRule="auto"/>
        <w:jc w:val="both"/>
        <w:rPr>
          <w:rFonts w:ascii="Times New Roman" w:hAnsi="Times New Roman" w:cs="Times New Roman"/>
          <w:i/>
          <w:sz w:val="24"/>
          <w:szCs w:val="24"/>
          <w:lang w:val="en-GB"/>
        </w:rPr>
      </w:pPr>
    </w:p>
    <w:p w14:paraId="58B8B67F" w14:textId="77777777" w:rsidR="003D4369" w:rsidRPr="008017F0" w:rsidRDefault="003D4369" w:rsidP="003D4369">
      <w:pPr>
        <w:keepNext/>
        <w:spacing w:after="0" w:line="360" w:lineRule="auto"/>
        <w:jc w:val="both"/>
        <w:rPr>
          <w:rFonts w:ascii="Times New Roman" w:hAnsi="Times New Roman" w:cs="Times New Roman"/>
          <w:i/>
          <w:sz w:val="24"/>
          <w:szCs w:val="24"/>
          <w:lang w:val="en-GB"/>
        </w:rPr>
      </w:pPr>
      <w:r w:rsidRPr="008017F0">
        <w:rPr>
          <w:rFonts w:ascii="Times New Roman" w:hAnsi="Times New Roman" w:cs="Times New Roman"/>
          <w:i/>
          <w:sz w:val="24"/>
          <w:szCs w:val="24"/>
          <w:lang w:val="en-GB"/>
        </w:rPr>
        <w:t xml:space="preserve">Updating the series for regional public investment </w:t>
      </w:r>
    </w:p>
    <w:p w14:paraId="413DFB55" w14:textId="77777777" w:rsidR="003D4369" w:rsidRPr="008017F0" w:rsidRDefault="003D4369" w:rsidP="003D4369">
      <w:pPr>
        <w:widowControl w:val="0"/>
        <w:spacing w:after="0" w:line="360" w:lineRule="auto"/>
        <w:jc w:val="both"/>
        <w:rPr>
          <w:rFonts w:ascii="Times New Roman" w:hAnsi="Times New Roman" w:cs="Times New Roman"/>
          <w:bCs/>
          <w:sz w:val="24"/>
          <w:szCs w:val="24"/>
          <w:lang w:val="en-GB"/>
        </w:rPr>
      </w:pPr>
      <w:r w:rsidRPr="008017F0">
        <w:rPr>
          <w:rFonts w:ascii="Times New Roman" w:hAnsi="Times New Roman" w:cs="Times New Roman"/>
          <w:bCs/>
          <w:sz w:val="24"/>
          <w:szCs w:val="24"/>
          <w:lang w:val="en-GB"/>
        </w:rPr>
        <w:t>Some differences between Picci (2001) and CPT series must be tackled.</w:t>
      </w:r>
    </w:p>
    <w:p w14:paraId="01DFB384" w14:textId="77777777" w:rsidR="003D4369" w:rsidRPr="008017F0" w:rsidRDefault="003D4369" w:rsidP="003D4369">
      <w:pPr>
        <w:spacing w:after="0" w:line="360" w:lineRule="auto"/>
        <w:jc w:val="both"/>
        <w:rPr>
          <w:rFonts w:ascii="Times New Roman" w:hAnsi="Times New Roman" w:cs="Times New Roman"/>
          <w:bCs/>
          <w:sz w:val="24"/>
          <w:szCs w:val="24"/>
          <w:lang w:val="en-GB"/>
        </w:rPr>
      </w:pPr>
      <w:r w:rsidRPr="008017F0">
        <w:rPr>
          <w:rFonts w:ascii="Times New Roman" w:hAnsi="Times New Roman" w:cs="Times New Roman"/>
          <w:bCs/>
          <w:sz w:val="24"/>
          <w:szCs w:val="24"/>
          <w:lang w:val="en-GB"/>
        </w:rPr>
        <w:t xml:space="preserve">Regional data of central and local administrations expenditures are classified by CPT in 30 Functions of Government classes (COFOG) for period 1996-2019. We consider only outflows for building works (properly </w:t>
      </w:r>
      <w:r w:rsidRPr="008017F0">
        <w:rPr>
          <w:rFonts w:ascii="Times New Roman" w:hAnsi="Times New Roman" w:cs="Times New Roman"/>
          <w:bCs/>
          <w:i/>
          <w:iCs/>
          <w:sz w:val="24"/>
          <w:szCs w:val="24"/>
          <w:lang w:val="en-GB"/>
        </w:rPr>
        <w:t xml:space="preserve">Beni e opere </w:t>
      </w:r>
      <w:proofErr w:type="spellStart"/>
      <w:r w:rsidRPr="008017F0">
        <w:rPr>
          <w:rFonts w:ascii="Times New Roman" w:hAnsi="Times New Roman" w:cs="Times New Roman"/>
          <w:bCs/>
          <w:i/>
          <w:iCs/>
          <w:sz w:val="24"/>
          <w:szCs w:val="24"/>
          <w:lang w:val="en-GB"/>
        </w:rPr>
        <w:t>immobiliari</w:t>
      </w:r>
      <w:proofErr w:type="spellEnd"/>
      <w:r w:rsidRPr="008017F0">
        <w:rPr>
          <w:rFonts w:ascii="Times New Roman" w:hAnsi="Times New Roman" w:cs="Times New Roman"/>
          <w:bCs/>
          <w:sz w:val="24"/>
          <w:szCs w:val="24"/>
          <w:lang w:val="en-GB"/>
        </w:rPr>
        <w:t>) in the specific sectors of interest. These outflows include the costs supported for buildings, extraordinary maintenance (to fix, complete, readjust the infrastructure) and purchases of real estate assets including civil engineering infrastructure (such as roads, ports, airports, land reclamation, consolidation works, etc.). The sectoral functions are not univocally related to one or more assets from Picci (2001) series, and some assumptions, to be made explicit below, must be taken. Other differences between the Istat-based series used by Picci and the CPT series, not relevant for present purposes, are listed in CPT (2019).</w:t>
      </w:r>
    </w:p>
    <w:p w14:paraId="7DF674F0" w14:textId="77777777" w:rsidR="003D4369" w:rsidRPr="008017F0" w:rsidRDefault="003D4369" w:rsidP="003D4369">
      <w:pPr>
        <w:spacing w:after="0" w:line="360" w:lineRule="auto"/>
        <w:jc w:val="both"/>
        <w:rPr>
          <w:rFonts w:ascii="Times New Roman" w:hAnsi="Times New Roman" w:cs="Times New Roman"/>
          <w:bCs/>
          <w:sz w:val="24"/>
          <w:szCs w:val="24"/>
          <w:lang w:val="en-GB"/>
        </w:rPr>
      </w:pPr>
      <w:bookmarkStart w:id="1" w:name="_Hlk163728576"/>
      <w:r w:rsidRPr="008017F0">
        <w:rPr>
          <w:rFonts w:ascii="Times New Roman" w:hAnsi="Times New Roman" w:cs="Times New Roman"/>
          <w:bCs/>
          <w:sz w:val="24"/>
          <w:szCs w:val="24"/>
          <w:lang w:val="en-GB"/>
        </w:rPr>
        <w:t>To update Picci (2001) public investment series, we adopt the following steps.</w:t>
      </w:r>
    </w:p>
    <w:p w14:paraId="72F11EE9" w14:textId="600923C2" w:rsidR="003D4369" w:rsidRPr="008017F0" w:rsidRDefault="003D4369" w:rsidP="003D4369">
      <w:pPr>
        <w:spacing w:after="0" w:line="360" w:lineRule="auto"/>
        <w:jc w:val="both"/>
        <w:rPr>
          <w:rFonts w:ascii="Times New Roman" w:hAnsi="Times New Roman" w:cs="Times New Roman"/>
          <w:i/>
          <w:iCs/>
          <w:sz w:val="20"/>
          <w:szCs w:val="20"/>
          <w:lang w:val="en-GB"/>
        </w:rPr>
      </w:pPr>
      <w:r w:rsidRPr="008017F0">
        <w:rPr>
          <w:rFonts w:ascii="Times New Roman" w:hAnsi="Times New Roman" w:cs="Times New Roman"/>
          <w:bCs/>
          <w:sz w:val="24"/>
          <w:szCs w:val="24"/>
          <w:lang w:val="en-GB"/>
        </w:rPr>
        <w:t xml:space="preserve">1) We assume a table of correspondences among Picci asset classes and CPT sectoral functions (Table </w:t>
      </w:r>
      <w:r w:rsidR="005D2469" w:rsidRPr="008017F0">
        <w:rPr>
          <w:rFonts w:ascii="Times New Roman" w:hAnsi="Times New Roman" w:cs="Times New Roman"/>
          <w:bCs/>
          <w:sz w:val="24"/>
          <w:szCs w:val="24"/>
          <w:lang w:val="en-GB"/>
        </w:rPr>
        <w:t>1</w:t>
      </w:r>
      <w:r w:rsidRPr="008017F0">
        <w:rPr>
          <w:rFonts w:ascii="Times New Roman" w:hAnsi="Times New Roman" w:cs="Times New Roman"/>
          <w:bCs/>
          <w:sz w:val="24"/>
          <w:szCs w:val="24"/>
          <w:lang w:val="en-GB"/>
        </w:rPr>
        <w:t xml:space="preserve"> in the main text);</w:t>
      </w:r>
      <w:r w:rsidRPr="008017F0">
        <w:rPr>
          <w:rStyle w:val="Rimandonotaapidipagina"/>
          <w:rFonts w:ascii="Times New Roman" w:hAnsi="Times New Roman" w:cs="Times New Roman"/>
          <w:bCs/>
          <w:sz w:val="24"/>
          <w:szCs w:val="24"/>
          <w:lang w:val="en-GB"/>
        </w:rPr>
        <w:footnoteReference w:id="1"/>
      </w:r>
    </w:p>
    <w:p w14:paraId="273BCDDA" w14:textId="77777777" w:rsidR="003D4369" w:rsidRPr="008017F0" w:rsidRDefault="003D4369" w:rsidP="003D4369">
      <w:pPr>
        <w:spacing w:after="0" w:line="360" w:lineRule="auto"/>
        <w:jc w:val="both"/>
        <w:rPr>
          <w:rFonts w:ascii="Times New Roman" w:hAnsi="Times New Roman" w:cs="Times New Roman"/>
          <w:bCs/>
          <w:sz w:val="24"/>
          <w:szCs w:val="24"/>
          <w:lang w:val="en-GB"/>
        </w:rPr>
      </w:pPr>
      <w:r w:rsidRPr="008017F0">
        <w:rPr>
          <w:rFonts w:ascii="Times New Roman" w:hAnsi="Times New Roman" w:cs="Times New Roman"/>
          <w:bCs/>
          <w:sz w:val="24"/>
          <w:szCs w:val="24"/>
          <w:lang w:val="en-GB"/>
        </w:rPr>
        <w:t xml:space="preserve">2) We define a matching year comparing the trends of the investment series from Picci (2001) and of the CPT public investment series in the neighbourhood of the possible matching years and apply the growth rate of CPT public investments from the chosen matching year onwards to the value for the previous year from the Picci series. Based on the visual inspection of Graph A1, we update Picci series by asset class and region with CPT dynamics taking 1997 as matching year for asset classes Health, Land and Others and 1998 as matching year for Roads, Rails, Buildings, Water. </w:t>
      </w:r>
    </w:p>
    <w:p w14:paraId="4A34425B" w14:textId="77777777" w:rsidR="008017F0" w:rsidRPr="008017F0" w:rsidRDefault="008017F0">
      <w:pPr>
        <w:spacing w:after="160" w:line="259" w:lineRule="auto"/>
        <w:rPr>
          <w:rFonts w:ascii="Times New Roman" w:hAnsi="Times New Roman" w:cs="Times New Roman"/>
          <w:bCs/>
          <w:sz w:val="24"/>
          <w:szCs w:val="24"/>
          <w:lang w:val="en-GB"/>
        </w:rPr>
      </w:pPr>
      <w:r w:rsidRPr="008017F0">
        <w:rPr>
          <w:rFonts w:ascii="Times New Roman" w:hAnsi="Times New Roman" w:cs="Times New Roman"/>
          <w:bCs/>
          <w:sz w:val="24"/>
          <w:szCs w:val="24"/>
          <w:lang w:val="en-GB"/>
        </w:rPr>
        <w:br w:type="page"/>
      </w:r>
    </w:p>
    <w:p w14:paraId="12FBC84E" w14:textId="32ED070D" w:rsidR="003D4369" w:rsidRPr="008017F0" w:rsidRDefault="003D4369" w:rsidP="003D4369">
      <w:pPr>
        <w:widowControl w:val="0"/>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Graph A1. Public investment from Picci (2001) and CPT at 2010 prices (index; 1996=100 for Health, Land and Others, 1997=100 for Roads, Rails, Buildings, Water), 1990-2000.</w:t>
      </w:r>
    </w:p>
    <w:p w14:paraId="60400D02" w14:textId="77777777" w:rsidR="003D4369" w:rsidRPr="008017F0" w:rsidRDefault="003D4369" w:rsidP="003D4369">
      <w:pPr>
        <w:widowControl w:val="0"/>
        <w:spacing w:after="0" w:line="240" w:lineRule="auto"/>
        <w:jc w:val="both"/>
        <w:rPr>
          <w:rFonts w:ascii="Times New Roman" w:hAnsi="Times New Roman" w:cs="Times New Roman"/>
          <w:lang w:val="en-GB"/>
        </w:rPr>
      </w:pPr>
      <w:r w:rsidRPr="008017F0">
        <w:rPr>
          <w:rFonts w:ascii="Times New Roman" w:hAnsi="Times New Roman" w:cs="Times New Roman"/>
          <w:noProof/>
          <w:lang w:val="en-GB"/>
        </w:rPr>
        <w:drawing>
          <wp:inline distT="0" distB="0" distL="0" distR="0" wp14:anchorId="38391E4B" wp14:editId="024BEE1B">
            <wp:extent cx="6120130" cy="4321810"/>
            <wp:effectExtent l="0" t="0" r="1270" b="0"/>
            <wp:docPr id="8" name="Immagine 8"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testo, schermata, Carattere, Diagramma&#10;&#10;Descrizione generata automaticamente"/>
                    <pic:cNvPicPr/>
                  </pic:nvPicPr>
                  <pic:blipFill>
                    <a:blip r:embed="rId8"/>
                    <a:stretch>
                      <a:fillRect/>
                    </a:stretch>
                  </pic:blipFill>
                  <pic:spPr>
                    <a:xfrm>
                      <a:off x="0" y="0"/>
                      <a:ext cx="6120130" cy="4321810"/>
                    </a:xfrm>
                    <a:prstGeom prst="rect">
                      <a:avLst/>
                    </a:prstGeom>
                  </pic:spPr>
                </pic:pic>
              </a:graphicData>
            </a:graphic>
          </wp:inline>
        </w:drawing>
      </w:r>
    </w:p>
    <w:p w14:paraId="143FFA2B" w14:textId="77777777" w:rsidR="003D4369" w:rsidRPr="008017F0" w:rsidRDefault="003D4369" w:rsidP="003D4369">
      <w:pPr>
        <w:jc w:val="both"/>
        <w:rPr>
          <w:rFonts w:ascii="Times New Roman" w:hAnsi="Times New Roman" w:cs="Times New Roman"/>
          <w:noProof/>
          <w:sz w:val="24"/>
          <w:szCs w:val="24"/>
          <w:lang w:val="en-GB"/>
        </w:rPr>
      </w:pPr>
    </w:p>
    <w:p w14:paraId="756D016F" w14:textId="77777777" w:rsidR="003D4369" w:rsidRPr="008017F0" w:rsidRDefault="003D4369" w:rsidP="003D4369">
      <w:pPr>
        <w:spacing w:after="0" w:line="360" w:lineRule="auto"/>
        <w:jc w:val="both"/>
        <w:rPr>
          <w:rFonts w:ascii="Times New Roman" w:hAnsi="Times New Roman" w:cs="Times New Roman"/>
          <w:noProof/>
          <w:sz w:val="24"/>
          <w:szCs w:val="24"/>
          <w:lang w:val="en-GB"/>
        </w:rPr>
      </w:pPr>
      <w:r w:rsidRPr="008017F0">
        <w:rPr>
          <w:rFonts w:ascii="Times New Roman" w:hAnsi="Times New Roman" w:cs="Times New Roman"/>
          <w:noProof/>
          <w:sz w:val="24"/>
          <w:szCs w:val="24"/>
          <w:lang w:val="en-GB"/>
        </w:rPr>
        <w:t>Formally</w:t>
      </w:r>
      <w:r w:rsidRPr="008017F0">
        <w:rPr>
          <w:rFonts w:ascii="Times New Roman" w:hAnsi="Times New Roman" w:cs="Times New Roman"/>
          <w:sz w:val="24"/>
          <w:szCs w:val="24"/>
          <w:lang w:val="en-GB"/>
        </w:rPr>
        <w:t xml:space="preserve">, we obtain the spliced series for nominal investments </w:t>
      </w:r>
      <m:oMath>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I_N</m:t>
            </m:r>
          </m:e>
          <m:sub>
            <m:r>
              <w:rPr>
                <w:rFonts w:ascii="Cambria Math" w:hAnsi="Cambria Math" w:cs="Times New Roman"/>
                <w:sz w:val="24"/>
                <w:szCs w:val="24"/>
                <w:lang w:val="en-GB"/>
              </w:rPr>
              <m:t>r,t</m:t>
            </m:r>
          </m:sub>
          <m:sup>
            <m:r>
              <w:rPr>
                <w:rFonts w:ascii="Cambria Math" w:hAnsi="Cambria Math" w:cs="Times New Roman"/>
                <w:sz w:val="24"/>
                <w:szCs w:val="24"/>
                <w:lang w:val="en-GB"/>
              </w:rPr>
              <m:t>a</m:t>
            </m:r>
          </m:sup>
        </m:sSubSup>
      </m:oMath>
      <w:r w:rsidRPr="008017F0">
        <w:rPr>
          <w:rFonts w:ascii="Times New Roman" w:hAnsi="Times New Roman" w:cs="Times New Roman"/>
          <w:sz w:val="24"/>
          <w:szCs w:val="24"/>
          <w:lang w:val="en-GB"/>
        </w:rPr>
        <w:t xml:space="preserve"> in asset a, region r, year t, according to equation [2] of the main text;</w:t>
      </w:r>
    </w:p>
    <w:p w14:paraId="71DCF9E7" w14:textId="77777777" w:rsidR="003D4369" w:rsidRPr="008017F0" w:rsidRDefault="003D4369" w:rsidP="003D4369">
      <w:pPr>
        <w:spacing w:after="0" w:line="360" w:lineRule="auto"/>
        <w:jc w:val="both"/>
        <w:rPr>
          <w:rFonts w:ascii="Times New Roman" w:hAnsi="Times New Roman" w:cs="Times New Roman"/>
          <w:bCs/>
          <w:sz w:val="24"/>
          <w:szCs w:val="24"/>
          <w:lang w:val="en-GB"/>
        </w:rPr>
      </w:pPr>
      <w:r w:rsidRPr="008017F0">
        <w:rPr>
          <w:rFonts w:ascii="Times New Roman" w:hAnsi="Times New Roman" w:cs="Times New Roman"/>
          <w:bCs/>
          <w:sz w:val="24"/>
          <w:szCs w:val="24"/>
          <w:lang w:val="en-GB"/>
        </w:rPr>
        <w:t>3) Finally, we deflate the nominal investments mainly using the Istat Consumer Price Index (https://www.istat.it/it/archivio/243273) readily available from 1861 to 2019.</w:t>
      </w:r>
    </w:p>
    <w:p w14:paraId="456C196A" w14:textId="77777777" w:rsidR="003D4369" w:rsidRPr="008017F0" w:rsidRDefault="003D4369" w:rsidP="003D4369">
      <w:pPr>
        <w:widowControl w:val="0"/>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Graph A2 reproduces the aggregate spliced public investment series constructed from Picci (2001) and CPT data.</w:t>
      </w:r>
    </w:p>
    <w:bookmarkEnd w:id="1"/>
    <w:p w14:paraId="3A68E9E1" w14:textId="77777777" w:rsidR="008017F0" w:rsidRPr="008017F0" w:rsidRDefault="008017F0">
      <w:pPr>
        <w:spacing w:after="160" w:line="259" w:lineRule="auto"/>
        <w:rPr>
          <w:rFonts w:ascii="Times New Roman" w:hAnsi="Times New Roman" w:cs="Times New Roman"/>
          <w:bCs/>
          <w:sz w:val="24"/>
          <w:szCs w:val="24"/>
          <w:lang w:val="en-GB"/>
        </w:rPr>
      </w:pPr>
      <w:r w:rsidRPr="008017F0">
        <w:rPr>
          <w:rFonts w:ascii="Times New Roman" w:hAnsi="Times New Roman" w:cs="Times New Roman"/>
          <w:bCs/>
          <w:sz w:val="24"/>
          <w:szCs w:val="24"/>
          <w:lang w:val="en-GB"/>
        </w:rPr>
        <w:br w:type="page"/>
      </w:r>
    </w:p>
    <w:p w14:paraId="54B45F34" w14:textId="07CF652B" w:rsidR="003D4369" w:rsidRPr="008017F0" w:rsidRDefault="003D4369" w:rsidP="003D4369">
      <w:pPr>
        <w:widowControl w:val="0"/>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 xml:space="preserve">Graph A2. Public investment (excluding Communication infrastructure, </w:t>
      </w:r>
      <w:proofErr w:type="spellStart"/>
      <w:r w:rsidRPr="008017F0">
        <w:rPr>
          <w:rFonts w:ascii="Times New Roman" w:hAnsi="Times New Roman" w:cs="Times New Roman"/>
          <w:lang w:val="en-GB"/>
        </w:rPr>
        <w:t>Mln</w:t>
      </w:r>
      <w:proofErr w:type="spellEnd"/>
      <w:r w:rsidRPr="008017F0">
        <w:rPr>
          <w:rFonts w:ascii="Times New Roman" w:hAnsi="Times New Roman" w:cs="Times New Roman"/>
          <w:lang w:val="en-GB"/>
        </w:rPr>
        <w:t xml:space="preserve"> euro at 2010 prices), 1890-2019</w:t>
      </w:r>
    </w:p>
    <w:p w14:paraId="26B53837" w14:textId="77777777" w:rsidR="003D4369" w:rsidRPr="008017F0" w:rsidRDefault="003D4369" w:rsidP="003D4369">
      <w:pPr>
        <w:widowControl w:val="0"/>
        <w:spacing w:after="0" w:line="240" w:lineRule="auto"/>
        <w:jc w:val="both"/>
        <w:rPr>
          <w:rFonts w:ascii="Times New Roman" w:hAnsi="Times New Roman" w:cs="Times New Roman"/>
          <w:noProof/>
          <w:lang w:val="en-GB"/>
        </w:rPr>
      </w:pPr>
      <w:r w:rsidRPr="008017F0">
        <w:rPr>
          <w:rFonts w:ascii="Times New Roman" w:hAnsi="Times New Roman" w:cs="Times New Roman"/>
          <w:noProof/>
          <w:lang w:val="en-GB"/>
        </w:rPr>
        <w:drawing>
          <wp:inline distT="0" distB="0" distL="0" distR="0" wp14:anchorId="35FA2088" wp14:editId="57BEC704">
            <wp:extent cx="6120130" cy="3048000"/>
            <wp:effectExtent l="0" t="0" r="1270" b="0"/>
            <wp:docPr id="9" name="Immagine 9" descr="Immagine che contiene testo,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testo, schermata, Diagramma, linea&#10;&#10;Descrizione generata automaticamente"/>
                    <pic:cNvPicPr/>
                  </pic:nvPicPr>
                  <pic:blipFill>
                    <a:blip r:embed="rId9"/>
                    <a:stretch>
                      <a:fillRect/>
                    </a:stretch>
                  </pic:blipFill>
                  <pic:spPr>
                    <a:xfrm>
                      <a:off x="0" y="0"/>
                      <a:ext cx="6120130" cy="3048000"/>
                    </a:xfrm>
                    <a:prstGeom prst="rect">
                      <a:avLst/>
                    </a:prstGeom>
                  </pic:spPr>
                </pic:pic>
              </a:graphicData>
            </a:graphic>
          </wp:inline>
        </w:drawing>
      </w:r>
    </w:p>
    <w:p w14:paraId="113A6628" w14:textId="77777777" w:rsidR="003D4369" w:rsidRPr="008017F0" w:rsidRDefault="003D4369" w:rsidP="003D4369">
      <w:pPr>
        <w:widowControl w:val="0"/>
        <w:spacing w:after="0" w:line="240" w:lineRule="auto"/>
        <w:jc w:val="both"/>
        <w:rPr>
          <w:rFonts w:ascii="Times New Roman" w:hAnsi="Times New Roman" w:cs="Times New Roman"/>
          <w:sz w:val="24"/>
          <w:szCs w:val="24"/>
          <w:lang w:val="en-GB"/>
        </w:rPr>
      </w:pPr>
    </w:p>
    <w:p w14:paraId="086DCDA6" w14:textId="77777777" w:rsidR="003D4369" w:rsidRPr="008017F0" w:rsidRDefault="003D4369" w:rsidP="003D4369">
      <w:pPr>
        <w:pStyle w:val="RSEGTITOLO2"/>
      </w:pPr>
      <w:r w:rsidRPr="008017F0">
        <w:t>Applying the PIM to obtain regional public capital stock</w:t>
      </w:r>
    </w:p>
    <w:p w14:paraId="777706DC" w14:textId="77777777" w:rsidR="003D4369" w:rsidRPr="008017F0" w:rsidRDefault="003D4369" w:rsidP="003D4369">
      <w:pPr>
        <w:spacing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We assume a geometrical pattern of depreciation following OECD (2009):</w:t>
      </w:r>
    </w:p>
    <w:p w14:paraId="2C4F108C" w14:textId="77777777" w:rsidR="003D4369" w:rsidRPr="008017F0" w:rsidRDefault="003D4369" w:rsidP="003D4369">
      <w:pPr>
        <w:spacing w:line="360" w:lineRule="auto"/>
        <w:jc w:val="both"/>
        <w:rPr>
          <w:rFonts w:ascii="Times New Roman" w:hAnsi="Times New Roman" w:cs="Times New Roman"/>
          <w:sz w:val="24"/>
          <w:szCs w:val="24"/>
          <w:u w:val="single"/>
          <w:lang w:val="en-GB"/>
        </w:rPr>
      </w:pPr>
      <m:oMath>
        <m:r>
          <m:rPr>
            <m:sty m:val="p"/>
          </m:rPr>
          <w:rPr>
            <w:rFonts w:ascii="Cambria Math" w:hAnsi="Cambria Math" w:cs="Times New Roman"/>
            <w:sz w:val="24"/>
            <w:szCs w:val="24"/>
            <w:lang w:val="en-GB"/>
          </w:rPr>
          <m:t>TD</m:t>
        </m:r>
        <m: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sz w:val="24"/>
                <w:szCs w:val="24"/>
                <w:lang w:val="en-GB"/>
              </w:rPr>
              <m:t>Declining balance rate</m:t>
            </m:r>
          </m:num>
          <m:den>
            <m:r>
              <m:rPr>
                <m:sty m:val="p"/>
              </m:rPr>
              <w:rPr>
                <w:rFonts w:ascii="Cambria Math" w:hAnsi="Cambria Math" w:cs="Times New Roman"/>
                <w:sz w:val="24"/>
                <w:szCs w:val="24"/>
                <w:lang w:val="en-GB"/>
              </w:rPr>
              <m:t>Average service rate</m:t>
            </m:r>
          </m:den>
        </m:f>
      </m:oMath>
      <w:r w:rsidRPr="008017F0">
        <w:rPr>
          <w:rFonts w:ascii="Times New Roman" w:hAnsi="Times New Roman" w:cs="Times New Roman"/>
          <w:sz w:val="24"/>
          <w:szCs w:val="24"/>
          <w:lang w:val="en-GB"/>
        </w:rPr>
        <w:t xml:space="preserve"> </w:t>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r>
      <w:r w:rsidRPr="008017F0">
        <w:rPr>
          <w:rFonts w:ascii="Times New Roman" w:hAnsi="Times New Roman" w:cs="Times New Roman"/>
          <w:sz w:val="24"/>
          <w:szCs w:val="24"/>
          <w:lang w:val="en-GB"/>
        </w:rPr>
        <w:tab/>
        <w:t xml:space="preserve"> [A1]</w:t>
      </w:r>
    </w:p>
    <w:p w14:paraId="703A909D" w14:textId="5C594BD0" w:rsidR="003D4369" w:rsidRPr="008017F0" w:rsidRDefault="003D4369" w:rsidP="003D4369">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Under a “geometric” profile, depreciation is more pronounced during the first years of the service life. Therefore, the price-age profiles are also convex to the origin. The geometric depreciation profile is in fact used for practical reasons to approximate a combined age-price/retirement pattern (Hulten and Wyckoff, 1996). For the combined average service life/depreciation rate and retirement function, we adopt the time-invariant EUKLEMS implicit depreciation rates by asset in Transport for assets Roads and Rails, in </w:t>
      </w:r>
      <w:proofErr w:type="gramStart"/>
      <w:r w:rsidRPr="008017F0">
        <w:rPr>
          <w:rFonts w:ascii="Times New Roman" w:hAnsi="Times New Roman" w:cs="Times New Roman"/>
          <w:sz w:val="24"/>
          <w:szCs w:val="24"/>
          <w:lang w:val="en-GB"/>
        </w:rPr>
        <w:t>Public</w:t>
      </w:r>
      <w:proofErr w:type="gramEnd"/>
      <w:r w:rsidRPr="008017F0">
        <w:rPr>
          <w:rFonts w:ascii="Times New Roman" w:hAnsi="Times New Roman" w:cs="Times New Roman"/>
          <w:sz w:val="24"/>
          <w:szCs w:val="24"/>
          <w:lang w:val="en-GB"/>
        </w:rPr>
        <w:t xml:space="preserve"> administration and Education for asset Buildings, in Health and social work for asset Health, in </w:t>
      </w:r>
      <w:proofErr w:type="gramStart"/>
      <w:r w:rsidRPr="008017F0">
        <w:rPr>
          <w:rFonts w:ascii="Times New Roman" w:hAnsi="Times New Roman" w:cs="Times New Roman"/>
          <w:sz w:val="24"/>
          <w:szCs w:val="24"/>
          <w:lang w:val="en-GB"/>
        </w:rPr>
        <w:t>Electricity</w:t>
      </w:r>
      <w:proofErr w:type="gramEnd"/>
      <w:r w:rsidRPr="008017F0">
        <w:rPr>
          <w:rFonts w:ascii="Times New Roman" w:hAnsi="Times New Roman" w:cs="Times New Roman"/>
          <w:sz w:val="24"/>
          <w:szCs w:val="24"/>
          <w:lang w:val="en-GB"/>
        </w:rPr>
        <w:t xml:space="preserve">, gas and water supply for asset Water, in Agriculture for Land, in </w:t>
      </w:r>
      <w:proofErr w:type="gramStart"/>
      <w:r w:rsidRPr="008017F0">
        <w:rPr>
          <w:rFonts w:ascii="Times New Roman" w:hAnsi="Times New Roman" w:cs="Times New Roman"/>
          <w:sz w:val="24"/>
          <w:szCs w:val="24"/>
          <w:lang w:val="en-GB"/>
        </w:rPr>
        <w:t>Public</w:t>
      </w:r>
      <w:proofErr w:type="gramEnd"/>
      <w:r w:rsidRPr="008017F0">
        <w:rPr>
          <w:rFonts w:ascii="Times New Roman" w:hAnsi="Times New Roman" w:cs="Times New Roman"/>
          <w:sz w:val="24"/>
          <w:szCs w:val="24"/>
          <w:lang w:val="en-GB"/>
        </w:rPr>
        <w:t xml:space="preserve"> administration for asset Others. Moreover, we assume the declining balance rates proposed by IVIE for Roads and airports (Roads), Railways and maritime infrastructure (Rails), Public water infrastructure (Water), Other constructions (Buildings, Health, Land, Others). The hypotheses about the depreciation pattern are summed up in Table A</w:t>
      </w:r>
      <w:r w:rsidR="008F4BDB" w:rsidRPr="008017F0">
        <w:rPr>
          <w:rFonts w:ascii="Times New Roman" w:hAnsi="Times New Roman" w:cs="Times New Roman"/>
          <w:sz w:val="24"/>
          <w:szCs w:val="24"/>
          <w:lang w:val="en-GB"/>
        </w:rPr>
        <w:t>2</w:t>
      </w:r>
      <w:r w:rsidRPr="008017F0">
        <w:rPr>
          <w:rFonts w:ascii="Times New Roman" w:hAnsi="Times New Roman" w:cs="Times New Roman"/>
          <w:sz w:val="24"/>
          <w:szCs w:val="24"/>
          <w:lang w:val="en-GB"/>
        </w:rPr>
        <w:t>.</w:t>
      </w:r>
    </w:p>
    <w:p w14:paraId="0A794EA4" w14:textId="77777777" w:rsidR="008017F0" w:rsidRPr="008017F0" w:rsidRDefault="008017F0">
      <w:pPr>
        <w:spacing w:after="160" w:line="259" w:lineRule="auto"/>
        <w:rPr>
          <w:rFonts w:ascii="Times New Roman" w:hAnsi="Times New Roman" w:cs="Times New Roman"/>
          <w:bCs/>
          <w:sz w:val="24"/>
          <w:szCs w:val="24"/>
          <w:lang w:val="en-GB"/>
        </w:rPr>
      </w:pPr>
      <w:r w:rsidRPr="008017F0">
        <w:rPr>
          <w:rFonts w:ascii="Times New Roman" w:hAnsi="Times New Roman" w:cs="Times New Roman"/>
          <w:bCs/>
          <w:sz w:val="24"/>
          <w:szCs w:val="24"/>
          <w:lang w:val="en-GB"/>
        </w:rPr>
        <w:br w:type="page"/>
      </w:r>
    </w:p>
    <w:p w14:paraId="1FF752F2" w14:textId="65E12C9C" w:rsidR="003D4369" w:rsidRPr="008017F0" w:rsidRDefault="003D4369" w:rsidP="003D4369">
      <w:pPr>
        <w:keepNext/>
        <w:widowControl w:val="0"/>
        <w:spacing w:after="0" w:line="240" w:lineRule="auto"/>
        <w:jc w:val="both"/>
        <w:rPr>
          <w:rFonts w:ascii="Times New Roman" w:hAnsi="Times New Roman" w:cs="Times New Roman"/>
          <w:lang w:val="en-GB"/>
        </w:rPr>
      </w:pPr>
      <w:r w:rsidRPr="008017F0">
        <w:rPr>
          <w:rFonts w:ascii="Times New Roman" w:hAnsi="Times New Roman" w:cs="Times New Roman"/>
          <w:shd w:val="clear" w:color="auto" w:fill="FFFFFF"/>
          <w:lang w:val="en-GB"/>
        </w:rPr>
        <w:lastRenderedPageBreak/>
        <w:t>Table A</w:t>
      </w:r>
      <w:r w:rsidR="008F4BDB" w:rsidRPr="008017F0">
        <w:rPr>
          <w:rFonts w:ascii="Times New Roman" w:hAnsi="Times New Roman" w:cs="Times New Roman"/>
          <w:shd w:val="clear" w:color="auto" w:fill="FFFFFF"/>
          <w:lang w:val="en-GB"/>
        </w:rPr>
        <w:t>2</w:t>
      </w:r>
      <w:r w:rsidRPr="008017F0">
        <w:rPr>
          <w:rFonts w:ascii="Times New Roman" w:hAnsi="Times New Roman" w:cs="Times New Roman"/>
          <w:shd w:val="clear" w:color="auto" w:fill="FFFFFF"/>
          <w:lang w:val="en-GB"/>
        </w:rPr>
        <w:t xml:space="preserve">. </w:t>
      </w:r>
      <w:r w:rsidRPr="008017F0">
        <w:rPr>
          <w:rFonts w:ascii="Times New Roman" w:hAnsi="Times New Roman" w:cs="Times New Roman"/>
          <w:lang w:val="en-GB"/>
        </w:rPr>
        <w:t>Hypotheses on the combined average service life/depreciation rate and retirement function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7"/>
        <w:gridCol w:w="2407"/>
        <w:gridCol w:w="2407"/>
      </w:tblGrid>
      <w:tr w:rsidR="003D4369" w:rsidRPr="008017F0" w14:paraId="47D9E3E3" w14:textId="77777777" w:rsidTr="00F33226">
        <w:tc>
          <w:tcPr>
            <w:tcW w:w="1250" w:type="pct"/>
            <w:vAlign w:val="center"/>
          </w:tcPr>
          <w:p w14:paraId="6E35D7CA" w14:textId="77777777" w:rsidR="003D4369" w:rsidRPr="008017F0" w:rsidRDefault="003D4369" w:rsidP="00F33226">
            <w:pPr>
              <w:keepNext/>
              <w:widowControl w:val="0"/>
              <w:spacing w:after="0"/>
              <w:jc w:val="center"/>
              <w:rPr>
                <w:rFonts w:cstheme="minorHAnsi"/>
                <w:b/>
                <w:sz w:val="18"/>
                <w:szCs w:val="18"/>
                <w:lang w:val="en-GB"/>
              </w:rPr>
            </w:pPr>
          </w:p>
        </w:tc>
        <w:tc>
          <w:tcPr>
            <w:tcW w:w="1250" w:type="pct"/>
            <w:vAlign w:val="center"/>
          </w:tcPr>
          <w:p w14:paraId="22A46455" w14:textId="77777777" w:rsidR="003D4369" w:rsidRPr="008017F0" w:rsidRDefault="003D4369" w:rsidP="00F33226">
            <w:pPr>
              <w:keepNext/>
              <w:widowControl w:val="0"/>
              <w:spacing w:after="0"/>
              <w:jc w:val="center"/>
              <w:rPr>
                <w:rFonts w:cstheme="minorHAnsi"/>
                <w:b/>
                <w:sz w:val="18"/>
                <w:szCs w:val="18"/>
                <w:lang w:val="en-GB"/>
              </w:rPr>
            </w:pPr>
            <w:r w:rsidRPr="008017F0">
              <w:rPr>
                <w:rFonts w:cstheme="minorHAnsi"/>
                <w:b/>
                <w:sz w:val="18"/>
                <w:szCs w:val="18"/>
                <w:lang w:val="en-GB"/>
              </w:rPr>
              <w:t>Declining balance rate (IVIE)</w:t>
            </w:r>
            <w:r w:rsidRPr="008017F0">
              <w:rPr>
                <w:rStyle w:val="Rimandonotaapidipagina"/>
                <w:rFonts w:cstheme="minorHAnsi"/>
                <w:sz w:val="18"/>
                <w:szCs w:val="18"/>
                <w:lang w:val="en-GB"/>
              </w:rPr>
              <w:t xml:space="preserve"> </w:t>
            </w:r>
            <w:r w:rsidRPr="008017F0">
              <w:rPr>
                <w:vertAlign w:val="superscript"/>
                <w:lang w:val="en-GB"/>
              </w:rPr>
              <w:t>a</w:t>
            </w:r>
          </w:p>
        </w:tc>
        <w:tc>
          <w:tcPr>
            <w:tcW w:w="1250" w:type="pct"/>
            <w:vAlign w:val="center"/>
          </w:tcPr>
          <w:p w14:paraId="17A9E5C7" w14:textId="77777777" w:rsidR="003D4369" w:rsidRPr="008017F0" w:rsidRDefault="003D4369" w:rsidP="00F33226">
            <w:pPr>
              <w:keepNext/>
              <w:widowControl w:val="0"/>
              <w:spacing w:after="0"/>
              <w:jc w:val="center"/>
              <w:rPr>
                <w:rFonts w:cstheme="minorHAnsi"/>
                <w:b/>
                <w:sz w:val="18"/>
                <w:szCs w:val="18"/>
                <w:lang w:val="en-GB"/>
              </w:rPr>
            </w:pPr>
            <w:r w:rsidRPr="008017F0">
              <w:rPr>
                <w:rFonts w:cstheme="minorHAnsi"/>
                <w:b/>
                <w:sz w:val="18"/>
                <w:szCs w:val="18"/>
                <w:lang w:val="en-GB"/>
              </w:rPr>
              <w:t>Depreciation rate</w:t>
            </w:r>
          </w:p>
          <w:p w14:paraId="6BE0AF0C" w14:textId="77777777" w:rsidR="003D4369" w:rsidRPr="008017F0" w:rsidRDefault="003D4369" w:rsidP="00F33226">
            <w:pPr>
              <w:keepNext/>
              <w:widowControl w:val="0"/>
              <w:spacing w:after="0"/>
              <w:jc w:val="center"/>
              <w:rPr>
                <w:rFonts w:cstheme="minorHAnsi"/>
                <w:b/>
                <w:sz w:val="18"/>
                <w:szCs w:val="18"/>
                <w:lang w:val="en-GB"/>
              </w:rPr>
            </w:pPr>
            <w:r w:rsidRPr="008017F0">
              <w:rPr>
                <w:rFonts w:cstheme="minorHAnsi"/>
                <w:b/>
                <w:sz w:val="18"/>
                <w:szCs w:val="18"/>
                <w:lang w:val="en-GB"/>
              </w:rPr>
              <w:t>(EUKLEMS)</w:t>
            </w:r>
            <w:r w:rsidRPr="008017F0">
              <w:rPr>
                <w:rFonts w:cstheme="minorHAnsi"/>
                <w:b/>
                <w:sz w:val="18"/>
                <w:szCs w:val="18"/>
                <w:vertAlign w:val="superscript"/>
                <w:lang w:val="en-GB"/>
              </w:rPr>
              <w:t>b</w:t>
            </w:r>
          </w:p>
        </w:tc>
        <w:tc>
          <w:tcPr>
            <w:tcW w:w="1250" w:type="pct"/>
            <w:vAlign w:val="center"/>
          </w:tcPr>
          <w:p w14:paraId="25A86290" w14:textId="77777777" w:rsidR="003D4369" w:rsidRPr="008017F0" w:rsidRDefault="003D4369" w:rsidP="00F33226">
            <w:pPr>
              <w:keepNext/>
              <w:widowControl w:val="0"/>
              <w:spacing w:after="0"/>
              <w:jc w:val="center"/>
              <w:rPr>
                <w:rFonts w:cstheme="minorHAnsi"/>
                <w:b/>
                <w:sz w:val="18"/>
                <w:szCs w:val="18"/>
                <w:lang w:val="en-GB"/>
              </w:rPr>
            </w:pPr>
            <w:r w:rsidRPr="008017F0">
              <w:rPr>
                <w:rFonts w:cstheme="minorHAnsi"/>
                <w:b/>
                <w:sz w:val="18"/>
                <w:szCs w:val="18"/>
                <w:lang w:val="en-GB"/>
              </w:rPr>
              <w:t>Average service life</w:t>
            </w:r>
          </w:p>
        </w:tc>
      </w:tr>
      <w:tr w:rsidR="003D4369" w:rsidRPr="008017F0" w14:paraId="105DA665" w14:textId="77777777" w:rsidTr="00F33226">
        <w:tc>
          <w:tcPr>
            <w:tcW w:w="1250" w:type="pct"/>
          </w:tcPr>
          <w:p w14:paraId="0D085070"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ROADS</w:t>
            </w:r>
          </w:p>
        </w:tc>
        <w:tc>
          <w:tcPr>
            <w:tcW w:w="1250" w:type="pct"/>
          </w:tcPr>
          <w:p w14:paraId="13028B6B"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1.251</w:t>
            </w:r>
          </w:p>
        </w:tc>
        <w:tc>
          <w:tcPr>
            <w:tcW w:w="1250" w:type="pct"/>
          </w:tcPr>
          <w:p w14:paraId="63AB3A39"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0.028</w:t>
            </w:r>
          </w:p>
        </w:tc>
        <w:tc>
          <w:tcPr>
            <w:tcW w:w="1250" w:type="pct"/>
          </w:tcPr>
          <w:p w14:paraId="3AE578F2"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45</w:t>
            </w:r>
          </w:p>
        </w:tc>
      </w:tr>
      <w:tr w:rsidR="003D4369" w:rsidRPr="008017F0" w14:paraId="65E440BB" w14:textId="77777777" w:rsidTr="00F33226">
        <w:tc>
          <w:tcPr>
            <w:tcW w:w="1250" w:type="pct"/>
          </w:tcPr>
          <w:p w14:paraId="73C5394B"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RAILS</w:t>
            </w:r>
          </w:p>
        </w:tc>
        <w:tc>
          <w:tcPr>
            <w:tcW w:w="1250" w:type="pct"/>
          </w:tcPr>
          <w:p w14:paraId="7033F2D2"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1.251</w:t>
            </w:r>
          </w:p>
        </w:tc>
        <w:tc>
          <w:tcPr>
            <w:tcW w:w="1250" w:type="pct"/>
          </w:tcPr>
          <w:p w14:paraId="13F756CE"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0.028</w:t>
            </w:r>
          </w:p>
        </w:tc>
        <w:tc>
          <w:tcPr>
            <w:tcW w:w="1250" w:type="pct"/>
          </w:tcPr>
          <w:p w14:paraId="12C9E1B3"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45</w:t>
            </w:r>
          </w:p>
        </w:tc>
      </w:tr>
      <w:tr w:rsidR="003D4369" w:rsidRPr="008017F0" w14:paraId="00DF501C" w14:textId="77777777" w:rsidTr="00F33226">
        <w:tc>
          <w:tcPr>
            <w:tcW w:w="1250" w:type="pct"/>
          </w:tcPr>
          <w:p w14:paraId="00942253"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BUILDINGS</w:t>
            </w:r>
          </w:p>
        </w:tc>
        <w:tc>
          <w:tcPr>
            <w:tcW w:w="1250" w:type="pct"/>
          </w:tcPr>
          <w:p w14:paraId="4DF57C34"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1.390</w:t>
            </w:r>
          </w:p>
        </w:tc>
        <w:tc>
          <w:tcPr>
            <w:tcW w:w="1250" w:type="pct"/>
          </w:tcPr>
          <w:p w14:paraId="5DAABD9E"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0.025</w:t>
            </w:r>
          </w:p>
        </w:tc>
        <w:tc>
          <w:tcPr>
            <w:tcW w:w="1250" w:type="pct"/>
          </w:tcPr>
          <w:p w14:paraId="7A393CD2"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56</w:t>
            </w:r>
          </w:p>
        </w:tc>
      </w:tr>
      <w:tr w:rsidR="003D4369" w:rsidRPr="008017F0" w14:paraId="2321E65F" w14:textId="77777777" w:rsidTr="00F33226">
        <w:tc>
          <w:tcPr>
            <w:tcW w:w="1250" w:type="pct"/>
          </w:tcPr>
          <w:p w14:paraId="1210F367"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HEALTH</w:t>
            </w:r>
          </w:p>
        </w:tc>
        <w:tc>
          <w:tcPr>
            <w:tcW w:w="1250" w:type="pct"/>
          </w:tcPr>
          <w:p w14:paraId="2F5676DC"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1.390</w:t>
            </w:r>
          </w:p>
        </w:tc>
        <w:tc>
          <w:tcPr>
            <w:tcW w:w="1250" w:type="pct"/>
          </w:tcPr>
          <w:p w14:paraId="231A9CFE"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0.027</w:t>
            </w:r>
          </w:p>
        </w:tc>
        <w:tc>
          <w:tcPr>
            <w:tcW w:w="1250" w:type="pct"/>
          </w:tcPr>
          <w:p w14:paraId="4F058DE8"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51</w:t>
            </w:r>
          </w:p>
        </w:tc>
      </w:tr>
      <w:tr w:rsidR="003D4369" w:rsidRPr="008017F0" w14:paraId="64577BD9" w14:textId="77777777" w:rsidTr="00F33226">
        <w:tc>
          <w:tcPr>
            <w:tcW w:w="1250" w:type="pct"/>
          </w:tcPr>
          <w:p w14:paraId="668F87A7"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WATER</w:t>
            </w:r>
          </w:p>
        </w:tc>
        <w:tc>
          <w:tcPr>
            <w:tcW w:w="1250" w:type="pct"/>
          </w:tcPr>
          <w:p w14:paraId="2B53F3E7"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1.112</w:t>
            </w:r>
          </w:p>
        </w:tc>
        <w:tc>
          <w:tcPr>
            <w:tcW w:w="1250" w:type="pct"/>
          </w:tcPr>
          <w:p w14:paraId="4EC09D6A"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0.023</w:t>
            </w:r>
          </w:p>
        </w:tc>
        <w:tc>
          <w:tcPr>
            <w:tcW w:w="1250" w:type="pct"/>
          </w:tcPr>
          <w:p w14:paraId="4E63C3B3"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48</w:t>
            </w:r>
          </w:p>
        </w:tc>
      </w:tr>
      <w:tr w:rsidR="003D4369" w:rsidRPr="008017F0" w14:paraId="435E1A8A" w14:textId="77777777" w:rsidTr="00F33226">
        <w:tc>
          <w:tcPr>
            <w:tcW w:w="1250" w:type="pct"/>
          </w:tcPr>
          <w:p w14:paraId="0B371B29"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LAND</w:t>
            </w:r>
          </w:p>
        </w:tc>
        <w:tc>
          <w:tcPr>
            <w:tcW w:w="1250" w:type="pct"/>
          </w:tcPr>
          <w:p w14:paraId="5C19B9E0"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1.390</w:t>
            </w:r>
          </w:p>
        </w:tc>
        <w:tc>
          <w:tcPr>
            <w:tcW w:w="1250" w:type="pct"/>
          </w:tcPr>
          <w:p w14:paraId="61FCB93D"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0.024</w:t>
            </w:r>
          </w:p>
        </w:tc>
        <w:tc>
          <w:tcPr>
            <w:tcW w:w="1250" w:type="pct"/>
          </w:tcPr>
          <w:p w14:paraId="375B4475"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58</w:t>
            </w:r>
          </w:p>
        </w:tc>
      </w:tr>
      <w:tr w:rsidR="003D4369" w:rsidRPr="008017F0" w14:paraId="320DE74F" w14:textId="77777777" w:rsidTr="00F33226">
        <w:tc>
          <w:tcPr>
            <w:tcW w:w="1250" w:type="pct"/>
          </w:tcPr>
          <w:p w14:paraId="0C2CF867" w14:textId="77777777" w:rsidR="003D4369" w:rsidRPr="008017F0" w:rsidRDefault="003D4369" w:rsidP="00F33226">
            <w:pPr>
              <w:spacing w:after="0"/>
              <w:jc w:val="both"/>
              <w:rPr>
                <w:rFonts w:cstheme="minorHAnsi"/>
                <w:b/>
                <w:sz w:val="18"/>
                <w:szCs w:val="18"/>
                <w:lang w:val="en-GB"/>
              </w:rPr>
            </w:pPr>
            <w:r w:rsidRPr="008017F0">
              <w:rPr>
                <w:rFonts w:cstheme="minorHAnsi"/>
                <w:b/>
                <w:sz w:val="18"/>
                <w:szCs w:val="18"/>
                <w:lang w:val="en-GB"/>
              </w:rPr>
              <w:t>OTHERS</w:t>
            </w:r>
          </w:p>
        </w:tc>
        <w:tc>
          <w:tcPr>
            <w:tcW w:w="1250" w:type="pct"/>
          </w:tcPr>
          <w:p w14:paraId="344239D9"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1.390</w:t>
            </w:r>
          </w:p>
        </w:tc>
        <w:tc>
          <w:tcPr>
            <w:tcW w:w="1250" w:type="pct"/>
          </w:tcPr>
          <w:p w14:paraId="6BB1F6AC"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0.025</w:t>
            </w:r>
          </w:p>
        </w:tc>
        <w:tc>
          <w:tcPr>
            <w:tcW w:w="1250" w:type="pct"/>
          </w:tcPr>
          <w:p w14:paraId="25511135" w14:textId="77777777" w:rsidR="003D4369" w:rsidRPr="008017F0" w:rsidRDefault="003D4369" w:rsidP="00F33226">
            <w:pPr>
              <w:spacing w:after="0"/>
              <w:jc w:val="center"/>
              <w:rPr>
                <w:rFonts w:cstheme="minorHAnsi"/>
                <w:sz w:val="18"/>
                <w:szCs w:val="18"/>
                <w:lang w:val="en-GB"/>
              </w:rPr>
            </w:pPr>
            <w:r w:rsidRPr="008017F0">
              <w:rPr>
                <w:rFonts w:cstheme="minorHAnsi"/>
                <w:sz w:val="18"/>
                <w:szCs w:val="18"/>
                <w:lang w:val="en-GB"/>
              </w:rPr>
              <w:t>56</w:t>
            </w:r>
          </w:p>
        </w:tc>
      </w:tr>
    </w:tbl>
    <w:p w14:paraId="5A6F9F5C" w14:textId="77777777" w:rsidR="003D4369" w:rsidRPr="008017F0" w:rsidRDefault="003D4369" w:rsidP="003D4369">
      <w:pPr>
        <w:autoSpaceDE w:val="0"/>
        <w:autoSpaceDN w:val="0"/>
        <w:adjustRightInd w:val="0"/>
        <w:spacing w:line="240" w:lineRule="auto"/>
        <w:jc w:val="both"/>
        <w:rPr>
          <w:rFonts w:ascii="Times New Roman" w:hAnsi="Times New Roman" w:cs="Times New Roman"/>
          <w:i/>
          <w:iCs/>
          <w:sz w:val="20"/>
          <w:szCs w:val="20"/>
          <w:lang w:val="en-GB"/>
        </w:rPr>
      </w:pPr>
      <w:r w:rsidRPr="008017F0">
        <w:rPr>
          <w:rFonts w:ascii="Times New Roman" w:hAnsi="Times New Roman" w:cs="Times New Roman"/>
          <w:i/>
          <w:iCs/>
          <w:sz w:val="20"/>
          <w:szCs w:val="20"/>
          <w:lang w:val="en-GB"/>
        </w:rPr>
        <w:t>Sources: a) Perez et al. (2019); b) https://euklems.eu/</w:t>
      </w:r>
    </w:p>
    <w:p w14:paraId="07416836" w14:textId="77777777" w:rsidR="003D4369" w:rsidRPr="008017F0" w:rsidRDefault="003D4369" w:rsidP="003D4369">
      <w:pPr>
        <w:pStyle w:val="RSEG"/>
        <w:rPr>
          <w:i/>
          <w:iCs/>
          <w:sz w:val="22"/>
          <w:szCs w:val="22"/>
        </w:rPr>
      </w:pPr>
    </w:p>
    <w:p w14:paraId="7347A6A5" w14:textId="77777777" w:rsidR="003D4369" w:rsidRPr="008017F0" w:rsidRDefault="003D4369" w:rsidP="003D4369">
      <w:pPr>
        <w:pStyle w:val="RSEG"/>
        <w:rPr>
          <w:i/>
          <w:iCs/>
        </w:rPr>
      </w:pPr>
      <w:r w:rsidRPr="008017F0">
        <w:rPr>
          <w:i/>
          <w:iCs/>
        </w:rPr>
        <w:t>Validating the new monetary index for infrastructure</w:t>
      </w:r>
    </w:p>
    <w:p w14:paraId="1ED10FA4" w14:textId="1325E0BD" w:rsidR="003D4369" w:rsidRPr="008017F0" w:rsidRDefault="003D4369" w:rsidP="003D4369">
      <w:pPr>
        <w:pStyle w:val="RSEG"/>
      </w:pPr>
      <w:r w:rsidRPr="008017F0">
        <w:t>Table A</w:t>
      </w:r>
      <w:r w:rsidR="008F4BDB" w:rsidRPr="008017F0">
        <w:t>3</w:t>
      </w:r>
      <w:r w:rsidRPr="008017F0">
        <w:t xml:space="preserve"> reproduces the range (minimum and maximum) of the year-by-year correlations between Picci (2001) regional gross capital series and the estimated net capital stock by asset class for period 1890-1998 (both series taken at 2010 prices). The two series are very highly correlated considering the very long period (more than a century) and the different methodologies adopted to compute the stocks. The relatively low minimum correlation for public buildings and water equipment may be partially due to the different assumptions on the service life of the asset. Yet, this correlation generally increases in the last decades.</w:t>
      </w:r>
    </w:p>
    <w:p w14:paraId="0C834903" w14:textId="6ACAA79E" w:rsidR="008017F0" w:rsidRPr="008017F0" w:rsidRDefault="008017F0">
      <w:pPr>
        <w:spacing w:after="160" w:line="259" w:lineRule="auto"/>
        <w:rPr>
          <w:rFonts w:ascii="Times New Roman" w:hAnsi="Times New Roman" w:cs="Times New Roman"/>
          <w:iCs/>
          <w:sz w:val="24"/>
          <w:szCs w:val="24"/>
          <w:lang w:val="en-GB"/>
        </w:rPr>
      </w:pPr>
      <w:r w:rsidRPr="008017F0">
        <w:rPr>
          <w:i/>
          <w:iCs/>
        </w:rPr>
        <w:br w:type="page"/>
      </w:r>
    </w:p>
    <w:p w14:paraId="2394A546" w14:textId="68E0B111" w:rsidR="003D4369" w:rsidRPr="008017F0" w:rsidRDefault="003D4369" w:rsidP="003D4369">
      <w:pPr>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Table A</w:t>
      </w:r>
      <w:r w:rsidR="008F4BDB" w:rsidRPr="008017F0">
        <w:rPr>
          <w:rFonts w:ascii="Times New Roman" w:hAnsi="Times New Roman" w:cs="Times New Roman"/>
          <w:lang w:val="en-GB"/>
        </w:rPr>
        <w:t>3</w:t>
      </w:r>
      <w:r w:rsidRPr="008017F0">
        <w:rPr>
          <w:rFonts w:ascii="Times New Roman" w:hAnsi="Times New Roman" w:cs="Times New Roman"/>
          <w:lang w:val="en-GB"/>
        </w:rPr>
        <w:t xml:space="preserve"> Year-by-year correlation between Picci regional gross capital series (Picci, 2001) and the estimated net capital stock by asset class (1890-1998)</w:t>
      </w:r>
    </w:p>
    <w:tbl>
      <w:tblPr>
        <w:tblStyle w:val="Grigliatabella"/>
        <w:tblW w:w="5000" w:type="pct"/>
        <w:tblLook w:val="04A0" w:firstRow="1" w:lastRow="0" w:firstColumn="1" w:lastColumn="0" w:noHBand="0" w:noVBand="1"/>
      </w:tblPr>
      <w:tblGrid>
        <w:gridCol w:w="1644"/>
        <w:gridCol w:w="921"/>
        <w:gridCol w:w="946"/>
        <w:gridCol w:w="842"/>
        <w:gridCol w:w="1359"/>
        <w:gridCol w:w="1071"/>
        <w:gridCol w:w="978"/>
        <w:gridCol w:w="818"/>
        <w:gridCol w:w="1049"/>
      </w:tblGrid>
      <w:tr w:rsidR="003D4369" w:rsidRPr="008017F0" w14:paraId="3BB717CB" w14:textId="77777777" w:rsidTr="00F33226">
        <w:trPr>
          <w:trHeight w:val="255"/>
        </w:trPr>
        <w:tc>
          <w:tcPr>
            <w:tcW w:w="853" w:type="pct"/>
            <w:noWrap/>
            <w:vAlign w:val="center"/>
            <w:hideMark/>
          </w:tcPr>
          <w:p w14:paraId="18953637" w14:textId="77777777" w:rsidR="003D4369" w:rsidRPr="008017F0" w:rsidRDefault="003D4369" w:rsidP="00F33226">
            <w:pPr>
              <w:rPr>
                <w:rFonts w:cstheme="minorHAnsi"/>
                <w:sz w:val="20"/>
                <w:szCs w:val="20"/>
                <w:lang w:val="en-GB"/>
              </w:rPr>
            </w:pPr>
          </w:p>
        </w:tc>
        <w:tc>
          <w:tcPr>
            <w:tcW w:w="478" w:type="pct"/>
            <w:vAlign w:val="center"/>
          </w:tcPr>
          <w:p w14:paraId="2F4D8FE8"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Total</w:t>
            </w:r>
          </w:p>
        </w:tc>
        <w:tc>
          <w:tcPr>
            <w:tcW w:w="491" w:type="pct"/>
            <w:noWrap/>
            <w:vAlign w:val="center"/>
            <w:hideMark/>
          </w:tcPr>
          <w:p w14:paraId="4D968C66"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Roads</w:t>
            </w:r>
          </w:p>
        </w:tc>
        <w:tc>
          <w:tcPr>
            <w:tcW w:w="437" w:type="pct"/>
            <w:noWrap/>
            <w:vAlign w:val="center"/>
            <w:hideMark/>
          </w:tcPr>
          <w:p w14:paraId="23950C15"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Rails</w:t>
            </w:r>
          </w:p>
        </w:tc>
        <w:tc>
          <w:tcPr>
            <w:tcW w:w="706" w:type="pct"/>
            <w:noWrap/>
            <w:vAlign w:val="center"/>
            <w:hideMark/>
          </w:tcPr>
          <w:p w14:paraId="27FD521B"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Buildings</w:t>
            </w:r>
          </w:p>
        </w:tc>
        <w:tc>
          <w:tcPr>
            <w:tcW w:w="556" w:type="pct"/>
            <w:noWrap/>
            <w:vAlign w:val="center"/>
            <w:hideMark/>
          </w:tcPr>
          <w:p w14:paraId="3C438C6F"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Health</w:t>
            </w:r>
          </w:p>
        </w:tc>
        <w:tc>
          <w:tcPr>
            <w:tcW w:w="508" w:type="pct"/>
            <w:noWrap/>
            <w:vAlign w:val="center"/>
            <w:hideMark/>
          </w:tcPr>
          <w:p w14:paraId="066F41C3"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Water</w:t>
            </w:r>
          </w:p>
        </w:tc>
        <w:tc>
          <w:tcPr>
            <w:tcW w:w="425" w:type="pct"/>
            <w:noWrap/>
            <w:vAlign w:val="center"/>
            <w:hideMark/>
          </w:tcPr>
          <w:p w14:paraId="753A9B98"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Land</w:t>
            </w:r>
          </w:p>
        </w:tc>
        <w:tc>
          <w:tcPr>
            <w:tcW w:w="545" w:type="pct"/>
            <w:noWrap/>
            <w:vAlign w:val="center"/>
            <w:hideMark/>
          </w:tcPr>
          <w:p w14:paraId="64701A8A" w14:textId="77777777" w:rsidR="003D4369" w:rsidRPr="008017F0" w:rsidRDefault="003D4369" w:rsidP="00F33226">
            <w:pPr>
              <w:jc w:val="center"/>
              <w:rPr>
                <w:rFonts w:cstheme="minorHAnsi"/>
                <w:b/>
                <w:bCs/>
                <w:sz w:val="20"/>
                <w:szCs w:val="20"/>
                <w:lang w:val="en-GB"/>
              </w:rPr>
            </w:pPr>
            <w:r w:rsidRPr="008017F0">
              <w:rPr>
                <w:rFonts w:cstheme="minorHAnsi"/>
                <w:b/>
                <w:bCs/>
                <w:sz w:val="20"/>
                <w:szCs w:val="20"/>
                <w:lang w:val="en-GB"/>
              </w:rPr>
              <w:t>Others</w:t>
            </w:r>
          </w:p>
        </w:tc>
      </w:tr>
      <w:tr w:rsidR="003D4369" w:rsidRPr="008017F0" w14:paraId="31B33A56" w14:textId="77777777" w:rsidTr="00F33226">
        <w:trPr>
          <w:trHeight w:val="255"/>
        </w:trPr>
        <w:tc>
          <w:tcPr>
            <w:tcW w:w="853" w:type="pct"/>
            <w:noWrap/>
            <w:vAlign w:val="center"/>
            <w:hideMark/>
          </w:tcPr>
          <w:p w14:paraId="7A18A3A7" w14:textId="77777777" w:rsidR="003D4369" w:rsidRPr="008017F0" w:rsidRDefault="003D4369" w:rsidP="00F33226">
            <w:pPr>
              <w:rPr>
                <w:rFonts w:cstheme="minorHAnsi"/>
                <w:sz w:val="20"/>
                <w:szCs w:val="20"/>
                <w:lang w:val="en-GB"/>
              </w:rPr>
            </w:pPr>
            <w:r w:rsidRPr="008017F0">
              <w:rPr>
                <w:rFonts w:cstheme="minorHAnsi"/>
                <w:sz w:val="20"/>
                <w:szCs w:val="20"/>
                <w:lang w:val="en-GB"/>
              </w:rPr>
              <w:t>MIN</w:t>
            </w:r>
          </w:p>
        </w:tc>
        <w:tc>
          <w:tcPr>
            <w:tcW w:w="478" w:type="pct"/>
            <w:vAlign w:val="center"/>
          </w:tcPr>
          <w:p w14:paraId="1E4B46DD"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0.92</w:t>
            </w:r>
          </w:p>
        </w:tc>
        <w:tc>
          <w:tcPr>
            <w:tcW w:w="491" w:type="pct"/>
            <w:noWrap/>
            <w:vAlign w:val="center"/>
            <w:hideMark/>
          </w:tcPr>
          <w:p w14:paraId="48EA563D"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0.95</w:t>
            </w:r>
          </w:p>
        </w:tc>
        <w:tc>
          <w:tcPr>
            <w:tcW w:w="437" w:type="pct"/>
            <w:noWrap/>
            <w:vAlign w:val="center"/>
            <w:hideMark/>
          </w:tcPr>
          <w:p w14:paraId="60FB46B6"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0.87</w:t>
            </w:r>
          </w:p>
        </w:tc>
        <w:tc>
          <w:tcPr>
            <w:tcW w:w="706" w:type="pct"/>
            <w:noWrap/>
            <w:vAlign w:val="center"/>
            <w:hideMark/>
          </w:tcPr>
          <w:p w14:paraId="22D4AB2E"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0.58</w:t>
            </w:r>
          </w:p>
        </w:tc>
        <w:tc>
          <w:tcPr>
            <w:tcW w:w="556" w:type="pct"/>
            <w:noWrap/>
            <w:vAlign w:val="center"/>
            <w:hideMark/>
          </w:tcPr>
          <w:p w14:paraId="53B7CF3D"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0.97</w:t>
            </w:r>
          </w:p>
        </w:tc>
        <w:tc>
          <w:tcPr>
            <w:tcW w:w="508" w:type="pct"/>
            <w:noWrap/>
            <w:vAlign w:val="center"/>
            <w:hideMark/>
          </w:tcPr>
          <w:p w14:paraId="4D963498"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0.79</w:t>
            </w:r>
          </w:p>
        </w:tc>
        <w:tc>
          <w:tcPr>
            <w:tcW w:w="425" w:type="pct"/>
            <w:noWrap/>
            <w:vAlign w:val="center"/>
            <w:hideMark/>
          </w:tcPr>
          <w:p w14:paraId="166C9878"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0.94</w:t>
            </w:r>
          </w:p>
        </w:tc>
        <w:tc>
          <w:tcPr>
            <w:tcW w:w="545" w:type="pct"/>
            <w:noWrap/>
            <w:vAlign w:val="center"/>
            <w:hideMark/>
          </w:tcPr>
          <w:p w14:paraId="5F21E0A0"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0.81</w:t>
            </w:r>
          </w:p>
        </w:tc>
      </w:tr>
      <w:tr w:rsidR="003D4369" w:rsidRPr="008017F0" w14:paraId="492B9DBE" w14:textId="77777777" w:rsidTr="00F33226">
        <w:trPr>
          <w:trHeight w:val="255"/>
        </w:trPr>
        <w:tc>
          <w:tcPr>
            <w:tcW w:w="853" w:type="pct"/>
            <w:noWrap/>
            <w:vAlign w:val="center"/>
            <w:hideMark/>
          </w:tcPr>
          <w:p w14:paraId="43D1B169" w14:textId="77777777" w:rsidR="003D4369" w:rsidRPr="008017F0" w:rsidRDefault="003D4369" w:rsidP="00F33226">
            <w:pPr>
              <w:rPr>
                <w:rFonts w:cstheme="minorHAnsi"/>
                <w:sz w:val="20"/>
                <w:szCs w:val="20"/>
                <w:lang w:val="en-GB"/>
              </w:rPr>
            </w:pPr>
            <w:r w:rsidRPr="008017F0">
              <w:rPr>
                <w:rFonts w:cstheme="minorHAnsi"/>
                <w:sz w:val="20"/>
                <w:szCs w:val="20"/>
                <w:lang w:val="en-GB"/>
              </w:rPr>
              <w:t>MAX</w:t>
            </w:r>
          </w:p>
        </w:tc>
        <w:tc>
          <w:tcPr>
            <w:tcW w:w="478" w:type="pct"/>
            <w:vAlign w:val="center"/>
          </w:tcPr>
          <w:p w14:paraId="5E8FDD83"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491" w:type="pct"/>
            <w:noWrap/>
            <w:vAlign w:val="center"/>
            <w:hideMark/>
          </w:tcPr>
          <w:p w14:paraId="5031D8A9"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437" w:type="pct"/>
            <w:noWrap/>
            <w:vAlign w:val="center"/>
            <w:hideMark/>
          </w:tcPr>
          <w:p w14:paraId="23519EB8"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0.97</w:t>
            </w:r>
          </w:p>
        </w:tc>
        <w:tc>
          <w:tcPr>
            <w:tcW w:w="706" w:type="pct"/>
            <w:noWrap/>
            <w:vAlign w:val="center"/>
            <w:hideMark/>
          </w:tcPr>
          <w:p w14:paraId="0D42ABB9"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0.96</w:t>
            </w:r>
          </w:p>
        </w:tc>
        <w:tc>
          <w:tcPr>
            <w:tcW w:w="556" w:type="pct"/>
            <w:noWrap/>
            <w:vAlign w:val="center"/>
            <w:hideMark/>
          </w:tcPr>
          <w:p w14:paraId="51C2987F"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508" w:type="pct"/>
            <w:noWrap/>
            <w:vAlign w:val="center"/>
            <w:hideMark/>
          </w:tcPr>
          <w:p w14:paraId="31611422"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0.94</w:t>
            </w:r>
          </w:p>
        </w:tc>
        <w:tc>
          <w:tcPr>
            <w:tcW w:w="425" w:type="pct"/>
            <w:noWrap/>
            <w:vAlign w:val="center"/>
            <w:hideMark/>
          </w:tcPr>
          <w:p w14:paraId="744E2794"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545" w:type="pct"/>
            <w:noWrap/>
            <w:vAlign w:val="center"/>
            <w:hideMark/>
          </w:tcPr>
          <w:p w14:paraId="755140B0"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0.92</w:t>
            </w:r>
          </w:p>
        </w:tc>
      </w:tr>
      <w:tr w:rsidR="003D4369" w:rsidRPr="008017F0" w14:paraId="575AD1E1" w14:textId="77777777" w:rsidTr="00F33226">
        <w:trPr>
          <w:trHeight w:val="255"/>
        </w:trPr>
        <w:tc>
          <w:tcPr>
            <w:tcW w:w="853" w:type="pct"/>
            <w:noWrap/>
            <w:vAlign w:val="center"/>
            <w:hideMark/>
          </w:tcPr>
          <w:p w14:paraId="294F5AF7" w14:textId="77777777" w:rsidR="003D4369" w:rsidRPr="008017F0" w:rsidRDefault="003D4369" w:rsidP="00F33226">
            <w:pPr>
              <w:rPr>
                <w:rFonts w:cstheme="minorHAnsi"/>
                <w:sz w:val="20"/>
                <w:szCs w:val="20"/>
                <w:lang w:val="en-GB"/>
              </w:rPr>
            </w:pPr>
            <w:r w:rsidRPr="008017F0">
              <w:rPr>
                <w:rFonts w:cstheme="minorHAnsi"/>
                <w:sz w:val="20"/>
                <w:szCs w:val="20"/>
                <w:lang w:val="en-GB"/>
              </w:rPr>
              <w:t>1970-79 (mean)</w:t>
            </w:r>
          </w:p>
        </w:tc>
        <w:tc>
          <w:tcPr>
            <w:tcW w:w="478" w:type="pct"/>
            <w:vAlign w:val="center"/>
          </w:tcPr>
          <w:p w14:paraId="64618082"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491" w:type="pct"/>
            <w:noWrap/>
            <w:vAlign w:val="center"/>
            <w:hideMark/>
          </w:tcPr>
          <w:p w14:paraId="0B8BDFB5"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437" w:type="pct"/>
            <w:noWrap/>
            <w:vAlign w:val="center"/>
            <w:hideMark/>
          </w:tcPr>
          <w:p w14:paraId="1011EC7D"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0.90</w:t>
            </w:r>
          </w:p>
        </w:tc>
        <w:tc>
          <w:tcPr>
            <w:tcW w:w="706" w:type="pct"/>
            <w:noWrap/>
            <w:vAlign w:val="center"/>
            <w:hideMark/>
          </w:tcPr>
          <w:p w14:paraId="1AAA20B3"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0.76</w:t>
            </w:r>
          </w:p>
        </w:tc>
        <w:tc>
          <w:tcPr>
            <w:tcW w:w="556" w:type="pct"/>
            <w:noWrap/>
            <w:vAlign w:val="center"/>
            <w:hideMark/>
          </w:tcPr>
          <w:p w14:paraId="0BB529BB"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508" w:type="pct"/>
            <w:noWrap/>
            <w:vAlign w:val="center"/>
            <w:hideMark/>
          </w:tcPr>
          <w:p w14:paraId="400E8EF9"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0.88</w:t>
            </w:r>
          </w:p>
        </w:tc>
        <w:tc>
          <w:tcPr>
            <w:tcW w:w="425" w:type="pct"/>
            <w:noWrap/>
            <w:vAlign w:val="center"/>
            <w:hideMark/>
          </w:tcPr>
          <w:p w14:paraId="098FCE76"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545" w:type="pct"/>
            <w:noWrap/>
            <w:vAlign w:val="center"/>
            <w:hideMark/>
          </w:tcPr>
          <w:p w14:paraId="6CF03CD6"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0.83</w:t>
            </w:r>
          </w:p>
        </w:tc>
      </w:tr>
      <w:tr w:rsidR="003D4369" w:rsidRPr="008017F0" w14:paraId="0B0ECF43" w14:textId="77777777" w:rsidTr="00F33226">
        <w:trPr>
          <w:trHeight w:val="255"/>
        </w:trPr>
        <w:tc>
          <w:tcPr>
            <w:tcW w:w="853" w:type="pct"/>
            <w:noWrap/>
            <w:vAlign w:val="center"/>
            <w:hideMark/>
          </w:tcPr>
          <w:p w14:paraId="52329368" w14:textId="77777777" w:rsidR="003D4369" w:rsidRPr="008017F0" w:rsidRDefault="003D4369" w:rsidP="00F33226">
            <w:pPr>
              <w:rPr>
                <w:rFonts w:cstheme="minorHAnsi"/>
                <w:sz w:val="20"/>
                <w:szCs w:val="20"/>
                <w:lang w:val="en-GB"/>
              </w:rPr>
            </w:pPr>
            <w:r w:rsidRPr="008017F0">
              <w:rPr>
                <w:rFonts w:cstheme="minorHAnsi"/>
                <w:sz w:val="20"/>
                <w:szCs w:val="20"/>
                <w:lang w:val="en-GB"/>
              </w:rPr>
              <w:t>1980-89 (mean)</w:t>
            </w:r>
          </w:p>
        </w:tc>
        <w:tc>
          <w:tcPr>
            <w:tcW w:w="478" w:type="pct"/>
            <w:vAlign w:val="center"/>
          </w:tcPr>
          <w:p w14:paraId="794DE17B"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491" w:type="pct"/>
            <w:noWrap/>
            <w:vAlign w:val="center"/>
            <w:hideMark/>
          </w:tcPr>
          <w:p w14:paraId="3BD030AF"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437" w:type="pct"/>
            <w:noWrap/>
            <w:vAlign w:val="center"/>
            <w:hideMark/>
          </w:tcPr>
          <w:p w14:paraId="3CE86CEF"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0.91</w:t>
            </w:r>
          </w:p>
        </w:tc>
        <w:tc>
          <w:tcPr>
            <w:tcW w:w="706" w:type="pct"/>
            <w:noWrap/>
            <w:vAlign w:val="center"/>
            <w:hideMark/>
          </w:tcPr>
          <w:p w14:paraId="3BA7F1FA"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0.92</w:t>
            </w:r>
          </w:p>
        </w:tc>
        <w:tc>
          <w:tcPr>
            <w:tcW w:w="556" w:type="pct"/>
            <w:noWrap/>
            <w:vAlign w:val="center"/>
            <w:hideMark/>
          </w:tcPr>
          <w:p w14:paraId="34FAE5E7"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508" w:type="pct"/>
            <w:noWrap/>
            <w:vAlign w:val="center"/>
            <w:hideMark/>
          </w:tcPr>
          <w:p w14:paraId="18529FD8"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0.82</w:t>
            </w:r>
          </w:p>
        </w:tc>
        <w:tc>
          <w:tcPr>
            <w:tcW w:w="425" w:type="pct"/>
            <w:noWrap/>
            <w:vAlign w:val="center"/>
            <w:hideMark/>
          </w:tcPr>
          <w:p w14:paraId="34CADB8A"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545" w:type="pct"/>
            <w:noWrap/>
            <w:vAlign w:val="center"/>
            <w:hideMark/>
          </w:tcPr>
          <w:p w14:paraId="65550E34"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0.84</w:t>
            </w:r>
          </w:p>
        </w:tc>
      </w:tr>
      <w:tr w:rsidR="003D4369" w:rsidRPr="008017F0" w14:paraId="61ED862A" w14:textId="77777777" w:rsidTr="00F33226">
        <w:trPr>
          <w:trHeight w:val="255"/>
        </w:trPr>
        <w:tc>
          <w:tcPr>
            <w:tcW w:w="853" w:type="pct"/>
            <w:noWrap/>
            <w:vAlign w:val="center"/>
            <w:hideMark/>
          </w:tcPr>
          <w:p w14:paraId="5232062B" w14:textId="77777777" w:rsidR="003D4369" w:rsidRPr="008017F0" w:rsidRDefault="003D4369" w:rsidP="00F33226">
            <w:pPr>
              <w:rPr>
                <w:rFonts w:cstheme="minorHAnsi"/>
                <w:sz w:val="20"/>
                <w:szCs w:val="20"/>
                <w:lang w:val="en-GB"/>
              </w:rPr>
            </w:pPr>
            <w:r w:rsidRPr="008017F0">
              <w:rPr>
                <w:rFonts w:cstheme="minorHAnsi"/>
                <w:sz w:val="20"/>
                <w:szCs w:val="20"/>
                <w:lang w:val="en-GB"/>
              </w:rPr>
              <w:t>1990-98 (mean)</w:t>
            </w:r>
          </w:p>
        </w:tc>
        <w:tc>
          <w:tcPr>
            <w:tcW w:w="478" w:type="pct"/>
            <w:vAlign w:val="center"/>
          </w:tcPr>
          <w:p w14:paraId="64238EBD"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491" w:type="pct"/>
            <w:noWrap/>
            <w:vAlign w:val="center"/>
            <w:hideMark/>
          </w:tcPr>
          <w:p w14:paraId="4327D0D0"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437" w:type="pct"/>
            <w:noWrap/>
            <w:vAlign w:val="center"/>
            <w:hideMark/>
          </w:tcPr>
          <w:p w14:paraId="69828178"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0.96</w:t>
            </w:r>
          </w:p>
        </w:tc>
        <w:tc>
          <w:tcPr>
            <w:tcW w:w="706" w:type="pct"/>
            <w:noWrap/>
            <w:vAlign w:val="center"/>
            <w:hideMark/>
          </w:tcPr>
          <w:p w14:paraId="4EADC47D"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0.92</w:t>
            </w:r>
          </w:p>
        </w:tc>
        <w:tc>
          <w:tcPr>
            <w:tcW w:w="556" w:type="pct"/>
            <w:noWrap/>
            <w:vAlign w:val="center"/>
            <w:hideMark/>
          </w:tcPr>
          <w:p w14:paraId="7B57DED3"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0.99</w:t>
            </w:r>
          </w:p>
        </w:tc>
        <w:tc>
          <w:tcPr>
            <w:tcW w:w="508" w:type="pct"/>
            <w:noWrap/>
            <w:vAlign w:val="center"/>
            <w:hideMark/>
          </w:tcPr>
          <w:p w14:paraId="750C48AC"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0.91</w:t>
            </w:r>
          </w:p>
        </w:tc>
        <w:tc>
          <w:tcPr>
            <w:tcW w:w="425" w:type="pct"/>
            <w:noWrap/>
            <w:vAlign w:val="center"/>
            <w:hideMark/>
          </w:tcPr>
          <w:p w14:paraId="734CF0A2"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1.00</w:t>
            </w:r>
          </w:p>
        </w:tc>
        <w:tc>
          <w:tcPr>
            <w:tcW w:w="545" w:type="pct"/>
            <w:noWrap/>
            <w:vAlign w:val="center"/>
            <w:hideMark/>
          </w:tcPr>
          <w:p w14:paraId="69B86452" w14:textId="77777777" w:rsidR="003D4369" w:rsidRPr="008017F0" w:rsidRDefault="003D4369" w:rsidP="00F33226">
            <w:pPr>
              <w:jc w:val="center"/>
              <w:rPr>
                <w:rFonts w:cstheme="minorHAnsi"/>
                <w:sz w:val="20"/>
                <w:szCs w:val="20"/>
                <w:lang w:val="en-GB"/>
              </w:rPr>
            </w:pPr>
            <w:r w:rsidRPr="008017F0">
              <w:rPr>
                <w:rFonts w:cstheme="minorHAnsi"/>
                <w:sz w:val="20"/>
                <w:szCs w:val="20"/>
                <w:lang w:val="en-GB"/>
              </w:rPr>
              <w:t>0.83</w:t>
            </w:r>
          </w:p>
        </w:tc>
      </w:tr>
    </w:tbl>
    <w:p w14:paraId="7040D411" w14:textId="77777777" w:rsidR="003D4369" w:rsidRPr="008017F0" w:rsidRDefault="003D4369" w:rsidP="003D4369">
      <w:pPr>
        <w:spacing w:after="0" w:line="240" w:lineRule="auto"/>
        <w:jc w:val="both"/>
        <w:rPr>
          <w:rFonts w:ascii="Times New Roman" w:hAnsi="Times New Roman" w:cs="Times New Roman"/>
          <w:sz w:val="20"/>
          <w:szCs w:val="20"/>
          <w:lang w:val="en-GB"/>
        </w:rPr>
      </w:pPr>
      <w:r w:rsidRPr="008017F0">
        <w:rPr>
          <w:rFonts w:ascii="Times New Roman" w:hAnsi="Times New Roman" w:cs="Times New Roman"/>
          <w:sz w:val="20"/>
          <w:szCs w:val="20"/>
          <w:lang w:val="en-GB"/>
        </w:rPr>
        <w:t>Note: Own elaborations on data from Picci (2001) and CPT</w:t>
      </w:r>
    </w:p>
    <w:p w14:paraId="02149614" w14:textId="77777777" w:rsidR="003D4369" w:rsidRPr="008017F0" w:rsidRDefault="003D4369" w:rsidP="003D4369">
      <w:pPr>
        <w:spacing w:after="0" w:line="240" w:lineRule="auto"/>
        <w:jc w:val="both"/>
        <w:rPr>
          <w:rFonts w:ascii="Times New Roman" w:hAnsi="Times New Roman" w:cs="Times New Roman"/>
          <w:sz w:val="20"/>
          <w:szCs w:val="20"/>
          <w:lang w:val="en-GB"/>
        </w:rPr>
      </w:pPr>
      <w:r w:rsidRPr="008017F0">
        <w:rPr>
          <w:rFonts w:ascii="Times New Roman" w:hAnsi="Times New Roman" w:cs="Times New Roman"/>
          <w:sz w:val="20"/>
          <w:szCs w:val="20"/>
          <w:lang w:val="en-GB"/>
        </w:rPr>
        <w:t>(</w:t>
      </w:r>
      <w:hyperlink r:id="rId10" w:history="1">
        <w:r w:rsidRPr="008017F0">
          <w:rPr>
            <w:rStyle w:val="Collegamentoipertestuale"/>
            <w:rFonts w:ascii="Times New Roman" w:hAnsi="Times New Roman" w:cs="Times New Roman"/>
            <w:i/>
            <w:iCs/>
            <w:color w:val="auto"/>
            <w:sz w:val="20"/>
            <w:szCs w:val="20"/>
            <w:lang w:val="en-GB"/>
          </w:rPr>
          <w:t>https://www.contipubbliciterritoriali.it/CPTDE/catalogo/CPTDE_CatalogoCPT.html</w:t>
        </w:r>
      </w:hyperlink>
      <w:r w:rsidRPr="008017F0">
        <w:rPr>
          <w:rFonts w:ascii="Times New Roman" w:hAnsi="Times New Roman" w:cs="Times New Roman"/>
          <w:sz w:val="20"/>
          <w:szCs w:val="20"/>
          <w:lang w:val="en-GB"/>
        </w:rPr>
        <w:t>)</w:t>
      </w:r>
    </w:p>
    <w:p w14:paraId="6ACE2127" w14:textId="77777777" w:rsidR="003D4369" w:rsidRPr="008017F0" w:rsidRDefault="003D4369" w:rsidP="003D4369">
      <w:pPr>
        <w:rPr>
          <w:rFonts w:ascii="Times New Roman" w:hAnsi="Times New Roman" w:cs="Times New Roman"/>
          <w:lang w:val="en-GB"/>
        </w:rPr>
      </w:pPr>
    </w:p>
    <w:p w14:paraId="00DAD59A" w14:textId="77777777" w:rsidR="003D4369" w:rsidRPr="008017F0" w:rsidRDefault="003D4369" w:rsidP="003D4369">
      <w:pPr>
        <w:pStyle w:val="RSEGTITOLO2"/>
      </w:pPr>
      <w:r w:rsidRPr="008017F0">
        <w:t>Evidence from the new monetary index for infrastructure</w:t>
      </w:r>
    </w:p>
    <w:p w14:paraId="664125B9" w14:textId="5F2A6210" w:rsidR="003D4369" w:rsidRPr="008017F0" w:rsidRDefault="003D4369" w:rsidP="003D4369">
      <w:pPr>
        <w:pStyle w:val="RSEG"/>
        <w:rPr>
          <w:bCs/>
        </w:rPr>
      </w:pPr>
      <w:r w:rsidRPr="008017F0">
        <w:t>Table A</w:t>
      </w:r>
      <w:r w:rsidR="008F4BDB" w:rsidRPr="008017F0">
        <w:t>4</w:t>
      </w:r>
      <w:r w:rsidRPr="008017F0">
        <w:t xml:space="preserve"> and Map A</w:t>
      </w:r>
      <w:r w:rsidR="008F4BDB" w:rsidRPr="008017F0">
        <w:t>1</w:t>
      </w:r>
      <w:r w:rsidRPr="008017F0">
        <w:t xml:space="preserve"> report the regional </w:t>
      </w:r>
      <w:r w:rsidRPr="008017F0">
        <w:rPr>
          <w:bCs/>
        </w:rPr>
        <w:t xml:space="preserve">rankings of the new monetary indicator for 1989 and 2019. The Total index for all assets reveals a decreasing trend (in relative terms) for the Southern regions. This evolution is even more marked for Core assets. Particularly strong reductions in relative terms take place for the monetary capital in Roads and Rails of Calabria and Sicilia. On the other hand, Northern regions generally improve their ranking. </w:t>
      </w:r>
      <w:proofErr w:type="spellStart"/>
      <w:r w:rsidRPr="008017F0">
        <w:rPr>
          <w:bCs/>
        </w:rPr>
        <w:t>Lombardia</w:t>
      </w:r>
      <w:proofErr w:type="spellEnd"/>
      <w:r w:rsidRPr="008017F0">
        <w:rPr>
          <w:bCs/>
        </w:rPr>
        <w:t xml:space="preserve"> shows an enduring primacy for most asset classes and aggregations. </w:t>
      </w:r>
    </w:p>
    <w:p w14:paraId="2FC0C2EF" w14:textId="6C8E30E9" w:rsidR="003D4369" w:rsidRPr="008017F0" w:rsidRDefault="003D4369" w:rsidP="00D967ED">
      <w:pPr>
        <w:spacing w:after="0" w:line="240" w:lineRule="auto"/>
        <w:rPr>
          <w:rFonts w:ascii="Times New Roman" w:hAnsi="Times New Roman" w:cs="Times New Roman"/>
          <w:lang w:val="en-GB"/>
        </w:rPr>
      </w:pPr>
      <w:r w:rsidRPr="008017F0">
        <w:rPr>
          <w:rFonts w:ascii="Times New Roman" w:hAnsi="Times New Roman" w:cs="Times New Roman"/>
          <w:lang w:val="en-GB"/>
        </w:rPr>
        <w:t>Table A</w:t>
      </w:r>
      <w:r w:rsidR="008F4BDB" w:rsidRPr="008017F0">
        <w:rPr>
          <w:rFonts w:ascii="Times New Roman" w:hAnsi="Times New Roman" w:cs="Times New Roman"/>
          <w:lang w:val="en-GB"/>
        </w:rPr>
        <w:t>4</w:t>
      </w:r>
      <w:r w:rsidRPr="008017F0">
        <w:rPr>
          <w:rFonts w:ascii="Times New Roman" w:hAnsi="Times New Roman" w:cs="Times New Roman"/>
          <w:lang w:val="en-GB"/>
        </w:rPr>
        <w:t>. The new measure of regional monetary capital stock. Regional rankings (1989, 2019)</w:t>
      </w:r>
    </w:p>
    <w:tbl>
      <w:tblPr>
        <w:tblW w:w="4401" w:type="pct"/>
        <w:tblCellMar>
          <w:left w:w="70" w:type="dxa"/>
          <w:right w:w="70" w:type="dxa"/>
        </w:tblCellMar>
        <w:tblLook w:val="04A0" w:firstRow="1" w:lastRow="0" w:firstColumn="1" w:lastColumn="0" w:noHBand="0" w:noVBand="1"/>
      </w:tblPr>
      <w:tblGrid>
        <w:gridCol w:w="516"/>
        <w:gridCol w:w="505"/>
        <w:gridCol w:w="505"/>
        <w:gridCol w:w="505"/>
        <w:gridCol w:w="505"/>
        <w:gridCol w:w="505"/>
        <w:gridCol w:w="505"/>
        <w:gridCol w:w="505"/>
        <w:gridCol w:w="505"/>
        <w:gridCol w:w="505"/>
        <w:gridCol w:w="505"/>
        <w:gridCol w:w="505"/>
        <w:gridCol w:w="505"/>
        <w:gridCol w:w="505"/>
        <w:gridCol w:w="505"/>
        <w:gridCol w:w="505"/>
        <w:gridCol w:w="505"/>
        <w:gridCol w:w="505"/>
        <w:gridCol w:w="505"/>
      </w:tblGrid>
      <w:tr w:rsidR="003D4369" w:rsidRPr="008017F0" w14:paraId="2AE42DEC" w14:textId="77777777" w:rsidTr="00F33226">
        <w:trPr>
          <w:trHeight w:val="20"/>
        </w:trPr>
        <w:tc>
          <w:tcPr>
            <w:tcW w:w="266" w:type="pct"/>
            <w:tcBorders>
              <w:top w:val="nil"/>
              <w:left w:val="nil"/>
              <w:bottom w:val="nil"/>
              <w:right w:val="nil"/>
            </w:tcBorders>
            <w:noWrap/>
            <w:vAlign w:val="bottom"/>
            <w:hideMark/>
          </w:tcPr>
          <w:p w14:paraId="11031741" w14:textId="77777777" w:rsidR="003D4369" w:rsidRPr="008017F0" w:rsidRDefault="003D4369" w:rsidP="00F33226">
            <w:pPr>
              <w:spacing w:after="0" w:line="240" w:lineRule="auto"/>
              <w:rPr>
                <w:rFonts w:ascii="Times New Roman" w:eastAsia="Times New Roman" w:hAnsi="Times New Roman" w:cs="Times New Roman"/>
                <w:b/>
                <w:bCs/>
                <w:sz w:val="18"/>
                <w:szCs w:val="18"/>
                <w:lang w:val="en-GB" w:eastAsia="it-IT"/>
              </w:rPr>
            </w:pPr>
          </w:p>
        </w:tc>
        <w:tc>
          <w:tcPr>
            <w:tcW w:w="527" w:type="pct"/>
            <w:gridSpan w:val="2"/>
            <w:tcBorders>
              <w:top w:val="single" w:sz="4" w:space="0" w:color="auto"/>
              <w:left w:val="single" w:sz="4" w:space="0" w:color="auto"/>
              <w:bottom w:val="single" w:sz="4" w:space="0" w:color="auto"/>
              <w:right w:val="single" w:sz="4" w:space="0" w:color="auto"/>
            </w:tcBorders>
            <w:noWrap/>
            <w:vAlign w:val="bottom"/>
            <w:hideMark/>
          </w:tcPr>
          <w:p w14:paraId="3E9FD694"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Total </w:t>
            </w:r>
          </w:p>
        </w:tc>
        <w:tc>
          <w:tcPr>
            <w:tcW w:w="448" w:type="pct"/>
            <w:gridSpan w:val="2"/>
            <w:tcBorders>
              <w:top w:val="single" w:sz="4" w:space="0" w:color="auto"/>
              <w:left w:val="nil"/>
              <w:bottom w:val="single" w:sz="4" w:space="0" w:color="auto"/>
              <w:right w:val="single" w:sz="4" w:space="0" w:color="auto"/>
            </w:tcBorders>
            <w:noWrap/>
            <w:vAlign w:val="bottom"/>
            <w:hideMark/>
          </w:tcPr>
          <w:p w14:paraId="14F7CDED"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Core</w:t>
            </w:r>
          </w:p>
        </w:tc>
        <w:tc>
          <w:tcPr>
            <w:tcW w:w="507" w:type="pct"/>
            <w:gridSpan w:val="2"/>
            <w:tcBorders>
              <w:top w:val="single" w:sz="4" w:space="0" w:color="auto"/>
              <w:left w:val="nil"/>
              <w:bottom w:val="single" w:sz="4" w:space="0" w:color="auto"/>
              <w:right w:val="single" w:sz="4" w:space="0" w:color="auto"/>
            </w:tcBorders>
            <w:noWrap/>
            <w:vAlign w:val="bottom"/>
            <w:hideMark/>
          </w:tcPr>
          <w:p w14:paraId="01A3AEA1"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Noncore</w:t>
            </w:r>
          </w:p>
        </w:tc>
        <w:tc>
          <w:tcPr>
            <w:tcW w:w="578" w:type="pct"/>
            <w:gridSpan w:val="2"/>
            <w:tcBorders>
              <w:top w:val="single" w:sz="4" w:space="0" w:color="auto"/>
              <w:left w:val="nil"/>
              <w:bottom w:val="single" w:sz="4" w:space="0" w:color="auto"/>
              <w:right w:val="single" w:sz="4" w:space="0" w:color="auto"/>
            </w:tcBorders>
            <w:noWrap/>
            <w:vAlign w:val="bottom"/>
            <w:hideMark/>
          </w:tcPr>
          <w:p w14:paraId="7F6F0C6F"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Roads</w:t>
            </w:r>
          </w:p>
        </w:tc>
        <w:tc>
          <w:tcPr>
            <w:tcW w:w="505" w:type="pct"/>
            <w:gridSpan w:val="2"/>
            <w:tcBorders>
              <w:top w:val="single" w:sz="4" w:space="0" w:color="auto"/>
              <w:left w:val="nil"/>
              <w:bottom w:val="single" w:sz="4" w:space="0" w:color="auto"/>
              <w:right w:val="single" w:sz="4" w:space="0" w:color="auto"/>
            </w:tcBorders>
            <w:noWrap/>
            <w:vAlign w:val="bottom"/>
            <w:hideMark/>
          </w:tcPr>
          <w:p w14:paraId="623CF622"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Rails</w:t>
            </w:r>
          </w:p>
        </w:tc>
        <w:tc>
          <w:tcPr>
            <w:tcW w:w="505" w:type="pct"/>
            <w:gridSpan w:val="2"/>
            <w:tcBorders>
              <w:top w:val="single" w:sz="4" w:space="0" w:color="auto"/>
              <w:left w:val="nil"/>
              <w:bottom w:val="single" w:sz="4" w:space="0" w:color="auto"/>
              <w:right w:val="single" w:sz="4" w:space="0" w:color="auto"/>
            </w:tcBorders>
            <w:noWrap/>
            <w:vAlign w:val="bottom"/>
            <w:hideMark/>
          </w:tcPr>
          <w:p w14:paraId="57BB6CAA"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Buildings</w:t>
            </w:r>
          </w:p>
        </w:tc>
        <w:tc>
          <w:tcPr>
            <w:tcW w:w="578" w:type="pct"/>
            <w:gridSpan w:val="2"/>
            <w:tcBorders>
              <w:top w:val="single" w:sz="4" w:space="0" w:color="auto"/>
              <w:left w:val="nil"/>
              <w:bottom w:val="single" w:sz="4" w:space="0" w:color="auto"/>
              <w:right w:val="single" w:sz="4" w:space="0" w:color="auto"/>
            </w:tcBorders>
            <w:noWrap/>
            <w:vAlign w:val="bottom"/>
            <w:hideMark/>
          </w:tcPr>
          <w:p w14:paraId="4C448854"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Health</w:t>
            </w:r>
          </w:p>
        </w:tc>
        <w:tc>
          <w:tcPr>
            <w:tcW w:w="578" w:type="pct"/>
            <w:gridSpan w:val="2"/>
            <w:tcBorders>
              <w:top w:val="single" w:sz="4" w:space="0" w:color="auto"/>
              <w:left w:val="nil"/>
              <w:bottom w:val="single" w:sz="4" w:space="0" w:color="auto"/>
              <w:right w:val="single" w:sz="4" w:space="0" w:color="auto"/>
            </w:tcBorders>
            <w:noWrap/>
            <w:vAlign w:val="bottom"/>
            <w:hideMark/>
          </w:tcPr>
          <w:p w14:paraId="7C2EDECC"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Water</w:t>
            </w:r>
          </w:p>
        </w:tc>
        <w:tc>
          <w:tcPr>
            <w:tcW w:w="508" w:type="pct"/>
            <w:gridSpan w:val="2"/>
            <w:tcBorders>
              <w:top w:val="single" w:sz="4" w:space="0" w:color="auto"/>
              <w:left w:val="nil"/>
              <w:bottom w:val="single" w:sz="4" w:space="0" w:color="auto"/>
              <w:right w:val="single" w:sz="4" w:space="0" w:color="auto"/>
            </w:tcBorders>
            <w:noWrap/>
            <w:vAlign w:val="bottom"/>
            <w:hideMark/>
          </w:tcPr>
          <w:p w14:paraId="2D26219C" w14:textId="77777777" w:rsidR="003D4369" w:rsidRPr="008017F0" w:rsidRDefault="003D4369" w:rsidP="00F33226">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Others</w:t>
            </w:r>
          </w:p>
        </w:tc>
      </w:tr>
      <w:tr w:rsidR="003D4369" w:rsidRPr="008017F0" w14:paraId="74F8E53E" w14:textId="77777777" w:rsidTr="00F33226">
        <w:trPr>
          <w:trHeight w:val="20"/>
        </w:trPr>
        <w:tc>
          <w:tcPr>
            <w:tcW w:w="266" w:type="pct"/>
            <w:tcBorders>
              <w:top w:val="nil"/>
              <w:left w:val="nil"/>
              <w:bottom w:val="nil"/>
              <w:right w:val="nil"/>
            </w:tcBorders>
            <w:noWrap/>
            <w:vAlign w:val="bottom"/>
            <w:hideMark/>
          </w:tcPr>
          <w:p w14:paraId="0EC27ED2"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p>
        </w:tc>
        <w:tc>
          <w:tcPr>
            <w:tcW w:w="287" w:type="pct"/>
            <w:tcBorders>
              <w:top w:val="nil"/>
              <w:left w:val="single" w:sz="4" w:space="0" w:color="auto"/>
              <w:bottom w:val="single" w:sz="4" w:space="0" w:color="auto"/>
              <w:right w:val="single" w:sz="4" w:space="0" w:color="auto"/>
            </w:tcBorders>
            <w:noWrap/>
            <w:vAlign w:val="bottom"/>
            <w:hideMark/>
          </w:tcPr>
          <w:p w14:paraId="5687E7B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40" w:type="pct"/>
            <w:tcBorders>
              <w:top w:val="nil"/>
              <w:left w:val="nil"/>
              <w:bottom w:val="single" w:sz="4" w:space="0" w:color="auto"/>
              <w:right w:val="single" w:sz="4" w:space="0" w:color="auto"/>
            </w:tcBorders>
            <w:noWrap/>
            <w:vAlign w:val="bottom"/>
            <w:hideMark/>
          </w:tcPr>
          <w:p w14:paraId="36D18F3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22" w:type="pct"/>
            <w:tcBorders>
              <w:top w:val="nil"/>
              <w:left w:val="nil"/>
              <w:bottom w:val="single" w:sz="4" w:space="0" w:color="auto"/>
              <w:right w:val="single" w:sz="4" w:space="0" w:color="auto"/>
            </w:tcBorders>
            <w:noWrap/>
            <w:vAlign w:val="bottom"/>
            <w:hideMark/>
          </w:tcPr>
          <w:p w14:paraId="206FA66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26" w:type="pct"/>
            <w:tcBorders>
              <w:top w:val="nil"/>
              <w:left w:val="nil"/>
              <w:bottom w:val="single" w:sz="4" w:space="0" w:color="auto"/>
              <w:right w:val="single" w:sz="4" w:space="0" w:color="auto"/>
            </w:tcBorders>
            <w:noWrap/>
            <w:vAlign w:val="bottom"/>
            <w:hideMark/>
          </w:tcPr>
          <w:p w14:paraId="7650194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79E5D04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19" w:type="pct"/>
            <w:tcBorders>
              <w:top w:val="nil"/>
              <w:left w:val="nil"/>
              <w:bottom w:val="single" w:sz="4" w:space="0" w:color="auto"/>
              <w:right w:val="single" w:sz="4" w:space="0" w:color="auto"/>
            </w:tcBorders>
            <w:noWrap/>
            <w:vAlign w:val="bottom"/>
            <w:hideMark/>
          </w:tcPr>
          <w:p w14:paraId="0073B21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71832FA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90" w:type="pct"/>
            <w:tcBorders>
              <w:top w:val="nil"/>
              <w:left w:val="nil"/>
              <w:bottom w:val="single" w:sz="4" w:space="0" w:color="auto"/>
              <w:right w:val="single" w:sz="4" w:space="0" w:color="auto"/>
            </w:tcBorders>
            <w:noWrap/>
            <w:vAlign w:val="bottom"/>
            <w:hideMark/>
          </w:tcPr>
          <w:p w14:paraId="50C7448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079DAD6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17" w:type="pct"/>
            <w:tcBorders>
              <w:top w:val="nil"/>
              <w:left w:val="nil"/>
              <w:bottom w:val="single" w:sz="4" w:space="0" w:color="auto"/>
              <w:right w:val="single" w:sz="4" w:space="0" w:color="auto"/>
            </w:tcBorders>
            <w:noWrap/>
            <w:vAlign w:val="bottom"/>
            <w:hideMark/>
          </w:tcPr>
          <w:p w14:paraId="47128D5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2DC4B6D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17" w:type="pct"/>
            <w:tcBorders>
              <w:top w:val="nil"/>
              <w:left w:val="nil"/>
              <w:bottom w:val="single" w:sz="4" w:space="0" w:color="auto"/>
              <w:right w:val="single" w:sz="4" w:space="0" w:color="auto"/>
            </w:tcBorders>
            <w:noWrap/>
            <w:vAlign w:val="bottom"/>
            <w:hideMark/>
          </w:tcPr>
          <w:p w14:paraId="6EA7427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21AD28A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90" w:type="pct"/>
            <w:tcBorders>
              <w:top w:val="nil"/>
              <w:left w:val="nil"/>
              <w:bottom w:val="single" w:sz="4" w:space="0" w:color="auto"/>
              <w:right w:val="single" w:sz="4" w:space="0" w:color="auto"/>
            </w:tcBorders>
            <w:noWrap/>
            <w:vAlign w:val="bottom"/>
            <w:hideMark/>
          </w:tcPr>
          <w:p w14:paraId="0AFD06F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28007D4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90" w:type="pct"/>
            <w:tcBorders>
              <w:top w:val="nil"/>
              <w:left w:val="nil"/>
              <w:bottom w:val="single" w:sz="4" w:space="0" w:color="auto"/>
              <w:right w:val="single" w:sz="4" w:space="0" w:color="auto"/>
            </w:tcBorders>
            <w:noWrap/>
            <w:vAlign w:val="bottom"/>
            <w:hideMark/>
          </w:tcPr>
          <w:p w14:paraId="35D3074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c>
          <w:tcPr>
            <w:tcW w:w="288" w:type="pct"/>
            <w:tcBorders>
              <w:top w:val="nil"/>
              <w:left w:val="nil"/>
              <w:bottom w:val="single" w:sz="4" w:space="0" w:color="auto"/>
              <w:right w:val="single" w:sz="4" w:space="0" w:color="auto"/>
            </w:tcBorders>
            <w:noWrap/>
            <w:vAlign w:val="bottom"/>
            <w:hideMark/>
          </w:tcPr>
          <w:p w14:paraId="7BCBEE2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1989</w:t>
            </w:r>
          </w:p>
        </w:tc>
        <w:tc>
          <w:tcPr>
            <w:tcW w:w="220" w:type="pct"/>
            <w:tcBorders>
              <w:top w:val="nil"/>
              <w:left w:val="nil"/>
              <w:bottom w:val="single" w:sz="4" w:space="0" w:color="auto"/>
              <w:right w:val="single" w:sz="4" w:space="0" w:color="auto"/>
            </w:tcBorders>
            <w:noWrap/>
            <w:vAlign w:val="bottom"/>
            <w:hideMark/>
          </w:tcPr>
          <w:p w14:paraId="597B946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2019</w:t>
            </w:r>
          </w:p>
        </w:tc>
      </w:tr>
      <w:tr w:rsidR="003D4369" w:rsidRPr="008017F0" w14:paraId="01EBD34B" w14:textId="77777777" w:rsidTr="00F33226">
        <w:trPr>
          <w:trHeight w:val="20"/>
        </w:trPr>
        <w:tc>
          <w:tcPr>
            <w:tcW w:w="266" w:type="pct"/>
            <w:tcBorders>
              <w:top w:val="single" w:sz="4" w:space="0" w:color="auto"/>
              <w:left w:val="single" w:sz="4" w:space="0" w:color="auto"/>
              <w:bottom w:val="single" w:sz="4" w:space="0" w:color="auto"/>
              <w:right w:val="single" w:sz="4" w:space="0" w:color="auto"/>
            </w:tcBorders>
            <w:noWrap/>
            <w:vAlign w:val="bottom"/>
            <w:hideMark/>
          </w:tcPr>
          <w:p w14:paraId="0B7F73B6"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PIE</w:t>
            </w:r>
          </w:p>
        </w:tc>
        <w:tc>
          <w:tcPr>
            <w:tcW w:w="287" w:type="pct"/>
            <w:tcBorders>
              <w:top w:val="nil"/>
              <w:left w:val="nil"/>
              <w:bottom w:val="single" w:sz="4" w:space="0" w:color="auto"/>
              <w:right w:val="single" w:sz="4" w:space="0" w:color="auto"/>
            </w:tcBorders>
            <w:noWrap/>
            <w:vAlign w:val="bottom"/>
            <w:hideMark/>
          </w:tcPr>
          <w:p w14:paraId="3386CE1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40" w:type="pct"/>
            <w:tcBorders>
              <w:top w:val="nil"/>
              <w:left w:val="nil"/>
              <w:bottom w:val="single" w:sz="4" w:space="0" w:color="auto"/>
              <w:right w:val="single" w:sz="4" w:space="0" w:color="auto"/>
            </w:tcBorders>
            <w:noWrap/>
            <w:vAlign w:val="bottom"/>
            <w:hideMark/>
          </w:tcPr>
          <w:p w14:paraId="559CC19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22" w:type="pct"/>
            <w:tcBorders>
              <w:top w:val="nil"/>
              <w:left w:val="nil"/>
              <w:bottom w:val="single" w:sz="4" w:space="0" w:color="auto"/>
              <w:right w:val="single" w:sz="4" w:space="0" w:color="auto"/>
            </w:tcBorders>
            <w:noWrap/>
            <w:vAlign w:val="bottom"/>
            <w:hideMark/>
          </w:tcPr>
          <w:p w14:paraId="79BC708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26" w:type="pct"/>
            <w:tcBorders>
              <w:top w:val="nil"/>
              <w:left w:val="nil"/>
              <w:bottom w:val="single" w:sz="4" w:space="0" w:color="auto"/>
              <w:right w:val="single" w:sz="4" w:space="0" w:color="auto"/>
            </w:tcBorders>
            <w:noWrap/>
            <w:vAlign w:val="bottom"/>
            <w:hideMark/>
          </w:tcPr>
          <w:p w14:paraId="4D36231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30EC213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19" w:type="pct"/>
            <w:tcBorders>
              <w:top w:val="nil"/>
              <w:left w:val="nil"/>
              <w:bottom w:val="single" w:sz="4" w:space="0" w:color="auto"/>
              <w:right w:val="single" w:sz="4" w:space="0" w:color="auto"/>
            </w:tcBorders>
            <w:noWrap/>
            <w:vAlign w:val="bottom"/>
            <w:hideMark/>
          </w:tcPr>
          <w:p w14:paraId="6DC2ECE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6A0672E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90" w:type="pct"/>
            <w:tcBorders>
              <w:top w:val="nil"/>
              <w:left w:val="nil"/>
              <w:bottom w:val="single" w:sz="4" w:space="0" w:color="auto"/>
              <w:right w:val="single" w:sz="4" w:space="0" w:color="auto"/>
            </w:tcBorders>
            <w:noWrap/>
            <w:vAlign w:val="bottom"/>
            <w:hideMark/>
          </w:tcPr>
          <w:p w14:paraId="1472781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0676978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17" w:type="pct"/>
            <w:tcBorders>
              <w:top w:val="nil"/>
              <w:left w:val="nil"/>
              <w:bottom w:val="single" w:sz="4" w:space="0" w:color="auto"/>
              <w:right w:val="single" w:sz="4" w:space="0" w:color="auto"/>
            </w:tcBorders>
            <w:noWrap/>
            <w:vAlign w:val="bottom"/>
            <w:hideMark/>
          </w:tcPr>
          <w:p w14:paraId="0E9ECE5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7D5F767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17" w:type="pct"/>
            <w:tcBorders>
              <w:top w:val="nil"/>
              <w:left w:val="nil"/>
              <w:bottom w:val="single" w:sz="4" w:space="0" w:color="auto"/>
              <w:right w:val="single" w:sz="4" w:space="0" w:color="auto"/>
            </w:tcBorders>
            <w:noWrap/>
            <w:vAlign w:val="bottom"/>
            <w:hideMark/>
          </w:tcPr>
          <w:p w14:paraId="525175C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1A20EB9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90" w:type="pct"/>
            <w:tcBorders>
              <w:top w:val="nil"/>
              <w:left w:val="nil"/>
              <w:bottom w:val="single" w:sz="4" w:space="0" w:color="auto"/>
              <w:right w:val="single" w:sz="4" w:space="0" w:color="auto"/>
            </w:tcBorders>
            <w:noWrap/>
            <w:vAlign w:val="bottom"/>
            <w:hideMark/>
          </w:tcPr>
          <w:p w14:paraId="7BFB3A4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6FF78CA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90" w:type="pct"/>
            <w:tcBorders>
              <w:top w:val="nil"/>
              <w:left w:val="nil"/>
              <w:bottom w:val="single" w:sz="4" w:space="0" w:color="auto"/>
              <w:right w:val="single" w:sz="4" w:space="0" w:color="auto"/>
            </w:tcBorders>
            <w:noWrap/>
            <w:vAlign w:val="bottom"/>
            <w:hideMark/>
          </w:tcPr>
          <w:p w14:paraId="06DB10C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1D1F416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20" w:type="pct"/>
            <w:tcBorders>
              <w:top w:val="nil"/>
              <w:left w:val="nil"/>
              <w:bottom w:val="single" w:sz="4" w:space="0" w:color="auto"/>
              <w:right w:val="single" w:sz="4" w:space="0" w:color="auto"/>
            </w:tcBorders>
            <w:noWrap/>
            <w:vAlign w:val="bottom"/>
            <w:hideMark/>
          </w:tcPr>
          <w:p w14:paraId="531C5B6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r>
      <w:tr w:rsidR="003D4369" w:rsidRPr="008017F0" w14:paraId="7A02DB9B"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4F15994B"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VDA</w:t>
            </w:r>
          </w:p>
        </w:tc>
        <w:tc>
          <w:tcPr>
            <w:tcW w:w="287" w:type="pct"/>
            <w:tcBorders>
              <w:top w:val="nil"/>
              <w:left w:val="nil"/>
              <w:bottom w:val="single" w:sz="4" w:space="0" w:color="auto"/>
              <w:right w:val="single" w:sz="4" w:space="0" w:color="auto"/>
            </w:tcBorders>
            <w:noWrap/>
            <w:vAlign w:val="bottom"/>
            <w:hideMark/>
          </w:tcPr>
          <w:p w14:paraId="0AA6C32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40" w:type="pct"/>
            <w:tcBorders>
              <w:top w:val="nil"/>
              <w:left w:val="nil"/>
              <w:bottom w:val="single" w:sz="4" w:space="0" w:color="auto"/>
              <w:right w:val="single" w:sz="4" w:space="0" w:color="auto"/>
            </w:tcBorders>
            <w:noWrap/>
            <w:vAlign w:val="bottom"/>
            <w:hideMark/>
          </w:tcPr>
          <w:p w14:paraId="3A9A08D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22" w:type="pct"/>
            <w:tcBorders>
              <w:top w:val="nil"/>
              <w:left w:val="nil"/>
              <w:bottom w:val="single" w:sz="4" w:space="0" w:color="auto"/>
              <w:right w:val="single" w:sz="4" w:space="0" w:color="auto"/>
            </w:tcBorders>
            <w:noWrap/>
            <w:vAlign w:val="bottom"/>
            <w:hideMark/>
          </w:tcPr>
          <w:p w14:paraId="4251C6C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26" w:type="pct"/>
            <w:tcBorders>
              <w:top w:val="nil"/>
              <w:left w:val="nil"/>
              <w:bottom w:val="single" w:sz="4" w:space="0" w:color="auto"/>
              <w:right w:val="single" w:sz="4" w:space="0" w:color="auto"/>
            </w:tcBorders>
            <w:noWrap/>
            <w:vAlign w:val="bottom"/>
            <w:hideMark/>
          </w:tcPr>
          <w:p w14:paraId="564342E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6D6AF28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19" w:type="pct"/>
            <w:tcBorders>
              <w:top w:val="nil"/>
              <w:left w:val="nil"/>
              <w:bottom w:val="single" w:sz="4" w:space="0" w:color="auto"/>
              <w:right w:val="single" w:sz="4" w:space="0" w:color="auto"/>
            </w:tcBorders>
            <w:noWrap/>
            <w:vAlign w:val="bottom"/>
            <w:hideMark/>
          </w:tcPr>
          <w:p w14:paraId="3AE832D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78F3225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90" w:type="pct"/>
            <w:tcBorders>
              <w:top w:val="nil"/>
              <w:left w:val="nil"/>
              <w:bottom w:val="single" w:sz="4" w:space="0" w:color="auto"/>
              <w:right w:val="single" w:sz="4" w:space="0" w:color="auto"/>
            </w:tcBorders>
            <w:noWrap/>
            <w:vAlign w:val="bottom"/>
            <w:hideMark/>
          </w:tcPr>
          <w:p w14:paraId="227870D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018CD14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17" w:type="pct"/>
            <w:tcBorders>
              <w:top w:val="nil"/>
              <w:left w:val="nil"/>
              <w:bottom w:val="single" w:sz="4" w:space="0" w:color="auto"/>
              <w:right w:val="single" w:sz="4" w:space="0" w:color="auto"/>
            </w:tcBorders>
            <w:noWrap/>
            <w:vAlign w:val="bottom"/>
            <w:hideMark/>
          </w:tcPr>
          <w:p w14:paraId="124551F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0866E51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17" w:type="pct"/>
            <w:tcBorders>
              <w:top w:val="nil"/>
              <w:left w:val="nil"/>
              <w:bottom w:val="single" w:sz="4" w:space="0" w:color="auto"/>
              <w:right w:val="single" w:sz="4" w:space="0" w:color="auto"/>
            </w:tcBorders>
            <w:noWrap/>
            <w:vAlign w:val="bottom"/>
            <w:hideMark/>
          </w:tcPr>
          <w:p w14:paraId="6E6ED58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2D030A3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90" w:type="pct"/>
            <w:tcBorders>
              <w:top w:val="nil"/>
              <w:left w:val="nil"/>
              <w:bottom w:val="single" w:sz="4" w:space="0" w:color="auto"/>
              <w:right w:val="single" w:sz="4" w:space="0" w:color="auto"/>
            </w:tcBorders>
            <w:noWrap/>
            <w:vAlign w:val="bottom"/>
            <w:hideMark/>
          </w:tcPr>
          <w:p w14:paraId="68AB40B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0CDF4FF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90" w:type="pct"/>
            <w:tcBorders>
              <w:top w:val="nil"/>
              <w:left w:val="nil"/>
              <w:bottom w:val="single" w:sz="4" w:space="0" w:color="auto"/>
              <w:right w:val="single" w:sz="4" w:space="0" w:color="auto"/>
            </w:tcBorders>
            <w:noWrap/>
            <w:vAlign w:val="bottom"/>
            <w:hideMark/>
          </w:tcPr>
          <w:p w14:paraId="6E0B0D7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390FA50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20" w:type="pct"/>
            <w:tcBorders>
              <w:top w:val="nil"/>
              <w:left w:val="nil"/>
              <w:bottom w:val="single" w:sz="4" w:space="0" w:color="auto"/>
              <w:right w:val="single" w:sz="4" w:space="0" w:color="auto"/>
            </w:tcBorders>
            <w:noWrap/>
            <w:vAlign w:val="bottom"/>
            <w:hideMark/>
          </w:tcPr>
          <w:p w14:paraId="283AFCD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r>
      <w:tr w:rsidR="003D4369" w:rsidRPr="008017F0" w14:paraId="4998B104"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5AAFD426"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LIG</w:t>
            </w:r>
          </w:p>
        </w:tc>
        <w:tc>
          <w:tcPr>
            <w:tcW w:w="287" w:type="pct"/>
            <w:tcBorders>
              <w:top w:val="nil"/>
              <w:left w:val="nil"/>
              <w:bottom w:val="single" w:sz="4" w:space="0" w:color="auto"/>
              <w:right w:val="single" w:sz="4" w:space="0" w:color="auto"/>
            </w:tcBorders>
            <w:noWrap/>
            <w:vAlign w:val="bottom"/>
            <w:hideMark/>
          </w:tcPr>
          <w:p w14:paraId="266AA5F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40" w:type="pct"/>
            <w:tcBorders>
              <w:top w:val="nil"/>
              <w:left w:val="nil"/>
              <w:bottom w:val="single" w:sz="4" w:space="0" w:color="auto"/>
              <w:right w:val="single" w:sz="4" w:space="0" w:color="auto"/>
            </w:tcBorders>
            <w:noWrap/>
            <w:vAlign w:val="bottom"/>
            <w:hideMark/>
          </w:tcPr>
          <w:p w14:paraId="646E181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22" w:type="pct"/>
            <w:tcBorders>
              <w:top w:val="nil"/>
              <w:left w:val="nil"/>
              <w:bottom w:val="single" w:sz="4" w:space="0" w:color="auto"/>
              <w:right w:val="single" w:sz="4" w:space="0" w:color="auto"/>
            </w:tcBorders>
            <w:noWrap/>
            <w:vAlign w:val="bottom"/>
            <w:hideMark/>
          </w:tcPr>
          <w:p w14:paraId="6E9E69D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26" w:type="pct"/>
            <w:tcBorders>
              <w:top w:val="nil"/>
              <w:left w:val="nil"/>
              <w:bottom w:val="single" w:sz="4" w:space="0" w:color="auto"/>
              <w:right w:val="single" w:sz="4" w:space="0" w:color="auto"/>
            </w:tcBorders>
            <w:noWrap/>
            <w:vAlign w:val="bottom"/>
            <w:hideMark/>
          </w:tcPr>
          <w:p w14:paraId="4E4F4E3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5379AB5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19" w:type="pct"/>
            <w:tcBorders>
              <w:top w:val="nil"/>
              <w:left w:val="nil"/>
              <w:bottom w:val="single" w:sz="4" w:space="0" w:color="auto"/>
              <w:right w:val="single" w:sz="4" w:space="0" w:color="auto"/>
            </w:tcBorders>
            <w:noWrap/>
            <w:vAlign w:val="bottom"/>
            <w:hideMark/>
          </w:tcPr>
          <w:p w14:paraId="7DAFFEE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63D1CD6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90" w:type="pct"/>
            <w:tcBorders>
              <w:top w:val="nil"/>
              <w:left w:val="nil"/>
              <w:bottom w:val="single" w:sz="4" w:space="0" w:color="auto"/>
              <w:right w:val="single" w:sz="4" w:space="0" w:color="auto"/>
            </w:tcBorders>
            <w:noWrap/>
            <w:vAlign w:val="bottom"/>
            <w:hideMark/>
          </w:tcPr>
          <w:p w14:paraId="02C12C1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47C5B2D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17" w:type="pct"/>
            <w:tcBorders>
              <w:top w:val="nil"/>
              <w:left w:val="nil"/>
              <w:bottom w:val="single" w:sz="4" w:space="0" w:color="auto"/>
              <w:right w:val="single" w:sz="4" w:space="0" w:color="auto"/>
            </w:tcBorders>
            <w:noWrap/>
            <w:vAlign w:val="bottom"/>
            <w:hideMark/>
          </w:tcPr>
          <w:p w14:paraId="0669DFD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26BBD78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17" w:type="pct"/>
            <w:tcBorders>
              <w:top w:val="nil"/>
              <w:left w:val="nil"/>
              <w:bottom w:val="single" w:sz="4" w:space="0" w:color="auto"/>
              <w:right w:val="single" w:sz="4" w:space="0" w:color="auto"/>
            </w:tcBorders>
            <w:noWrap/>
            <w:vAlign w:val="bottom"/>
            <w:hideMark/>
          </w:tcPr>
          <w:p w14:paraId="0F48FD6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7E2E800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90" w:type="pct"/>
            <w:tcBorders>
              <w:top w:val="nil"/>
              <w:left w:val="nil"/>
              <w:bottom w:val="single" w:sz="4" w:space="0" w:color="auto"/>
              <w:right w:val="single" w:sz="4" w:space="0" w:color="auto"/>
            </w:tcBorders>
            <w:noWrap/>
            <w:vAlign w:val="bottom"/>
            <w:hideMark/>
          </w:tcPr>
          <w:p w14:paraId="58F2996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6DF4173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90" w:type="pct"/>
            <w:tcBorders>
              <w:top w:val="nil"/>
              <w:left w:val="nil"/>
              <w:bottom w:val="single" w:sz="4" w:space="0" w:color="auto"/>
              <w:right w:val="single" w:sz="4" w:space="0" w:color="auto"/>
            </w:tcBorders>
            <w:noWrap/>
            <w:vAlign w:val="bottom"/>
            <w:hideMark/>
          </w:tcPr>
          <w:p w14:paraId="482AF95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33AD259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20" w:type="pct"/>
            <w:tcBorders>
              <w:top w:val="nil"/>
              <w:left w:val="nil"/>
              <w:bottom w:val="single" w:sz="4" w:space="0" w:color="auto"/>
              <w:right w:val="single" w:sz="4" w:space="0" w:color="auto"/>
            </w:tcBorders>
            <w:noWrap/>
            <w:vAlign w:val="bottom"/>
            <w:hideMark/>
          </w:tcPr>
          <w:p w14:paraId="14883CF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r>
      <w:tr w:rsidR="003D4369" w:rsidRPr="008017F0" w14:paraId="1C6035DF"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01CBD101"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LOM</w:t>
            </w:r>
          </w:p>
        </w:tc>
        <w:tc>
          <w:tcPr>
            <w:tcW w:w="287" w:type="pct"/>
            <w:tcBorders>
              <w:top w:val="nil"/>
              <w:left w:val="nil"/>
              <w:bottom w:val="single" w:sz="4" w:space="0" w:color="auto"/>
              <w:right w:val="single" w:sz="4" w:space="0" w:color="auto"/>
            </w:tcBorders>
            <w:noWrap/>
            <w:vAlign w:val="bottom"/>
            <w:hideMark/>
          </w:tcPr>
          <w:p w14:paraId="031DD21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40" w:type="pct"/>
            <w:tcBorders>
              <w:top w:val="nil"/>
              <w:left w:val="nil"/>
              <w:bottom w:val="single" w:sz="4" w:space="0" w:color="auto"/>
              <w:right w:val="single" w:sz="4" w:space="0" w:color="auto"/>
            </w:tcBorders>
            <w:noWrap/>
            <w:vAlign w:val="bottom"/>
            <w:hideMark/>
          </w:tcPr>
          <w:p w14:paraId="2A11246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22" w:type="pct"/>
            <w:tcBorders>
              <w:top w:val="nil"/>
              <w:left w:val="nil"/>
              <w:bottom w:val="single" w:sz="4" w:space="0" w:color="auto"/>
              <w:right w:val="single" w:sz="4" w:space="0" w:color="auto"/>
            </w:tcBorders>
            <w:noWrap/>
            <w:vAlign w:val="bottom"/>
            <w:hideMark/>
          </w:tcPr>
          <w:p w14:paraId="6EAD894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26" w:type="pct"/>
            <w:tcBorders>
              <w:top w:val="nil"/>
              <w:left w:val="nil"/>
              <w:bottom w:val="single" w:sz="4" w:space="0" w:color="auto"/>
              <w:right w:val="single" w:sz="4" w:space="0" w:color="auto"/>
            </w:tcBorders>
            <w:noWrap/>
            <w:vAlign w:val="bottom"/>
            <w:hideMark/>
          </w:tcPr>
          <w:p w14:paraId="12785E8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2ECE627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19" w:type="pct"/>
            <w:tcBorders>
              <w:top w:val="nil"/>
              <w:left w:val="nil"/>
              <w:bottom w:val="single" w:sz="4" w:space="0" w:color="auto"/>
              <w:right w:val="single" w:sz="4" w:space="0" w:color="auto"/>
            </w:tcBorders>
            <w:noWrap/>
            <w:vAlign w:val="bottom"/>
            <w:hideMark/>
          </w:tcPr>
          <w:p w14:paraId="3EA5374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63460E1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90" w:type="pct"/>
            <w:tcBorders>
              <w:top w:val="nil"/>
              <w:left w:val="nil"/>
              <w:bottom w:val="single" w:sz="4" w:space="0" w:color="auto"/>
              <w:right w:val="single" w:sz="4" w:space="0" w:color="auto"/>
            </w:tcBorders>
            <w:noWrap/>
            <w:vAlign w:val="bottom"/>
            <w:hideMark/>
          </w:tcPr>
          <w:p w14:paraId="1197286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6EF6AD8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17" w:type="pct"/>
            <w:tcBorders>
              <w:top w:val="nil"/>
              <w:left w:val="nil"/>
              <w:bottom w:val="single" w:sz="4" w:space="0" w:color="auto"/>
              <w:right w:val="single" w:sz="4" w:space="0" w:color="auto"/>
            </w:tcBorders>
            <w:noWrap/>
            <w:vAlign w:val="bottom"/>
            <w:hideMark/>
          </w:tcPr>
          <w:p w14:paraId="086CA66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4B39AA3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17" w:type="pct"/>
            <w:tcBorders>
              <w:top w:val="nil"/>
              <w:left w:val="nil"/>
              <w:bottom w:val="single" w:sz="4" w:space="0" w:color="auto"/>
              <w:right w:val="single" w:sz="4" w:space="0" w:color="auto"/>
            </w:tcBorders>
            <w:noWrap/>
            <w:vAlign w:val="bottom"/>
            <w:hideMark/>
          </w:tcPr>
          <w:p w14:paraId="7E44F60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369F146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90" w:type="pct"/>
            <w:tcBorders>
              <w:top w:val="nil"/>
              <w:left w:val="nil"/>
              <w:bottom w:val="single" w:sz="4" w:space="0" w:color="auto"/>
              <w:right w:val="single" w:sz="4" w:space="0" w:color="auto"/>
            </w:tcBorders>
            <w:noWrap/>
            <w:vAlign w:val="bottom"/>
            <w:hideMark/>
          </w:tcPr>
          <w:p w14:paraId="0FDF881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0D75BDA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90" w:type="pct"/>
            <w:tcBorders>
              <w:top w:val="nil"/>
              <w:left w:val="nil"/>
              <w:bottom w:val="single" w:sz="4" w:space="0" w:color="auto"/>
              <w:right w:val="single" w:sz="4" w:space="0" w:color="auto"/>
            </w:tcBorders>
            <w:noWrap/>
            <w:vAlign w:val="bottom"/>
            <w:hideMark/>
          </w:tcPr>
          <w:p w14:paraId="78FA09A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2B5074C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20" w:type="pct"/>
            <w:tcBorders>
              <w:top w:val="nil"/>
              <w:left w:val="nil"/>
              <w:bottom w:val="single" w:sz="4" w:space="0" w:color="auto"/>
              <w:right w:val="single" w:sz="4" w:space="0" w:color="auto"/>
            </w:tcBorders>
            <w:noWrap/>
            <w:vAlign w:val="bottom"/>
            <w:hideMark/>
          </w:tcPr>
          <w:p w14:paraId="489BCEF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r>
      <w:tr w:rsidR="003D4369" w:rsidRPr="008017F0" w14:paraId="2FFA9D43"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31FF78D0"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TAA</w:t>
            </w:r>
          </w:p>
        </w:tc>
        <w:tc>
          <w:tcPr>
            <w:tcW w:w="287" w:type="pct"/>
            <w:tcBorders>
              <w:top w:val="nil"/>
              <w:left w:val="nil"/>
              <w:bottom w:val="single" w:sz="4" w:space="0" w:color="auto"/>
              <w:right w:val="single" w:sz="4" w:space="0" w:color="auto"/>
            </w:tcBorders>
            <w:noWrap/>
            <w:vAlign w:val="bottom"/>
            <w:hideMark/>
          </w:tcPr>
          <w:p w14:paraId="30CAA45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40" w:type="pct"/>
            <w:tcBorders>
              <w:top w:val="nil"/>
              <w:left w:val="nil"/>
              <w:bottom w:val="single" w:sz="4" w:space="0" w:color="auto"/>
              <w:right w:val="single" w:sz="4" w:space="0" w:color="auto"/>
            </w:tcBorders>
            <w:noWrap/>
            <w:vAlign w:val="bottom"/>
            <w:hideMark/>
          </w:tcPr>
          <w:p w14:paraId="69109E0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22" w:type="pct"/>
            <w:tcBorders>
              <w:top w:val="nil"/>
              <w:left w:val="nil"/>
              <w:bottom w:val="single" w:sz="4" w:space="0" w:color="auto"/>
              <w:right w:val="single" w:sz="4" w:space="0" w:color="auto"/>
            </w:tcBorders>
            <w:noWrap/>
            <w:vAlign w:val="bottom"/>
            <w:hideMark/>
          </w:tcPr>
          <w:p w14:paraId="3D8CA59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26" w:type="pct"/>
            <w:tcBorders>
              <w:top w:val="nil"/>
              <w:left w:val="nil"/>
              <w:bottom w:val="single" w:sz="4" w:space="0" w:color="auto"/>
              <w:right w:val="single" w:sz="4" w:space="0" w:color="auto"/>
            </w:tcBorders>
            <w:noWrap/>
            <w:vAlign w:val="bottom"/>
            <w:hideMark/>
          </w:tcPr>
          <w:p w14:paraId="57B8E97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6BE17E1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19" w:type="pct"/>
            <w:tcBorders>
              <w:top w:val="nil"/>
              <w:left w:val="nil"/>
              <w:bottom w:val="single" w:sz="4" w:space="0" w:color="auto"/>
              <w:right w:val="single" w:sz="4" w:space="0" w:color="auto"/>
            </w:tcBorders>
            <w:noWrap/>
            <w:vAlign w:val="bottom"/>
            <w:hideMark/>
          </w:tcPr>
          <w:p w14:paraId="44AF9FA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208CE5B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90" w:type="pct"/>
            <w:tcBorders>
              <w:top w:val="nil"/>
              <w:left w:val="nil"/>
              <w:bottom w:val="single" w:sz="4" w:space="0" w:color="auto"/>
              <w:right w:val="single" w:sz="4" w:space="0" w:color="auto"/>
            </w:tcBorders>
            <w:noWrap/>
            <w:vAlign w:val="bottom"/>
            <w:hideMark/>
          </w:tcPr>
          <w:p w14:paraId="5856919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0C1B8F4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17" w:type="pct"/>
            <w:tcBorders>
              <w:top w:val="nil"/>
              <w:left w:val="nil"/>
              <w:bottom w:val="single" w:sz="4" w:space="0" w:color="auto"/>
              <w:right w:val="single" w:sz="4" w:space="0" w:color="auto"/>
            </w:tcBorders>
            <w:noWrap/>
            <w:vAlign w:val="bottom"/>
            <w:hideMark/>
          </w:tcPr>
          <w:p w14:paraId="1854F06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0D96CC0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17" w:type="pct"/>
            <w:tcBorders>
              <w:top w:val="nil"/>
              <w:left w:val="nil"/>
              <w:bottom w:val="single" w:sz="4" w:space="0" w:color="auto"/>
              <w:right w:val="single" w:sz="4" w:space="0" w:color="auto"/>
            </w:tcBorders>
            <w:noWrap/>
            <w:vAlign w:val="bottom"/>
            <w:hideMark/>
          </w:tcPr>
          <w:p w14:paraId="6D1DD5A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2C9A287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90" w:type="pct"/>
            <w:tcBorders>
              <w:top w:val="nil"/>
              <w:left w:val="nil"/>
              <w:bottom w:val="single" w:sz="4" w:space="0" w:color="auto"/>
              <w:right w:val="single" w:sz="4" w:space="0" w:color="auto"/>
            </w:tcBorders>
            <w:noWrap/>
            <w:vAlign w:val="bottom"/>
            <w:hideMark/>
          </w:tcPr>
          <w:p w14:paraId="310FD52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4771AE5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90" w:type="pct"/>
            <w:tcBorders>
              <w:top w:val="nil"/>
              <w:left w:val="nil"/>
              <w:bottom w:val="single" w:sz="4" w:space="0" w:color="auto"/>
              <w:right w:val="single" w:sz="4" w:space="0" w:color="auto"/>
            </w:tcBorders>
            <w:noWrap/>
            <w:vAlign w:val="bottom"/>
            <w:hideMark/>
          </w:tcPr>
          <w:p w14:paraId="6F39D94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19526AC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20" w:type="pct"/>
            <w:tcBorders>
              <w:top w:val="nil"/>
              <w:left w:val="nil"/>
              <w:bottom w:val="single" w:sz="4" w:space="0" w:color="auto"/>
              <w:right w:val="single" w:sz="4" w:space="0" w:color="auto"/>
            </w:tcBorders>
            <w:noWrap/>
            <w:vAlign w:val="bottom"/>
            <w:hideMark/>
          </w:tcPr>
          <w:p w14:paraId="09D79EF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r>
      <w:tr w:rsidR="003D4369" w:rsidRPr="008017F0" w14:paraId="6F3A291E"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3C6FCEE9"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VEN</w:t>
            </w:r>
          </w:p>
        </w:tc>
        <w:tc>
          <w:tcPr>
            <w:tcW w:w="287" w:type="pct"/>
            <w:tcBorders>
              <w:top w:val="nil"/>
              <w:left w:val="nil"/>
              <w:bottom w:val="single" w:sz="4" w:space="0" w:color="auto"/>
              <w:right w:val="single" w:sz="4" w:space="0" w:color="auto"/>
            </w:tcBorders>
            <w:noWrap/>
            <w:vAlign w:val="bottom"/>
            <w:hideMark/>
          </w:tcPr>
          <w:p w14:paraId="286183A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40" w:type="pct"/>
            <w:tcBorders>
              <w:top w:val="nil"/>
              <w:left w:val="nil"/>
              <w:bottom w:val="single" w:sz="4" w:space="0" w:color="auto"/>
              <w:right w:val="single" w:sz="4" w:space="0" w:color="auto"/>
            </w:tcBorders>
            <w:noWrap/>
            <w:vAlign w:val="bottom"/>
            <w:hideMark/>
          </w:tcPr>
          <w:p w14:paraId="4003A02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22" w:type="pct"/>
            <w:tcBorders>
              <w:top w:val="nil"/>
              <w:left w:val="nil"/>
              <w:bottom w:val="single" w:sz="4" w:space="0" w:color="auto"/>
              <w:right w:val="single" w:sz="4" w:space="0" w:color="auto"/>
            </w:tcBorders>
            <w:noWrap/>
            <w:vAlign w:val="bottom"/>
            <w:hideMark/>
          </w:tcPr>
          <w:p w14:paraId="66243B9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26" w:type="pct"/>
            <w:tcBorders>
              <w:top w:val="nil"/>
              <w:left w:val="nil"/>
              <w:bottom w:val="single" w:sz="4" w:space="0" w:color="auto"/>
              <w:right w:val="single" w:sz="4" w:space="0" w:color="auto"/>
            </w:tcBorders>
            <w:noWrap/>
            <w:vAlign w:val="bottom"/>
            <w:hideMark/>
          </w:tcPr>
          <w:p w14:paraId="170E922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250ABA6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19" w:type="pct"/>
            <w:tcBorders>
              <w:top w:val="nil"/>
              <w:left w:val="nil"/>
              <w:bottom w:val="single" w:sz="4" w:space="0" w:color="auto"/>
              <w:right w:val="single" w:sz="4" w:space="0" w:color="auto"/>
            </w:tcBorders>
            <w:noWrap/>
            <w:vAlign w:val="bottom"/>
            <w:hideMark/>
          </w:tcPr>
          <w:p w14:paraId="279D535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5992EF3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90" w:type="pct"/>
            <w:tcBorders>
              <w:top w:val="nil"/>
              <w:left w:val="nil"/>
              <w:bottom w:val="single" w:sz="4" w:space="0" w:color="auto"/>
              <w:right w:val="single" w:sz="4" w:space="0" w:color="auto"/>
            </w:tcBorders>
            <w:noWrap/>
            <w:vAlign w:val="bottom"/>
            <w:hideMark/>
          </w:tcPr>
          <w:p w14:paraId="74F1180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6033C41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17" w:type="pct"/>
            <w:tcBorders>
              <w:top w:val="nil"/>
              <w:left w:val="nil"/>
              <w:bottom w:val="single" w:sz="4" w:space="0" w:color="auto"/>
              <w:right w:val="single" w:sz="4" w:space="0" w:color="auto"/>
            </w:tcBorders>
            <w:noWrap/>
            <w:vAlign w:val="bottom"/>
            <w:hideMark/>
          </w:tcPr>
          <w:p w14:paraId="3CF5C63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3BC250D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17" w:type="pct"/>
            <w:tcBorders>
              <w:top w:val="nil"/>
              <w:left w:val="nil"/>
              <w:bottom w:val="single" w:sz="4" w:space="0" w:color="auto"/>
              <w:right w:val="single" w:sz="4" w:space="0" w:color="auto"/>
            </w:tcBorders>
            <w:noWrap/>
            <w:vAlign w:val="bottom"/>
            <w:hideMark/>
          </w:tcPr>
          <w:p w14:paraId="28A3798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2279355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90" w:type="pct"/>
            <w:tcBorders>
              <w:top w:val="nil"/>
              <w:left w:val="nil"/>
              <w:bottom w:val="single" w:sz="4" w:space="0" w:color="auto"/>
              <w:right w:val="single" w:sz="4" w:space="0" w:color="auto"/>
            </w:tcBorders>
            <w:noWrap/>
            <w:vAlign w:val="bottom"/>
            <w:hideMark/>
          </w:tcPr>
          <w:p w14:paraId="1EFF03A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383CAD8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90" w:type="pct"/>
            <w:tcBorders>
              <w:top w:val="nil"/>
              <w:left w:val="nil"/>
              <w:bottom w:val="single" w:sz="4" w:space="0" w:color="auto"/>
              <w:right w:val="single" w:sz="4" w:space="0" w:color="auto"/>
            </w:tcBorders>
            <w:noWrap/>
            <w:vAlign w:val="bottom"/>
            <w:hideMark/>
          </w:tcPr>
          <w:p w14:paraId="0AD92DC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48BD945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20" w:type="pct"/>
            <w:tcBorders>
              <w:top w:val="nil"/>
              <w:left w:val="nil"/>
              <w:bottom w:val="single" w:sz="4" w:space="0" w:color="auto"/>
              <w:right w:val="single" w:sz="4" w:space="0" w:color="auto"/>
            </w:tcBorders>
            <w:noWrap/>
            <w:vAlign w:val="bottom"/>
            <w:hideMark/>
          </w:tcPr>
          <w:p w14:paraId="2BF19DA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r>
      <w:tr w:rsidR="003D4369" w:rsidRPr="008017F0" w14:paraId="5D67B0AB"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2548641A"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FVG</w:t>
            </w:r>
          </w:p>
        </w:tc>
        <w:tc>
          <w:tcPr>
            <w:tcW w:w="287" w:type="pct"/>
            <w:tcBorders>
              <w:top w:val="nil"/>
              <w:left w:val="nil"/>
              <w:bottom w:val="single" w:sz="4" w:space="0" w:color="auto"/>
              <w:right w:val="single" w:sz="4" w:space="0" w:color="auto"/>
            </w:tcBorders>
            <w:noWrap/>
            <w:vAlign w:val="bottom"/>
            <w:hideMark/>
          </w:tcPr>
          <w:p w14:paraId="65350B3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40" w:type="pct"/>
            <w:tcBorders>
              <w:top w:val="nil"/>
              <w:left w:val="nil"/>
              <w:bottom w:val="single" w:sz="4" w:space="0" w:color="auto"/>
              <w:right w:val="single" w:sz="4" w:space="0" w:color="auto"/>
            </w:tcBorders>
            <w:noWrap/>
            <w:vAlign w:val="bottom"/>
            <w:hideMark/>
          </w:tcPr>
          <w:p w14:paraId="3EFB372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22" w:type="pct"/>
            <w:tcBorders>
              <w:top w:val="nil"/>
              <w:left w:val="nil"/>
              <w:bottom w:val="single" w:sz="4" w:space="0" w:color="auto"/>
              <w:right w:val="single" w:sz="4" w:space="0" w:color="auto"/>
            </w:tcBorders>
            <w:noWrap/>
            <w:vAlign w:val="bottom"/>
            <w:hideMark/>
          </w:tcPr>
          <w:p w14:paraId="467FEA0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26" w:type="pct"/>
            <w:tcBorders>
              <w:top w:val="nil"/>
              <w:left w:val="nil"/>
              <w:bottom w:val="single" w:sz="4" w:space="0" w:color="auto"/>
              <w:right w:val="single" w:sz="4" w:space="0" w:color="auto"/>
            </w:tcBorders>
            <w:noWrap/>
            <w:vAlign w:val="bottom"/>
            <w:hideMark/>
          </w:tcPr>
          <w:p w14:paraId="3440CE2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3530907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19" w:type="pct"/>
            <w:tcBorders>
              <w:top w:val="nil"/>
              <w:left w:val="nil"/>
              <w:bottom w:val="single" w:sz="4" w:space="0" w:color="auto"/>
              <w:right w:val="single" w:sz="4" w:space="0" w:color="auto"/>
            </w:tcBorders>
            <w:noWrap/>
            <w:vAlign w:val="bottom"/>
            <w:hideMark/>
          </w:tcPr>
          <w:p w14:paraId="232231B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71D929B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90" w:type="pct"/>
            <w:tcBorders>
              <w:top w:val="nil"/>
              <w:left w:val="nil"/>
              <w:bottom w:val="single" w:sz="4" w:space="0" w:color="auto"/>
              <w:right w:val="single" w:sz="4" w:space="0" w:color="auto"/>
            </w:tcBorders>
            <w:noWrap/>
            <w:vAlign w:val="bottom"/>
            <w:hideMark/>
          </w:tcPr>
          <w:p w14:paraId="332155B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20E18B2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17" w:type="pct"/>
            <w:tcBorders>
              <w:top w:val="nil"/>
              <w:left w:val="nil"/>
              <w:bottom w:val="single" w:sz="4" w:space="0" w:color="auto"/>
              <w:right w:val="single" w:sz="4" w:space="0" w:color="auto"/>
            </w:tcBorders>
            <w:noWrap/>
            <w:vAlign w:val="bottom"/>
            <w:hideMark/>
          </w:tcPr>
          <w:p w14:paraId="07A4D3F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5964F21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17" w:type="pct"/>
            <w:tcBorders>
              <w:top w:val="nil"/>
              <w:left w:val="nil"/>
              <w:bottom w:val="single" w:sz="4" w:space="0" w:color="auto"/>
              <w:right w:val="single" w:sz="4" w:space="0" w:color="auto"/>
            </w:tcBorders>
            <w:noWrap/>
            <w:vAlign w:val="bottom"/>
            <w:hideMark/>
          </w:tcPr>
          <w:p w14:paraId="10A929A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44AF29A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90" w:type="pct"/>
            <w:tcBorders>
              <w:top w:val="nil"/>
              <w:left w:val="nil"/>
              <w:bottom w:val="single" w:sz="4" w:space="0" w:color="auto"/>
              <w:right w:val="single" w:sz="4" w:space="0" w:color="auto"/>
            </w:tcBorders>
            <w:noWrap/>
            <w:vAlign w:val="bottom"/>
            <w:hideMark/>
          </w:tcPr>
          <w:p w14:paraId="0EDDEAE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72893D5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90" w:type="pct"/>
            <w:tcBorders>
              <w:top w:val="nil"/>
              <w:left w:val="nil"/>
              <w:bottom w:val="single" w:sz="4" w:space="0" w:color="auto"/>
              <w:right w:val="single" w:sz="4" w:space="0" w:color="auto"/>
            </w:tcBorders>
            <w:noWrap/>
            <w:vAlign w:val="bottom"/>
            <w:hideMark/>
          </w:tcPr>
          <w:p w14:paraId="1604016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32B5FC5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20" w:type="pct"/>
            <w:tcBorders>
              <w:top w:val="nil"/>
              <w:left w:val="nil"/>
              <w:bottom w:val="single" w:sz="4" w:space="0" w:color="auto"/>
              <w:right w:val="single" w:sz="4" w:space="0" w:color="auto"/>
            </w:tcBorders>
            <w:noWrap/>
            <w:vAlign w:val="bottom"/>
            <w:hideMark/>
          </w:tcPr>
          <w:p w14:paraId="0A9DA8F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r>
      <w:tr w:rsidR="003D4369" w:rsidRPr="008017F0" w14:paraId="2096480B"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6DF17F03"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EMR</w:t>
            </w:r>
          </w:p>
        </w:tc>
        <w:tc>
          <w:tcPr>
            <w:tcW w:w="287" w:type="pct"/>
            <w:tcBorders>
              <w:top w:val="nil"/>
              <w:left w:val="nil"/>
              <w:bottom w:val="single" w:sz="4" w:space="0" w:color="auto"/>
              <w:right w:val="single" w:sz="4" w:space="0" w:color="auto"/>
            </w:tcBorders>
            <w:noWrap/>
            <w:vAlign w:val="bottom"/>
            <w:hideMark/>
          </w:tcPr>
          <w:p w14:paraId="64A28FB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40" w:type="pct"/>
            <w:tcBorders>
              <w:top w:val="nil"/>
              <w:left w:val="nil"/>
              <w:bottom w:val="single" w:sz="4" w:space="0" w:color="auto"/>
              <w:right w:val="single" w:sz="4" w:space="0" w:color="auto"/>
            </w:tcBorders>
            <w:noWrap/>
            <w:vAlign w:val="bottom"/>
            <w:hideMark/>
          </w:tcPr>
          <w:p w14:paraId="4B6F986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22" w:type="pct"/>
            <w:tcBorders>
              <w:top w:val="nil"/>
              <w:left w:val="nil"/>
              <w:bottom w:val="single" w:sz="4" w:space="0" w:color="auto"/>
              <w:right w:val="single" w:sz="4" w:space="0" w:color="auto"/>
            </w:tcBorders>
            <w:noWrap/>
            <w:vAlign w:val="bottom"/>
            <w:hideMark/>
          </w:tcPr>
          <w:p w14:paraId="1335664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26" w:type="pct"/>
            <w:tcBorders>
              <w:top w:val="nil"/>
              <w:left w:val="nil"/>
              <w:bottom w:val="single" w:sz="4" w:space="0" w:color="auto"/>
              <w:right w:val="single" w:sz="4" w:space="0" w:color="auto"/>
            </w:tcBorders>
            <w:noWrap/>
            <w:vAlign w:val="bottom"/>
            <w:hideMark/>
          </w:tcPr>
          <w:p w14:paraId="02A09B1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666B76A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19" w:type="pct"/>
            <w:tcBorders>
              <w:top w:val="nil"/>
              <w:left w:val="nil"/>
              <w:bottom w:val="single" w:sz="4" w:space="0" w:color="auto"/>
              <w:right w:val="single" w:sz="4" w:space="0" w:color="auto"/>
            </w:tcBorders>
            <w:noWrap/>
            <w:vAlign w:val="bottom"/>
            <w:hideMark/>
          </w:tcPr>
          <w:p w14:paraId="43B4040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6C0BF1E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90" w:type="pct"/>
            <w:tcBorders>
              <w:top w:val="nil"/>
              <w:left w:val="nil"/>
              <w:bottom w:val="single" w:sz="4" w:space="0" w:color="auto"/>
              <w:right w:val="single" w:sz="4" w:space="0" w:color="auto"/>
            </w:tcBorders>
            <w:noWrap/>
            <w:vAlign w:val="bottom"/>
            <w:hideMark/>
          </w:tcPr>
          <w:p w14:paraId="214B6DC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65BF3CB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17" w:type="pct"/>
            <w:tcBorders>
              <w:top w:val="nil"/>
              <w:left w:val="nil"/>
              <w:bottom w:val="single" w:sz="4" w:space="0" w:color="auto"/>
              <w:right w:val="single" w:sz="4" w:space="0" w:color="auto"/>
            </w:tcBorders>
            <w:noWrap/>
            <w:vAlign w:val="bottom"/>
            <w:hideMark/>
          </w:tcPr>
          <w:p w14:paraId="748A098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6E9B9AD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17" w:type="pct"/>
            <w:tcBorders>
              <w:top w:val="nil"/>
              <w:left w:val="nil"/>
              <w:bottom w:val="single" w:sz="4" w:space="0" w:color="auto"/>
              <w:right w:val="single" w:sz="4" w:space="0" w:color="auto"/>
            </w:tcBorders>
            <w:noWrap/>
            <w:vAlign w:val="bottom"/>
            <w:hideMark/>
          </w:tcPr>
          <w:p w14:paraId="628F0EA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2531141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90" w:type="pct"/>
            <w:tcBorders>
              <w:top w:val="nil"/>
              <w:left w:val="nil"/>
              <w:bottom w:val="single" w:sz="4" w:space="0" w:color="auto"/>
              <w:right w:val="single" w:sz="4" w:space="0" w:color="auto"/>
            </w:tcBorders>
            <w:noWrap/>
            <w:vAlign w:val="bottom"/>
            <w:hideMark/>
          </w:tcPr>
          <w:p w14:paraId="66DBF1B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1ED5115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90" w:type="pct"/>
            <w:tcBorders>
              <w:top w:val="nil"/>
              <w:left w:val="nil"/>
              <w:bottom w:val="single" w:sz="4" w:space="0" w:color="auto"/>
              <w:right w:val="single" w:sz="4" w:space="0" w:color="auto"/>
            </w:tcBorders>
            <w:noWrap/>
            <w:vAlign w:val="bottom"/>
            <w:hideMark/>
          </w:tcPr>
          <w:p w14:paraId="6F07D76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1ADE7FB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20" w:type="pct"/>
            <w:tcBorders>
              <w:top w:val="nil"/>
              <w:left w:val="nil"/>
              <w:bottom w:val="single" w:sz="4" w:space="0" w:color="auto"/>
              <w:right w:val="single" w:sz="4" w:space="0" w:color="auto"/>
            </w:tcBorders>
            <w:noWrap/>
            <w:vAlign w:val="bottom"/>
            <w:hideMark/>
          </w:tcPr>
          <w:p w14:paraId="64D6D42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r>
      <w:tr w:rsidR="003D4369" w:rsidRPr="008017F0" w14:paraId="195C94D5"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4056A058"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TOS</w:t>
            </w:r>
          </w:p>
        </w:tc>
        <w:tc>
          <w:tcPr>
            <w:tcW w:w="287" w:type="pct"/>
            <w:tcBorders>
              <w:top w:val="nil"/>
              <w:left w:val="nil"/>
              <w:bottom w:val="single" w:sz="4" w:space="0" w:color="auto"/>
              <w:right w:val="single" w:sz="4" w:space="0" w:color="auto"/>
            </w:tcBorders>
            <w:noWrap/>
            <w:vAlign w:val="bottom"/>
            <w:hideMark/>
          </w:tcPr>
          <w:p w14:paraId="56521B5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40" w:type="pct"/>
            <w:tcBorders>
              <w:top w:val="nil"/>
              <w:left w:val="nil"/>
              <w:bottom w:val="single" w:sz="4" w:space="0" w:color="auto"/>
              <w:right w:val="single" w:sz="4" w:space="0" w:color="auto"/>
            </w:tcBorders>
            <w:noWrap/>
            <w:vAlign w:val="bottom"/>
            <w:hideMark/>
          </w:tcPr>
          <w:p w14:paraId="26EFF4D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22" w:type="pct"/>
            <w:tcBorders>
              <w:top w:val="nil"/>
              <w:left w:val="nil"/>
              <w:bottom w:val="single" w:sz="4" w:space="0" w:color="auto"/>
              <w:right w:val="single" w:sz="4" w:space="0" w:color="auto"/>
            </w:tcBorders>
            <w:noWrap/>
            <w:vAlign w:val="bottom"/>
            <w:hideMark/>
          </w:tcPr>
          <w:p w14:paraId="5E905E8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26" w:type="pct"/>
            <w:tcBorders>
              <w:top w:val="nil"/>
              <w:left w:val="nil"/>
              <w:bottom w:val="single" w:sz="4" w:space="0" w:color="auto"/>
              <w:right w:val="single" w:sz="4" w:space="0" w:color="auto"/>
            </w:tcBorders>
            <w:noWrap/>
            <w:vAlign w:val="bottom"/>
            <w:hideMark/>
          </w:tcPr>
          <w:p w14:paraId="63864D8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32585B7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19" w:type="pct"/>
            <w:tcBorders>
              <w:top w:val="nil"/>
              <w:left w:val="nil"/>
              <w:bottom w:val="single" w:sz="4" w:space="0" w:color="auto"/>
              <w:right w:val="single" w:sz="4" w:space="0" w:color="auto"/>
            </w:tcBorders>
            <w:noWrap/>
            <w:vAlign w:val="bottom"/>
            <w:hideMark/>
          </w:tcPr>
          <w:p w14:paraId="02BA3CB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3DB76FA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90" w:type="pct"/>
            <w:tcBorders>
              <w:top w:val="nil"/>
              <w:left w:val="nil"/>
              <w:bottom w:val="single" w:sz="4" w:space="0" w:color="auto"/>
              <w:right w:val="single" w:sz="4" w:space="0" w:color="auto"/>
            </w:tcBorders>
            <w:noWrap/>
            <w:vAlign w:val="bottom"/>
            <w:hideMark/>
          </w:tcPr>
          <w:p w14:paraId="41431E3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46EB8FA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17" w:type="pct"/>
            <w:tcBorders>
              <w:top w:val="nil"/>
              <w:left w:val="nil"/>
              <w:bottom w:val="single" w:sz="4" w:space="0" w:color="auto"/>
              <w:right w:val="single" w:sz="4" w:space="0" w:color="auto"/>
            </w:tcBorders>
            <w:noWrap/>
            <w:vAlign w:val="bottom"/>
            <w:hideMark/>
          </w:tcPr>
          <w:p w14:paraId="55F1F74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3EA8CFF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17" w:type="pct"/>
            <w:tcBorders>
              <w:top w:val="nil"/>
              <w:left w:val="nil"/>
              <w:bottom w:val="single" w:sz="4" w:space="0" w:color="auto"/>
              <w:right w:val="single" w:sz="4" w:space="0" w:color="auto"/>
            </w:tcBorders>
            <w:noWrap/>
            <w:vAlign w:val="bottom"/>
            <w:hideMark/>
          </w:tcPr>
          <w:p w14:paraId="6D3FEB4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4832293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90" w:type="pct"/>
            <w:tcBorders>
              <w:top w:val="nil"/>
              <w:left w:val="nil"/>
              <w:bottom w:val="single" w:sz="4" w:space="0" w:color="auto"/>
              <w:right w:val="single" w:sz="4" w:space="0" w:color="auto"/>
            </w:tcBorders>
            <w:noWrap/>
            <w:vAlign w:val="bottom"/>
            <w:hideMark/>
          </w:tcPr>
          <w:p w14:paraId="4763C06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58D9FE3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90" w:type="pct"/>
            <w:tcBorders>
              <w:top w:val="nil"/>
              <w:left w:val="nil"/>
              <w:bottom w:val="single" w:sz="4" w:space="0" w:color="auto"/>
              <w:right w:val="single" w:sz="4" w:space="0" w:color="auto"/>
            </w:tcBorders>
            <w:noWrap/>
            <w:vAlign w:val="bottom"/>
            <w:hideMark/>
          </w:tcPr>
          <w:p w14:paraId="3DF9B3E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2F76B84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20" w:type="pct"/>
            <w:tcBorders>
              <w:top w:val="nil"/>
              <w:left w:val="nil"/>
              <w:bottom w:val="single" w:sz="4" w:space="0" w:color="auto"/>
              <w:right w:val="single" w:sz="4" w:space="0" w:color="auto"/>
            </w:tcBorders>
            <w:noWrap/>
            <w:vAlign w:val="bottom"/>
            <w:hideMark/>
          </w:tcPr>
          <w:p w14:paraId="788820B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r>
      <w:tr w:rsidR="003D4369" w:rsidRPr="008017F0" w14:paraId="5428A035"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0FC65C44"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UMB</w:t>
            </w:r>
          </w:p>
        </w:tc>
        <w:tc>
          <w:tcPr>
            <w:tcW w:w="287" w:type="pct"/>
            <w:tcBorders>
              <w:top w:val="nil"/>
              <w:left w:val="nil"/>
              <w:bottom w:val="single" w:sz="4" w:space="0" w:color="auto"/>
              <w:right w:val="single" w:sz="4" w:space="0" w:color="auto"/>
            </w:tcBorders>
            <w:noWrap/>
            <w:vAlign w:val="bottom"/>
            <w:hideMark/>
          </w:tcPr>
          <w:p w14:paraId="47CE489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40" w:type="pct"/>
            <w:tcBorders>
              <w:top w:val="nil"/>
              <w:left w:val="nil"/>
              <w:bottom w:val="single" w:sz="4" w:space="0" w:color="auto"/>
              <w:right w:val="single" w:sz="4" w:space="0" w:color="auto"/>
            </w:tcBorders>
            <w:noWrap/>
            <w:vAlign w:val="bottom"/>
            <w:hideMark/>
          </w:tcPr>
          <w:p w14:paraId="4FC4737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22" w:type="pct"/>
            <w:tcBorders>
              <w:top w:val="nil"/>
              <w:left w:val="nil"/>
              <w:bottom w:val="single" w:sz="4" w:space="0" w:color="auto"/>
              <w:right w:val="single" w:sz="4" w:space="0" w:color="auto"/>
            </w:tcBorders>
            <w:noWrap/>
            <w:vAlign w:val="bottom"/>
            <w:hideMark/>
          </w:tcPr>
          <w:p w14:paraId="3E8DB00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26" w:type="pct"/>
            <w:tcBorders>
              <w:top w:val="nil"/>
              <w:left w:val="nil"/>
              <w:bottom w:val="single" w:sz="4" w:space="0" w:color="auto"/>
              <w:right w:val="single" w:sz="4" w:space="0" w:color="auto"/>
            </w:tcBorders>
            <w:noWrap/>
            <w:vAlign w:val="bottom"/>
            <w:hideMark/>
          </w:tcPr>
          <w:p w14:paraId="5CA7180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11514DF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19" w:type="pct"/>
            <w:tcBorders>
              <w:top w:val="nil"/>
              <w:left w:val="nil"/>
              <w:bottom w:val="single" w:sz="4" w:space="0" w:color="auto"/>
              <w:right w:val="single" w:sz="4" w:space="0" w:color="auto"/>
            </w:tcBorders>
            <w:noWrap/>
            <w:vAlign w:val="bottom"/>
            <w:hideMark/>
          </w:tcPr>
          <w:p w14:paraId="7729920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10D46D2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90" w:type="pct"/>
            <w:tcBorders>
              <w:top w:val="nil"/>
              <w:left w:val="nil"/>
              <w:bottom w:val="single" w:sz="4" w:space="0" w:color="auto"/>
              <w:right w:val="single" w:sz="4" w:space="0" w:color="auto"/>
            </w:tcBorders>
            <w:noWrap/>
            <w:vAlign w:val="bottom"/>
            <w:hideMark/>
          </w:tcPr>
          <w:p w14:paraId="406BB9F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7FC957C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17" w:type="pct"/>
            <w:tcBorders>
              <w:top w:val="nil"/>
              <w:left w:val="nil"/>
              <w:bottom w:val="single" w:sz="4" w:space="0" w:color="auto"/>
              <w:right w:val="single" w:sz="4" w:space="0" w:color="auto"/>
            </w:tcBorders>
            <w:noWrap/>
            <w:vAlign w:val="bottom"/>
            <w:hideMark/>
          </w:tcPr>
          <w:p w14:paraId="6A391F1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2C6BBA2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17" w:type="pct"/>
            <w:tcBorders>
              <w:top w:val="nil"/>
              <w:left w:val="nil"/>
              <w:bottom w:val="single" w:sz="4" w:space="0" w:color="auto"/>
              <w:right w:val="single" w:sz="4" w:space="0" w:color="auto"/>
            </w:tcBorders>
            <w:noWrap/>
            <w:vAlign w:val="bottom"/>
            <w:hideMark/>
          </w:tcPr>
          <w:p w14:paraId="3BD17ED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6EFB4CE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90" w:type="pct"/>
            <w:tcBorders>
              <w:top w:val="nil"/>
              <w:left w:val="nil"/>
              <w:bottom w:val="single" w:sz="4" w:space="0" w:color="auto"/>
              <w:right w:val="single" w:sz="4" w:space="0" w:color="auto"/>
            </w:tcBorders>
            <w:noWrap/>
            <w:vAlign w:val="bottom"/>
            <w:hideMark/>
          </w:tcPr>
          <w:p w14:paraId="39C1209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410D0ED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90" w:type="pct"/>
            <w:tcBorders>
              <w:top w:val="nil"/>
              <w:left w:val="nil"/>
              <w:bottom w:val="single" w:sz="4" w:space="0" w:color="auto"/>
              <w:right w:val="single" w:sz="4" w:space="0" w:color="auto"/>
            </w:tcBorders>
            <w:noWrap/>
            <w:vAlign w:val="bottom"/>
            <w:hideMark/>
          </w:tcPr>
          <w:p w14:paraId="2CFE0AF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28F88C6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20" w:type="pct"/>
            <w:tcBorders>
              <w:top w:val="nil"/>
              <w:left w:val="nil"/>
              <w:bottom w:val="single" w:sz="4" w:space="0" w:color="auto"/>
              <w:right w:val="single" w:sz="4" w:space="0" w:color="auto"/>
            </w:tcBorders>
            <w:noWrap/>
            <w:vAlign w:val="bottom"/>
            <w:hideMark/>
          </w:tcPr>
          <w:p w14:paraId="622F85B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r>
      <w:tr w:rsidR="003D4369" w:rsidRPr="008017F0" w14:paraId="5F3FA567"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3596E0FB"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MAR</w:t>
            </w:r>
          </w:p>
        </w:tc>
        <w:tc>
          <w:tcPr>
            <w:tcW w:w="287" w:type="pct"/>
            <w:tcBorders>
              <w:top w:val="nil"/>
              <w:left w:val="nil"/>
              <w:bottom w:val="single" w:sz="4" w:space="0" w:color="auto"/>
              <w:right w:val="single" w:sz="4" w:space="0" w:color="auto"/>
            </w:tcBorders>
            <w:noWrap/>
            <w:vAlign w:val="bottom"/>
            <w:hideMark/>
          </w:tcPr>
          <w:p w14:paraId="7841BAD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40" w:type="pct"/>
            <w:tcBorders>
              <w:top w:val="nil"/>
              <w:left w:val="nil"/>
              <w:bottom w:val="single" w:sz="4" w:space="0" w:color="auto"/>
              <w:right w:val="single" w:sz="4" w:space="0" w:color="auto"/>
            </w:tcBorders>
            <w:noWrap/>
            <w:vAlign w:val="bottom"/>
            <w:hideMark/>
          </w:tcPr>
          <w:p w14:paraId="0CAA037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22" w:type="pct"/>
            <w:tcBorders>
              <w:top w:val="nil"/>
              <w:left w:val="nil"/>
              <w:bottom w:val="single" w:sz="4" w:space="0" w:color="auto"/>
              <w:right w:val="single" w:sz="4" w:space="0" w:color="auto"/>
            </w:tcBorders>
            <w:noWrap/>
            <w:vAlign w:val="bottom"/>
            <w:hideMark/>
          </w:tcPr>
          <w:p w14:paraId="715447B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26" w:type="pct"/>
            <w:tcBorders>
              <w:top w:val="nil"/>
              <w:left w:val="nil"/>
              <w:bottom w:val="single" w:sz="4" w:space="0" w:color="auto"/>
              <w:right w:val="single" w:sz="4" w:space="0" w:color="auto"/>
            </w:tcBorders>
            <w:noWrap/>
            <w:vAlign w:val="bottom"/>
            <w:hideMark/>
          </w:tcPr>
          <w:p w14:paraId="494F527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031BF1D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19" w:type="pct"/>
            <w:tcBorders>
              <w:top w:val="nil"/>
              <w:left w:val="nil"/>
              <w:bottom w:val="single" w:sz="4" w:space="0" w:color="auto"/>
              <w:right w:val="single" w:sz="4" w:space="0" w:color="auto"/>
            </w:tcBorders>
            <w:noWrap/>
            <w:vAlign w:val="bottom"/>
            <w:hideMark/>
          </w:tcPr>
          <w:p w14:paraId="621A28B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2099ADC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90" w:type="pct"/>
            <w:tcBorders>
              <w:top w:val="nil"/>
              <w:left w:val="nil"/>
              <w:bottom w:val="single" w:sz="4" w:space="0" w:color="auto"/>
              <w:right w:val="single" w:sz="4" w:space="0" w:color="auto"/>
            </w:tcBorders>
            <w:noWrap/>
            <w:vAlign w:val="bottom"/>
            <w:hideMark/>
          </w:tcPr>
          <w:p w14:paraId="42ABC6D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52F7038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17" w:type="pct"/>
            <w:tcBorders>
              <w:top w:val="nil"/>
              <w:left w:val="nil"/>
              <w:bottom w:val="single" w:sz="4" w:space="0" w:color="auto"/>
              <w:right w:val="single" w:sz="4" w:space="0" w:color="auto"/>
            </w:tcBorders>
            <w:noWrap/>
            <w:vAlign w:val="bottom"/>
            <w:hideMark/>
          </w:tcPr>
          <w:p w14:paraId="694E8C4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0568A23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17" w:type="pct"/>
            <w:tcBorders>
              <w:top w:val="nil"/>
              <w:left w:val="nil"/>
              <w:bottom w:val="single" w:sz="4" w:space="0" w:color="auto"/>
              <w:right w:val="single" w:sz="4" w:space="0" w:color="auto"/>
            </w:tcBorders>
            <w:noWrap/>
            <w:vAlign w:val="bottom"/>
            <w:hideMark/>
          </w:tcPr>
          <w:p w14:paraId="1A24D03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1154572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90" w:type="pct"/>
            <w:tcBorders>
              <w:top w:val="nil"/>
              <w:left w:val="nil"/>
              <w:bottom w:val="single" w:sz="4" w:space="0" w:color="auto"/>
              <w:right w:val="single" w:sz="4" w:space="0" w:color="auto"/>
            </w:tcBorders>
            <w:noWrap/>
            <w:vAlign w:val="bottom"/>
            <w:hideMark/>
          </w:tcPr>
          <w:p w14:paraId="6B9F203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52A4DE8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90" w:type="pct"/>
            <w:tcBorders>
              <w:top w:val="nil"/>
              <w:left w:val="nil"/>
              <w:bottom w:val="single" w:sz="4" w:space="0" w:color="auto"/>
              <w:right w:val="single" w:sz="4" w:space="0" w:color="auto"/>
            </w:tcBorders>
            <w:noWrap/>
            <w:vAlign w:val="bottom"/>
            <w:hideMark/>
          </w:tcPr>
          <w:p w14:paraId="19F9285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068CBEB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20" w:type="pct"/>
            <w:tcBorders>
              <w:top w:val="nil"/>
              <w:left w:val="nil"/>
              <w:bottom w:val="single" w:sz="4" w:space="0" w:color="auto"/>
              <w:right w:val="single" w:sz="4" w:space="0" w:color="auto"/>
            </w:tcBorders>
            <w:noWrap/>
            <w:vAlign w:val="bottom"/>
            <w:hideMark/>
          </w:tcPr>
          <w:p w14:paraId="607E102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r>
      <w:tr w:rsidR="003D4369" w:rsidRPr="008017F0" w14:paraId="3A1D958E"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27B94174"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LAZ</w:t>
            </w:r>
          </w:p>
        </w:tc>
        <w:tc>
          <w:tcPr>
            <w:tcW w:w="287" w:type="pct"/>
            <w:tcBorders>
              <w:top w:val="nil"/>
              <w:left w:val="nil"/>
              <w:bottom w:val="single" w:sz="4" w:space="0" w:color="auto"/>
              <w:right w:val="single" w:sz="4" w:space="0" w:color="auto"/>
            </w:tcBorders>
            <w:noWrap/>
            <w:vAlign w:val="bottom"/>
            <w:hideMark/>
          </w:tcPr>
          <w:p w14:paraId="0910BB3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40" w:type="pct"/>
            <w:tcBorders>
              <w:top w:val="nil"/>
              <w:left w:val="nil"/>
              <w:bottom w:val="single" w:sz="4" w:space="0" w:color="auto"/>
              <w:right w:val="single" w:sz="4" w:space="0" w:color="auto"/>
            </w:tcBorders>
            <w:noWrap/>
            <w:vAlign w:val="bottom"/>
            <w:hideMark/>
          </w:tcPr>
          <w:p w14:paraId="61EBBA3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22" w:type="pct"/>
            <w:tcBorders>
              <w:top w:val="nil"/>
              <w:left w:val="nil"/>
              <w:bottom w:val="single" w:sz="4" w:space="0" w:color="auto"/>
              <w:right w:val="single" w:sz="4" w:space="0" w:color="auto"/>
            </w:tcBorders>
            <w:noWrap/>
            <w:vAlign w:val="bottom"/>
            <w:hideMark/>
          </w:tcPr>
          <w:p w14:paraId="2B53025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26" w:type="pct"/>
            <w:tcBorders>
              <w:top w:val="nil"/>
              <w:left w:val="nil"/>
              <w:bottom w:val="single" w:sz="4" w:space="0" w:color="auto"/>
              <w:right w:val="single" w:sz="4" w:space="0" w:color="auto"/>
            </w:tcBorders>
            <w:noWrap/>
            <w:vAlign w:val="bottom"/>
            <w:hideMark/>
          </w:tcPr>
          <w:p w14:paraId="2A8E300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2BD4732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19" w:type="pct"/>
            <w:tcBorders>
              <w:top w:val="nil"/>
              <w:left w:val="nil"/>
              <w:bottom w:val="single" w:sz="4" w:space="0" w:color="auto"/>
              <w:right w:val="single" w:sz="4" w:space="0" w:color="auto"/>
            </w:tcBorders>
            <w:noWrap/>
            <w:vAlign w:val="bottom"/>
            <w:hideMark/>
          </w:tcPr>
          <w:p w14:paraId="1051678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1DFD2B7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90" w:type="pct"/>
            <w:tcBorders>
              <w:top w:val="nil"/>
              <w:left w:val="nil"/>
              <w:bottom w:val="single" w:sz="4" w:space="0" w:color="auto"/>
              <w:right w:val="single" w:sz="4" w:space="0" w:color="auto"/>
            </w:tcBorders>
            <w:noWrap/>
            <w:vAlign w:val="bottom"/>
            <w:hideMark/>
          </w:tcPr>
          <w:p w14:paraId="1478448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64E9A48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17" w:type="pct"/>
            <w:tcBorders>
              <w:top w:val="nil"/>
              <w:left w:val="nil"/>
              <w:bottom w:val="single" w:sz="4" w:space="0" w:color="auto"/>
              <w:right w:val="single" w:sz="4" w:space="0" w:color="auto"/>
            </w:tcBorders>
            <w:noWrap/>
            <w:vAlign w:val="bottom"/>
            <w:hideMark/>
          </w:tcPr>
          <w:p w14:paraId="725A367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88" w:type="pct"/>
            <w:tcBorders>
              <w:top w:val="nil"/>
              <w:left w:val="nil"/>
              <w:bottom w:val="single" w:sz="4" w:space="0" w:color="auto"/>
              <w:right w:val="single" w:sz="4" w:space="0" w:color="auto"/>
            </w:tcBorders>
            <w:noWrap/>
            <w:vAlign w:val="bottom"/>
            <w:hideMark/>
          </w:tcPr>
          <w:p w14:paraId="09E9835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17" w:type="pct"/>
            <w:tcBorders>
              <w:top w:val="nil"/>
              <w:left w:val="nil"/>
              <w:bottom w:val="single" w:sz="4" w:space="0" w:color="auto"/>
              <w:right w:val="single" w:sz="4" w:space="0" w:color="auto"/>
            </w:tcBorders>
            <w:noWrap/>
            <w:vAlign w:val="bottom"/>
            <w:hideMark/>
          </w:tcPr>
          <w:p w14:paraId="5E60C5A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418C373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90" w:type="pct"/>
            <w:tcBorders>
              <w:top w:val="nil"/>
              <w:left w:val="nil"/>
              <w:bottom w:val="single" w:sz="4" w:space="0" w:color="auto"/>
              <w:right w:val="single" w:sz="4" w:space="0" w:color="auto"/>
            </w:tcBorders>
            <w:noWrap/>
            <w:vAlign w:val="bottom"/>
            <w:hideMark/>
          </w:tcPr>
          <w:p w14:paraId="3B30249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40F93B6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90" w:type="pct"/>
            <w:tcBorders>
              <w:top w:val="nil"/>
              <w:left w:val="nil"/>
              <w:bottom w:val="single" w:sz="4" w:space="0" w:color="auto"/>
              <w:right w:val="single" w:sz="4" w:space="0" w:color="auto"/>
            </w:tcBorders>
            <w:noWrap/>
            <w:vAlign w:val="bottom"/>
            <w:hideMark/>
          </w:tcPr>
          <w:p w14:paraId="3468CA3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33236E9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20" w:type="pct"/>
            <w:tcBorders>
              <w:top w:val="nil"/>
              <w:left w:val="nil"/>
              <w:bottom w:val="single" w:sz="4" w:space="0" w:color="auto"/>
              <w:right w:val="single" w:sz="4" w:space="0" w:color="auto"/>
            </w:tcBorders>
            <w:noWrap/>
            <w:vAlign w:val="bottom"/>
            <w:hideMark/>
          </w:tcPr>
          <w:p w14:paraId="7157387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r>
      <w:tr w:rsidR="003D4369" w:rsidRPr="008017F0" w14:paraId="12D6EFBC"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1BFF3324"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CAM</w:t>
            </w:r>
          </w:p>
        </w:tc>
        <w:tc>
          <w:tcPr>
            <w:tcW w:w="287" w:type="pct"/>
            <w:tcBorders>
              <w:top w:val="nil"/>
              <w:left w:val="nil"/>
              <w:bottom w:val="single" w:sz="4" w:space="0" w:color="auto"/>
              <w:right w:val="single" w:sz="4" w:space="0" w:color="auto"/>
            </w:tcBorders>
            <w:noWrap/>
            <w:vAlign w:val="bottom"/>
            <w:hideMark/>
          </w:tcPr>
          <w:p w14:paraId="2859BBA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40" w:type="pct"/>
            <w:tcBorders>
              <w:top w:val="nil"/>
              <w:left w:val="nil"/>
              <w:bottom w:val="single" w:sz="4" w:space="0" w:color="auto"/>
              <w:right w:val="single" w:sz="4" w:space="0" w:color="auto"/>
            </w:tcBorders>
            <w:noWrap/>
            <w:vAlign w:val="bottom"/>
            <w:hideMark/>
          </w:tcPr>
          <w:p w14:paraId="1580CBC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22" w:type="pct"/>
            <w:tcBorders>
              <w:top w:val="nil"/>
              <w:left w:val="nil"/>
              <w:bottom w:val="single" w:sz="4" w:space="0" w:color="auto"/>
              <w:right w:val="single" w:sz="4" w:space="0" w:color="auto"/>
            </w:tcBorders>
            <w:noWrap/>
            <w:vAlign w:val="bottom"/>
            <w:hideMark/>
          </w:tcPr>
          <w:p w14:paraId="0915C65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26" w:type="pct"/>
            <w:tcBorders>
              <w:top w:val="nil"/>
              <w:left w:val="nil"/>
              <w:bottom w:val="single" w:sz="4" w:space="0" w:color="auto"/>
              <w:right w:val="single" w:sz="4" w:space="0" w:color="auto"/>
            </w:tcBorders>
            <w:noWrap/>
            <w:vAlign w:val="bottom"/>
            <w:hideMark/>
          </w:tcPr>
          <w:p w14:paraId="2367C56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5F0D2F0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19" w:type="pct"/>
            <w:tcBorders>
              <w:top w:val="nil"/>
              <w:left w:val="nil"/>
              <w:bottom w:val="single" w:sz="4" w:space="0" w:color="auto"/>
              <w:right w:val="single" w:sz="4" w:space="0" w:color="auto"/>
            </w:tcBorders>
            <w:noWrap/>
            <w:vAlign w:val="bottom"/>
            <w:hideMark/>
          </w:tcPr>
          <w:p w14:paraId="17D0F56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88" w:type="pct"/>
            <w:tcBorders>
              <w:top w:val="nil"/>
              <w:left w:val="nil"/>
              <w:bottom w:val="single" w:sz="4" w:space="0" w:color="auto"/>
              <w:right w:val="single" w:sz="4" w:space="0" w:color="auto"/>
            </w:tcBorders>
            <w:noWrap/>
            <w:vAlign w:val="bottom"/>
            <w:hideMark/>
          </w:tcPr>
          <w:p w14:paraId="4662770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90" w:type="pct"/>
            <w:tcBorders>
              <w:top w:val="nil"/>
              <w:left w:val="nil"/>
              <w:bottom w:val="single" w:sz="4" w:space="0" w:color="auto"/>
              <w:right w:val="single" w:sz="4" w:space="0" w:color="auto"/>
            </w:tcBorders>
            <w:noWrap/>
            <w:vAlign w:val="bottom"/>
            <w:hideMark/>
          </w:tcPr>
          <w:p w14:paraId="4A7D643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477A8AE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17" w:type="pct"/>
            <w:tcBorders>
              <w:top w:val="nil"/>
              <w:left w:val="nil"/>
              <w:bottom w:val="single" w:sz="4" w:space="0" w:color="auto"/>
              <w:right w:val="single" w:sz="4" w:space="0" w:color="auto"/>
            </w:tcBorders>
            <w:noWrap/>
            <w:vAlign w:val="bottom"/>
            <w:hideMark/>
          </w:tcPr>
          <w:p w14:paraId="4330134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88" w:type="pct"/>
            <w:tcBorders>
              <w:top w:val="nil"/>
              <w:left w:val="nil"/>
              <w:bottom w:val="single" w:sz="4" w:space="0" w:color="auto"/>
              <w:right w:val="single" w:sz="4" w:space="0" w:color="auto"/>
            </w:tcBorders>
            <w:noWrap/>
            <w:vAlign w:val="bottom"/>
            <w:hideMark/>
          </w:tcPr>
          <w:p w14:paraId="2660E76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17" w:type="pct"/>
            <w:tcBorders>
              <w:top w:val="nil"/>
              <w:left w:val="nil"/>
              <w:bottom w:val="single" w:sz="4" w:space="0" w:color="auto"/>
              <w:right w:val="single" w:sz="4" w:space="0" w:color="auto"/>
            </w:tcBorders>
            <w:noWrap/>
            <w:vAlign w:val="bottom"/>
            <w:hideMark/>
          </w:tcPr>
          <w:p w14:paraId="6E996AD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0EA4F54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90" w:type="pct"/>
            <w:tcBorders>
              <w:top w:val="nil"/>
              <w:left w:val="nil"/>
              <w:bottom w:val="single" w:sz="4" w:space="0" w:color="auto"/>
              <w:right w:val="single" w:sz="4" w:space="0" w:color="auto"/>
            </w:tcBorders>
            <w:noWrap/>
            <w:vAlign w:val="bottom"/>
            <w:hideMark/>
          </w:tcPr>
          <w:p w14:paraId="6962749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011FAFD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90" w:type="pct"/>
            <w:tcBorders>
              <w:top w:val="nil"/>
              <w:left w:val="nil"/>
              <w:bottom w:val="single" w:sz="4" w:space="0" w:color="auto"/>
              <w:right w:val="single" w:sz="4" w:space="0" w:color="auto"/>
            </w:tcBorders>
            <w:noWrap/>
            <w:vAlign w:val="bottom"/>
            <w:hideMark/>
          </w:tcPr>
          <w:p w14:paraId="37AA26B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159C499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20" w:type="pct"/>
            <w:tcBorders>
              <w:top w:val="nil"/>
              <w:left w:val="nil"/>
              <w:bottom w:val="single" w:sz="4" w:space="0" w:color="auto"/>
              <w:right w:val="single" w:sz="4" w:space="0" w:color="auto"/>
            </w:tcBorders>
            <w:noWrap/>
            <w:vAlign w:val="bottom"/>
            <w:hideMark/>
          </w:tcPr>
          <w:p w14:paraId="27C02EF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r>
      <w:tr w:rsidR="003D4369" w:rsidRPr="008017F0" w14:paraId="434CFCB8"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5AB7BAA4"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ABR</w:t>
            </w:r>
          </w:p>
        </w:tc>
        <w:tc>
          <w:tcPr>
            <w:tcW w:w="287" w:type="pct"/>
            <w:tcBorders>
              <w:top w:val="nil"/>
              <w:left w:val="nil"/>
              <w:bottom w:val="single" w:sz="4" w:space="0" w:color="auto"/>
              <w:right w:val="single" w:sz="4" w:space="0" w:color="auto"/>
            </w:tcBorders>
            <w:noWrap/>
            <w:vAlign w:val="bottom"/>
            <w:hideMark/>
          </w:tcPr>
          <w:p w14:paraId="557FFA0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40" w:type="pct"/>
            <w:tcBorders>
              <w:top w:val="nil"/>
              <w:left w:val="nil"/>
              <w:bottom w:val="single" w:sz="4" w:space="0" w:color="auto"/>
              <w:right w:val="single" w:sz="4" w:space="0" w:color="auto"/>
            </w:tcBorders>
            <w:noWrap/>
            <w:vAlign w:val="bottom"/>
            <w:hideMark/>
          </w:tcPr>
          <w:p w14:paraId="29A786D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22" w:type="pct"/>
            <w:tcBorders>
              <w:top w:val="nil"/>
              <w:left w:val="nil"/>
              <w:bottom w:val="single" w:sz="4" w:space="0" w:color="auto"/>
              <w:right w:val="single" w:sz="4" w:space="0" w:color="auto"/>
            </w:tcBorders>
            <w:noWrap/>
            <w:vAlign w:val="bottom"/>
            <w:hideMark/>
          </w:tcPr>
          <w:p w14:paraId="1AED4EC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26" w:type="pct"/>
            <w:tcBorders>
              <w:top w:val="nil"/>
              <w:left w:val="nil"/>
              <w:bottom w:val="single" w:sz="4" w:space="0" w:color="auto"/>
              <w:right w:val="single" w:sz="4" w:space="0" w:color="auto"/>
            </w:tcBorders>
            <w:noWrap/>
            <w:vAlign w:val="bottom"/>
            <w:hideMark/>
          </w:tcPr>
          <w:p w14:paraId="1CF3421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3B3B4F7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19" w:type="pct"/>
            <w:tcBorders>
              <w:top w:val="nil"/>
              <w:left w:val="nil"/>
              <w:bottom w:val="single" w:sz="4" w:space="0" w:color="auto"/>
              <w:right w:val="single" w:sz="4" w:space="0" w:color="auto"/>
            </w:tcBorders>
            <w:noWrap/>
            <w:vAlign w:val="bottom"/>
            <w:hideMark/>
          </w:tcPr>
          <w:p w14:paraId="6D652DC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5D9ADE9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90" w:type="pct"/>
            <w:tcBorders>
              <w:top w:val="nil"/>
              <w:left w:val="nil"/>
              <w:bottom w:val="single" w:sz="4" w:space="0" w:color="auto"/>
              <w:right w:val="single" w:sz="4" w:space="0" w:color="auto"/>
            </w:tcBorders>
            <w:noWrap/>
            <w:vAlign w:val="bottom"/>
            <w:hideMark/>
          </w:tcPr>
          <w:p w14:paraId="195983C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1A21ED2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17" w:type="pct"/>
            <w:tcBorders>
              <w:top w:val="nil"/>
              <w:left w:val="nil"/>
              <w:bottom w:val="single" w:sz="4" w:space="0" w:color="auto"/>
              <w:right w:val="single" w:sz="4" w:space="0" w:color="auto"/>
            </w:tcBorders>
            <w:noWrap/>
            <w:vAlign w:val="bottom"/>
            <w:hideMark/>
          </w:tcPr>
          <w:p w14:paraId="22937B9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0EF8E67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17" w:type="pct"/>
            <w:tcBorders>
              <w:top w:val="nil"/>
              <w:left w:val="nil"/>
              <w:bottom w:val="single" w:sz="4" w:space="0" w:color="auto"/>
              <w:right w:val="single" w:sz="4" w:space="0" w:color="auto"/>
            </w:tcBorders>
            <w:noWrap/>
            <w:vAlign w:val="bottom"/>
            <w:hideMark/>
          </w:tcPr>
          <w:p w14:paraId="7DAEF75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3C53ABB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90" w:type="pct"/>
            <w:tcBorders>
              <w:top w:val="nil"/>
              <w:left w:val="nil"/>
              <w:bottom w:val="single" w:sz="4" w:space="0" w:color="auto"/>
              <w:right w:val="single" w:sz="4" w:space="0" w:color="auto"/>
            </w:tcBorders>
            <w:noWrap/>
            <w:vAlign w:val="bottom"/>
            <w:hideMark/>
          </w:tcPr>
          <w:p w14:paraId="70EF163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1F33550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90" w:type="pct"/>
            <w:tcBorders>
              <w:top w:val="nil"/>
              <w:left w:val="nil"/>
              <w:bottom w:val="single" w:sz="4" w:space="0" w:color="auto"/>
              <w:right w:val="single" w:sz="4" w:space="0" w:color="auto"/>
            </w:tcBorders>
            <w:noWrap/>
            <w:vAlign w:val="bottom"/>
            <w:hideMark/>
          </w:tcPr>
          <w:p w14:paraId="0F51D7B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88" w:type="pct"/>
            <w:tcBorders>
              <w:top w:val="nil"/>
              <w:left w:val="nil"/>
              <w:bottom w:val="single" w:sz="4" w:space="0" w:color="auto"/>
              <w:right w:val="single" w:sz="4" w:space="0" w:color="auto"/>
            </w:tcBorders>
            <w:noWrap/>
            <w:vAlign w:val="bottom"/>
            <w:hideMark/>
          </w:tcPr>
          <w:p w14:paraId="51CD701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20" w:type="pct"/>
            <w:tcBorders>
              <w:top w:val="nil"/>
              <w:left w:val="nil"/>
              <w:bottom w:val="single" w:sz="4" w:space="0" w:color="auto"/>
              <w:right w:val="single" w:sz="4" w:space="0" w:color="auto"/>
            </w:tcBorders>
            <w:noWrap/>
            <w:vAlign w:val="bottom"/>
            <w:hideMark/>
          </w:tcPr>
          <w:p w14:paraId="51519EF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r>
      <w:tr w:rsidR="003D4369" w:rsidRPr="008017F0" w14:paraId="310F22D6"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7B87EA25"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MOL</w:t>
            </w:r>
          </w:p>
        </w:tc>
        <w:tc>
          <w:tcPr>
            <w:tcW w:w="287" w:type="pct"/>
            <w:tcBorders>
              <w:top w:val="nil"/>
              <w:left w:val="nil"/>
              <w:bottom w:val="single" w:sz="4" w:space="0" w:color="auto"/>
              <w:right w:val="single" w:sz="4" w:space="0" w:color="auto"/>
            </w:tcBorders>
            <w:noWrap/>
            <w:vAlign w:val="bottom"/>
            <w:hideMark/>
          </w:tcPr>
          <w:p w14:paraId="282E7C5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40" w:type="pct"/>
            <w:tcBorders>
              <w:top w:val="nil"/>
              <w:left w:val="nil"/>
              <w:bottom w:val="single" w:sz="4" w:space="0" w:color="auto"/>
              <w:right w:val="single" w:sz="4" w:space="0" w:color="auto"/>
            </w:tcBorders>
            <w:noWrap/>
            <w:vAlign w:val="bottom"/>
            <w:hideMark/>
          </w:tcPr>
          <w:p w14:paraId="1A64C27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22" w:type="pct"/>
            <w:tcBorders>
              <w:top w:val="nil"/>
              <w:left w:val="nil"/>
              <w:bottom w:val="single" w:sz="4" w:space="0" w:color="auto"/>
              <w:right w:val="single" w:sz="4" w:space="0" w:color="auto"/>
            </w:tcBorders>
            <w:noWrap/>
            <w:vAlign w:val="bottom"/>
            <w:hideMark/>
          </w:tcPr>
          <w:p w14:paraId="268607A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26" w:type="pct"/>
            <w:tcBorders>
              <w:top w:val="nil"/>
              <w:left w:val="nil"/>
              <w:bottom w:val="single" w:sz="4" w:space="0" w:color="auto"/>
              <w:right w:val="single" w:sz="4" w:space="0" w:color="auto"/>
            </w:tcBorders>
            <w:noWrap/>
            <w:vAlign w:val="bottom"/>
            <w:hideMark/>
          </w:tcPr>
          <w:p w14:paraId="7EE188F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88" w:type="pct"/>
            <w:tcBorders>
              <w:top w:val="nil"/>
              <w:left w:val="nil"/>
              <w:bottom w:val="single" w:sz="4" w:space="0" w:color="auto"/>
              <w:right w:val="single" w:sz="4" w:space="0" w:color="auto"/>
            </w:tcBorders>
            <w:noWrap/>
            <w:vAlign w:val="bottom"/>
            <w:hideMark/>
          </w:tcPr>
          <w:p w14:paraId="2D50FF2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19" w:type="pct"/>
            <w:tcBorders>
              <w:top w:val="nil"/>
              <w:left w:val="nil"/>
              <w:bottom w:val="single" w:sz="4" w:space="0" w:color="auto"/>
              <w:right w:val="single" w:sz="4" w:space="0" w:color="auto"/>
            </w:tcBorders>
            <w:noWrap/>
            <w:vAlign w:val="bottom"/>
            <w:hideMark/>
          </w:tcPr>
          <w:p w14:paraId="1759E36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6E7489A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90" w:type="pct"/>
            <w:tcBorders>
              <w:top w:val="nil"/>
              <w:left w:val="nil"/>
              <w:bottom w:val="single" w:sz="4" w:space="0" w:color="auto"/>
              <w:right w:val="single" w:sz="4" w:space="0" w:color="auto"/>
            </w:tcBorders>
            <w:noWrap/>
            <w:vAlign w:val="bottom"/>
            <w:hideMark/>
          </w:tcPr>
          <w:p w14:paraId="07D2ADB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385EB5F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17" w:type="pct"/>
            <w:tcBorders>
              <w:top w:val="nil"/>
              <w:left w:val="nil"/>
              <w:bottom w:val="single" w:sz="4" w:space="0" w:color="auto"/>
              <w:right w:val="single" w:sz="4" w:space="0" w:color="auto"/>
            </w:tcBorders>
            <w:noWrap/>
            <w:vAlign w:val="bottom"/>
            <w:hideMark/>
          </w:tcPr>
          <w:p w14:paraId="2477D44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24181BF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17" w:type="pct"/>
            <w:tcBorders>
              <w:top w:val="nil"/>
              <w:left w:val="nil"/>
              <w:bottom w:val="single" w:sz="4" w:space="0" w:color="auto"/>
              <w:right w:val="single" w:sz="4" w:space="0" w:color="auto"/>
            </w:tcBorders>
            <w:noWrap/>
            <w:vAlign w:val="bottom"/>
            <w:hideMark/>
          </w:tcPr>
          <w:p w14:paraId="4BF66B1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20</w:t>
            </w:r>
          </w:p>
        </w:tc>
        <w:tc>
          <w:tcPr>
            <w:tcW w:w="288" w:type="pct"/>
            <w:tcBorders>
              <w:top w:val="nil"/>
              <w:left w:val="nil"/>
              <w:bottom w:val="single" w:sz="4" w:space="0" w:color="auto"/>
              <w:right w:val="single" w:sz="4" w:space="0" w:color="auto"/>
            </w:tcBorders>
            <w:noWrap/>
            <w:vAlign w:val="bottom"/>
            <w:hideMark/>
          </w:tcPr>
          <w:p w14:paraId="477805D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90" w:type="pct"/>
            <w:tcBorders>
              <w:top w:val="nil"/>
              <w:left w:val="nil"/>
              <w:bottom w:val="single" w:sz="4" w:space="0" w:color="auto"/>
              <w:right w:val="single" w:sz="4" w:space="0" w:color="auto"/>
            </w:tcBorders>
            <w:noWrap/>
            <w:vAlign w:val="bottom"/>
            <w:hideMark/>
          </w:tcPr>
          <w:p w14:paraId="6284B57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18325E1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90" w:type="pct"/>
            <w:tcBorders>
              <w:top w:val="nil"/>
              <w:left w:val="nil"/>
              <w:bottom w:val="single" w:sz="4" w:space="0" w:color="auto"/>
              <w:right w:val="single" w:sz="4" w:space="0" w:color="auto"/>
            </w:tcBorders>
            <w:noWrap/>
            <w:vAlign w:val="bottom"/>
            <w:hideMark/>
          </w:tcPr>
          <w:p w14:paraId="5F50533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27968F4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20" w:type="pct"/>
            <w:tcBorders>
              <w:top w:val="nil"/>
              <w:left w:val="nil"/>
              <w:bottom w:val="single" w:sz="4" w:space="0" w:color="auto"/>
              <w:right w:val="single" w:sz="4" w:space="0" w:color="auto"/>
            </w:tcBorders>
            <w:noWrap/>
            <w:vAlign w:val="bottom"/>
            <w:hideMark/>
          </w:tcPr>
          <w:p w14:paraId="56024B4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r>
      <w:tr w:rsidR="003D4369" w:rsidRPr="008017F0" w14:paraId="35A8BB7F"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2CB83420"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PUG</w:t>
            </w:r>
          </w:p>
        </w:tc>
        <w:tc>
          <w:tcPr>
            <w:tcW w:w="287" w:type="pct"/>
            <w:tcBorders>
              <w:top w:val="nil"/>
              <w:left w:val="nil"/>
              <w:bottom w:val="single" w:sz="4" w:space="0" w:color="auto"/>
              <w:right w:val="single" w:sz="4" w:space="0" w:color="auto"/>
            </w:tcBorders>
            <w:noWrap/>
            <w:vAlign w:val="bottom"/>
            <w:hideMark/>
          </w:tcPr>
          <w:p w14:paraId="31B474E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40" w:type="pct"/>
            <w:tcBorders>
              <w:top w:val="nil"/>
              <w:left w:val="nil"/>
              <w:bottom w:val="single" w:sz="4" w:space="0" w:color="auto"/>
              <w:right w:val="single" w:sz="4" w:space="0" w:color="auto"/>
            </w:tcBorders>
            <w:noWrap/>
            <w:vAlign w:val="bottom"/>
            <w:hideMark/>
          </w:tcPr>
          <w:p w14:paraId="72F6CF5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22" w:type="pct"/>
            <w:tcBorders>
              <w:top w:val="nil"/>
              <w:left w:val="nil"/>
              <w:bottom w:val="single" w:sz="4" w:space="0" w:color="auto"/>
              <w:right w:val="single" w:sz="4" w:space="0" w:color="auto"/>
            </w:tcBorders>
            <w:noWrap/>
            <w:vAlign w:val="bottom"/>
            <w:hideMark/>
          </w:tcPr>
          <w:p w14:paraId="017D004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26" w:type="pct"/>
            <w:tcBorders>
              <w:top w:val="nil"/>
              <w:left w:val="nil"/>
              <w:bottom w:val="single" w:sz="4" w:space="0" w:color="auto"/>
              <w:right w:val="single" w:sz="4" w:space="0" w:color="auto"/>
            </w:tcBorders>
            <w:noWrap/>
            <w:vAlign w:val="bottom"/>
            <w:hideMark/>
          </w:tcPr>
          <w:p w14:paraId="33800B7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5243C69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19" w:type="pct"/>
            <w:tcBorders>
              <w:top w:val="nil"/>
              <w:left w:val="nil"/>
              <w:bottom w:val="single" w:sz="4" w:space="0" w:color="auto"/>
              <w:right w:val="single" w:sz="4" w:space="0" w:color="auto"/>
            </w:tcBorders>
            <w:noWrap/>
            <w:vAlign w:val="bottom"/>
            <w:hideMark/>
          </w:tcPr>
          <w:p w14:paraId="0D27753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3DC806E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90" w:type="pct"/>
            <w:tcBorders>
              <w:top w:val="nil"/>
              <w:left w:val="nil"/>
              <w:bottom w:val="single" w:sz="4" w:space="0" w:color="auto"/>
              <w:right w:val="single" w:sz="4" w:space="0" w:color="auto"/>
            </w:tcBorders>
            <w:noWrap/>
            <w:vAlign w:val="bottom"/>
            <w:hideMark/>
          </w:tcPr>
          <w:p w14:paraId="3DBEDDC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5E4E3AA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17" w:type="pct"/>
            <w:tcBorders>
              <w:top w:val="nil"/>
              <w:left w:val="nil"/>
              <w:bottom w:val="single" w:sz="4" w:space="0" w:color="auto"/>
              <w:right w:val="single" w:sz="4" w:space="0" w:color="auto"/>
            </w:tcBorders>
            <w:noWrap/>
            <w:vAlign w:val="bottom"/>
            <w:hideMark/>
          </w:tcPr>
          <w:p w14:paraId="7A2C4CE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88" w:type="pct"/>
            <w:tcBorders>
              <w:top w:val="nil"/>
              <w:left w:val="nil"/>
              <w:bottom w:val="single" w:sz="4" w:space="0" w:color="auto"/>
              <w:right w:val="single" w:sz="4" w:space="0" w:color="auto"/>
            </w:tcBorders>
            <w:noWrap/>
            <w:vAlign w:val="bottom"/>
            <w:hideMark/>
          </w:tcPr>
          <w:p w14:paraId="108F94B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17" w:type="pct"/>
            <w:tcBorders>
              <w:top w:val="nil"/>
              <w:left w:val="nil"/>
              <w:bottom w:val="single" w:sz="4" w:space="0" w:color="auto"/>
              <w:right w:val="single" w:sz="4" w:space="0" w:color="auto"/>
            </w:tcBorders>
            <w:noWrap/>
            <w:vAlign w:val="bottom"/>
            <w:hideMark/>
          </w:tcPr>
          <w:p w14:paraId="6F48CC9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56DD280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90" w:type="pct"/>
            <w:tcBorders>
              <w:top w:val="nil"/>
              <w:left w:val="nil"/>
              <w:bottom w:val="single" w:sz="4" w:space="0" w:color="auto"/>
              <w:right w:val="single" w:sz="4" w:space="0" w:color="auto"/>
            </w:tcBorders>
            <w:noWrap/>
            <w:vAlign w:val="bottom"/>
            <w:hideMark/>
          </w:tcPr>
          <w:p w14:paraId="7D555B5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4E9E581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90" w:type="pct"/>
            <w:tcBorders>
              <w:top w:val="nil"/>
              <w:left w:val="nil"/>
              <w:bottom w:val="single" w:sz="4" w:space="0" w:color="auto"/>
              <w:right w:val="single" w:sz="4" w:space="0" w:color="auto"/>
            </w:tcBorders>
            <w:noWrap/>
            <w:vAlign w:val="bottom"/>
            <w:hideMark/>
          </w:tcPr>
          <w:p w14:paraId="2BA7819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5423600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20" w:type="pct"/>
            <w:tcBorders>
              <w:top w:val="nil"/>
              <w:left w:val="nil"/>
              <w:bottom w:val="single" w:sz="4" w:space="0" w:color="auto"/>
              <w:right w:val="single" w:sz="4" w:space="0" w:color="auto"/>
            </w:tcBorders>
            <w:noWrap/>
            <w:vAlign w:val="bottom"/>
            <w:hideMark/>
          </w:tcPr>
          <w:p w14:paraId="6C272AF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r>
      <w:tr w:rsidR="003D4369" w:rsidRPr="008017F0" w14:paraId="56DCF0B6"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252DC896"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BAS</w:t>
            </w:r>
          </w:p>
        </w:tc>
        <w:tc>
          <w:tcPr>
            <w:tcW w:w="287" w:type="pct"/>
            <w:tcBorders>
              <w:top w:val="nil"/>
              <w:left w:val="nil"/>
              <w:bottom w:val="single" w:sz="4" w:space="0" w:color="auto"/>
              <w:right w:val="single" w:sz="4" w:space="0" w:color="auto"/>
            </w:tcBorders>
            <w:noWrap/>
            <w:vAlign w:val="bottom"/>
            <w:hideMark/>
          </w:tcPr>
          <w:p w14:paraId="6874E6F9"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40" w:type="pct"/>
            <w:tcBorders>
              <w:top w:val="nil"/>
              <w:left w:val="nil"/>
              <w:bottom w:val="single" w:sz="4" w:space="0" w:color="auto"/>
              <w:right w:val="single" w:sz="4" w:space="0" w:color="auto"/>
            </w:tcBorders>
            <w:noWrap/>
            <w:vAlign w:val="bottom"/>
            <w:hideMark/>
          </w:tcPr>
          <w:p w14:paraId="67CDDF6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22" w:type="pct"/>
            <w:tcBorders>
              <w:top w:val="nil"/>
              <w:left w:val="nil"/>
              <w:bottom w:val="single" w:sz="4" w:space="0" w:color="auto"/>
              <w:right w:val="single" w:sz="4" w:space="0" w:color="auto"/>
            </w:tcBorders>
            <w:noWrap/>
            <w:vAlign w:val="bottom"/>
            <w:hideMark/>
          </w:tcPr>
          <w:p w14:paraId="600089C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26" w:type="pct"/>
            <w:tcBorders>
              <w:top w:val="nil"/>
              <w:left w:val="nil"/>
              <w:bottom w:val="single" w:sz="4" w:space="0" w:color="auto"/>
              <w:right w:val="single" w:sz="4" w:space="0" w:color="auto"/>
            </w:tcBorders>
            <w:noWrap/>
            <w:vAlign w:val="bottom"/>
            <w:hideMark/>
          </w:tcPr>
          <w:p w14:paraId="0FB2477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456CBEE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19" w:type="pct"/>
            <w:tcBorders>
              <w:top w:val="nil"/>
              <w:left w:val="nil"/>
              <w:bottom w:val="single" w:sz="4" w:space="0" w:color="auto"/>
              <w:right w:val="single" w:sz="4" w:space="0" w:color="auto"/>
            </w:tcBorders>
            <w:noWrap/>
            <w:vAlign w:val="bottom"/>
            <w:hideMark/>
          </w:tcPr>
          <w:p w14:paraId="77E57F5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3A53D08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90" w:type="pct"/>
            <w:tcBorders>
              <w:top w:val="nil"/>
              <w:left w:val="nil"/>
              <w:bottom w:val="single" w:sz="4" w:space="0" w:color="auto"/>
              <w:right w:val="single" w:sz="4" w:space="0" w:color="auto"/>
            </w:tcBorders>
            <w:noWrap/>
            <w:vAlign w:val="bottom"/>
            <w:hideMark/>
          </w:tcPr>
          <w:p w14:paraId="3C73984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39A6598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17" w:type="pct"/>
            <w:tcBorders>
              <w:top w:val="nil"/>
              <w:left w:val="nil"/>
              <w:bottom w:val="single" w:sz="4" w:space="0" w:color="auto"/>
              <w:right w:val="single" w:sz="4" w:space="0" w:color="auto"/>
            </w:tcBorders>
            <w:noWrap/>
            <w:vAlign w:val="bottom"/>
            <w:hideMark/>
          </w:tcPr>
          <w:p w14:paraId="3DC45EB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19</w:t>
            </w:r>
          </w:p>
        </w:tc>
        <w:tc>
          <w:tcPr>
            <w:tcW w:w="288" w:type="pct"/>
            <w:tcBorders>
              <w:top w:val="nil"/>
              <w:left w:val="nil"/>
              <w:bottom w:val="single" w:sz="4" w:space="0" w:color="auto"/>
              <w:right w:val="single" w:sz="4" w:space="0" w:color="auto"/>
            </w:tcBorders>
            <w:noWrap/>
            <w:vAlign w:val="bottom"/>
            <w:hideMark/>
          </w:tcPr>
          <w:p w14:paraId="317161F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18</w:t>
            </w:r>
          </w:p>
        </w:tc>
        <w:tc>
          <w:tcPr>
            <w:tcW w:w="217" w:type="pct"/>
            <w:tcBorders>
              <w:top w:val="nil"/>
              <w:left w:val="nil"/>
              <w:bottom w:val="single" w:sz="4" w:space="0" w:color="auto"/>
              <w:right w:val="single" w:sz="4" w:space="0" w:color="auto"/>
            </w:tcBorders>
            <w:noWrap/>
            <w:vAlign w:val="bottom"/>
            <w:hideMark/>
          </w:tcPr>
          <w:p w14:paraId="65C7833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17</w:t>
            </w:r>
          </w:p>
        </w:tc>
        <w:tc>
          <w:tcPr>
            <w:tcW w:w="288" w:type="pct"/>
            <w:tcBorders>
              <w:top w:val="nil"/>
              <w:left w:val="nil"/>
              <w:bottom w:val="single" w:sz="4" w:space="0" w:color="auto"/>
              <w:right w:val="single" w:sz="4" w:space="0" w:color="auto"/>
            </w:tcBorders>
            <w:noWrap/>
            <w:vAlign w:val="bottom"/>
            <w:hideMark/>
          </w:tcPr>
          <w:p w14:paraId="3201A9F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90" w:type="pct"/>
            <w:tcBorders>
              <w:top w:val="nil"/>
              <w:left w:val="nil"/>
              <w:bottom w:val="single" w:sz="4" w:space="0" w:color="auto"/>
              <w:right w:val="single" w:sz="4" w:space="0" w:color="auto"/>
            </w:tcBorders>
            <w:noWrap/>
            <w:vAlign w:val="bottom"/>
            <w:hideMark/>
          </w:tcPr>
          <w:p w14:paraId="04E1A85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6004F6D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90" w:type="pct"/>
            <w:tcBorders>
              <w:top w:val="nil"/>
              <w:left w:val="nil"/>
              <w:bottom w:val="single" w:sz="4" w:space="0" w:color="auto"/>
              <w:right w:val="single" w:sz="4" w:space="0" w:color="auto"/>
            </w:tcBorders>
            <w:noWrap/>
            <w:vAlign w:val="bottom"/>
            <w:hideMark/>
          </w:tcPr>
          <w:p w14:paraId="397F588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6573D72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20" w:type="pct"/>
            <w:tcBorders>
              <w:top w:val="nil"/>
              <w:left w:val="nil"/>
              <w:bottom w:val="single" w:sz="4" w:space="0" w:color="auto"/>
              <w:right w:val="single" w:sz="4" w:space="0" w:color="auto"/>
            </w:tcBorders>
            <w:noWrap/>
            <w:vAlign w:val="bottom"/>
            <w:hideMark/>
          </w:tcPr>
          <w:p w14:paraId="2812088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r>
      <w:tr w:rsidR="003D4369" w:rsidRPr="008017F0" w14:paraId="7C258F0A"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750B6AA1"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CAL</w:t>
            </w:r>
          </w:p>
        </w:tc>
        <w:tc>
          <w:tcPr>
            <w:tcW w:w="287" w:type="pct"/>
            <w:tcBorders>
              <w:top w:val="nil"/>
              <w:left w:val="nil"/>
              <w:bottom w:val="single" w:sz="4" w:space="0" w:color="auto"/>
              <w:right w:val="single" w:sz="4" w:space="0" w:color="auto"/>
            </w:tcBorders>
            <w:noWrap/>
            <w:vAlign w:val="bottom"/>
            <w:hideMark/>
          </w:tcPr>
          <w:p w14:paraId="52068DA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40" w:type="pct"/>
            <w:tcBorders>
              <w:top w:val="nil"/>
              <w:left w:val="nil"/>
              <w:bottom w:val="single" w:sz="4" w:space="0" w:color="auto"/>
              <w:right w:val="single" w:sz="4" w:space="0" w:color="auto"/>
            </w:tcBorders>
            <w:noWrap/>
            <w:vAlign w:val="bottom"/>
            <w:hideMark/>
          </w:tcPr>
          <w:p w14:paraId="6074765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22" w:type="pct"/>
            <w:tcBorders>
              <w:top w:val="nil"/>
              <w:left w:val="nil"/>
              <w:bottom w:val="single" w:sz="4" w:space="0" w:color="auto"/>
              <w:right w:val="single" w:sz="4" w:space="0" w:color="auto"/>
            </w:tcBorders>
            <w:noWrap/>
            <w:vAlign w:val="bottom"/>
            <w:hideMark/>
          </w:tcPr>
          <w:p w14:paraId="6EEBBB9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26" w:type="pct"/>
            <w:tcBorders>
              <w:top w:val="nil"/>
              <w:left w:val="nil"/>
              <w:bottom w:val="single" w:sz="4" w:space="0" w:color="auto"/>
              <w:right w:val="single" w:sz="4" w:space="0" w:color="auto"/>
            </w:tcBorders>
            <w:noWrap/>
            <w:vAlign w:val="bottom"/>
            <w:hideMark/>
          </w:tcPr>
          <w:p w14:paraId="6487A81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4347F19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19" w:type="pct"/>
            <w:tcBorders>
              <w:top w:val="nil"/>
              <w:left w:val="nil"/>
              <w:bottom w:val="single" w:sz="4" w:space="0" w:color="auto"/>
              <w:right w:val="single" w:sz="4" w:space="0" w:color="auto"/>
            </w:tcBorders>
            <w:noWrap/>
            <w:vAlign w:val="bottom"/>
            <w:hideMark/>
          </w:tcPr>
          <w:p w14:paraId="3A0BFE0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791D3A0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90" w:type="pct"/>
            <w:tcBorders>
              <w:top w:val="nil"/>
              <w:left w:val="nil"/>
              <w:bottom w:val="single" w:sz="4" w:space="0" w:color="auto"/>
              <w:right w:val="single" w:sz="4" w:space="0" w:color="auto"/>
            </w:tcBorders>
            <w:noWrap/>
            <w:vAlign w:val="bottom"/>
            <w:hideMark/>
          </w:tcPr>
          <w:p w14:paraId="7147A5B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88" w:type="pct"/>
            <w:tcBorders>
              <w:top w:val="nil"/>
              <w:left w:val="nil"/>
              <w:bottom w:val="single" w:sz="4" w:space="0" w:color="auto"/>
              <w:right w:val="single" w:sz="4" w:space="0" w:color="auto"/>
            </w:tcBorders>
            <w:noWrap/>
            <w:vAlign w:val="bottom"/>
            <w:hideMark/>
          </w:tcPr>
          <w:p w14:paraId="64AE07E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17" w:type="pct"/>
            <w:tcBorders>
              <w:top w:val="nil"/>
              <w:left w:val="nil"/>
              <w:bottom w:val="single" w:sz="4" w:space="0" w:color="auto"/>
              <w:right w:val="single" w:sz="4" w:space="0" w:color="auto"/>
            </w:tcBorders>
            <w:noWrap/>
            <w:vAlign w:val="bottom"/>
            <w:hideMark/>
          </w:tcPr>
          <w:p w14:paraId="0372AE7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619CF5B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16</w:t>
            </w:r>
          </w:p>
        </w:tc>
        <w:tc>
          <w:tcPr>
            <w:tcW w:w="217" w:type="pct"/>
            <w:tcBorders>
              <w:top w:val="nil"/>
              <w:left w:val="nil"/>
              <w:bottom w:val="single" w:sz="4" w:space="0" w:color="auto"/>
              <w:right w:val="single" w:sz="4" w:space="0" w:color="auto"/>
            </w:tcBorders>
            <w:noWrap/>
            <w:vAlign w:val="bottom"/>
            <w:hideMark/>
          </w:tcPr>
          <w:p w14:paraId="5D8BFE9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5EB2EA2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90" w:type="pct"/>
            <w:tcBorders>
              <w:top w:val="nil"/>
              <w:left w:val="nil"/>
              <w:bottom w:val="single" w:sz="4" w:space="0" w:color="auto"/>
              <w:right w:val="single" w:sz="4" w:space="0" w:color="auto"/>
            </w:tcBorders>
            <w:noWrap/>
            <w:vAlign w:val="bottom"/>
            <w:hideMark/>
          </w:tcPr>
          <w:p w14:paraId="10CCD6D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1D5A002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90" w:type="pct"/>
            <w:tcBorders>
              <w:top w:val="nil"/>
              <w:left w:val="nil"/>
              <w:bottom w:val="single" w:sz="4" w:space="0" w:color="auto"/>
              <w:right w:val="single" w:sz="4" w:space="0" w:color="auto"/>
            </w:tcBorders>
            <w:noWrap/>
            <w:vAlign w:val="bottom"/>
            <w:hideMark/>
          </w:tcPr>
          <w:p w14:paraId="20C54F3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4C7C791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20" w:type="pct"/>
            <w:tcBorders>
              <w:top w:val="nil"/>
              <w:left w:val="nil"/>
              <w:bottom w:val="single" w:sz="4" w:space="0" w:color="auto"/>
              <w:right w:val="single" w:sz="4" w:space="0" w:color="auto"/>
            </w:tcBorders>
            <w:noWrap/>
            <w:vAlign w:val="bottom"/>
            <w:hideMark/>
          </w:tcPr>
          <w:p w14:paraId="5E3D990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r>
      <w:tr w:rsidR="003D4369" w:rsidRPr="008017F0" w14:paraId="036740D3"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47ED747C"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SIC</w:t>
            </w:r>
          </w:p>
        </w:tc>
        <w:tc>
          <w:tcPr>
            <w:tcW w:w="287" w:type="pct"/>
            <w:tcBorders>
              <w:top w:val="nil"/>
              <w:left w:val="nil"/>
              <w:bottom w:val="single" w:sz="4" w:space="0" w:color="auto"/>
              <w:right w:val="single" w:sz="4" w:space="0" w:color="auto"/>
            </w:tcBorders>
            <w:noWrap/>
            <w:vAlign w:val="bottom"/>
            <w:hideMark/>
          </w:tcPr>
          <w:p w14:paraId="7B9A8AA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40" w:type="pct"/>
            <w:tcBorders>
              <w:top w:val="nil"/>
              <w:left w:val="nil"/>
              <w:bottom w:val="single" w:sz="4" w:space="0" w:color="auto"/>
              <w:right w:val="single" w:sz="4" w:space="0" w:color="auto"/>
            </w:tcBorders>
            <w:noWrap/>
            <w:vAlign w:val="bottom"/>
            <w:hideMark/>
          </w:tcPr>
          <w:p w14:paraId="72C5AE5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22" w:type="pct"/>
            <w:tcBorders>
              <w:top w:val="nil"/>
              <w:left w:val="nil"/>
              <w:bottom w:val="single" w:sz="4" w:space="0" w:color="auto"/>
              <w:right w:val="single" w:sz="4" w:space="0" w:color="auto"/>
            </w:tcBorders>
            <w:noWrap/>
            <w:vAlign w:val="bottom"/>
            <w:hideMark/>
          </w:tcPr>
          <w:p w14:paraId="24BEF82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26" w:type="pct"/>
            <w:tcBorders>
              <w:top w:val="nil"/>
              <w:left w:val="nil"/>
              <w:bottom w:val="single" w:sz="4" w:space="0" w:color="auto"/>
              <w:right w:val="single" w:sz="4" w:space="0" w:color="auto"/>
            </w:tcBorders>
            <w:noWrap/>
            <w:vAlign w:val="bottom"/>
            <w:hideMark/>
          </w:tcPr>
          <w:p w14:paraId="4D41FBC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7765E44D"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19" w:type="pct"/>
            <w:tcBorders>
              <w:top w:val="nil"/>
              <w:left w:val="nil"/>
              <w:bottom w:val="single" w:sz="4" w:space="0" w:color="auto"/>
              <w:right w:val="single" w:sz="4" w:space="0" w:color="auto"/>
            </w:tcBorders>
            <w:noWrap/>
            <w:vAlign w:val="bottom"/>
            <w:hideMark/>
          </w:tcPr>
          <w:p w14:paraId="1AF44F5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6</w:t>
            </w:r>
          </w:p>
        </w:tc>
        <w:tc>
          <w:tcPr>
            <w:tcW w:w="288" w:type="pct"/>
            <w:tcBorders>
              <w:top w:val="nil"/>
              <w:left w:val="nil"/>
              <w:bottom w:val="single" w:sz="4" w:space="0" w:color="auto"/>
              <w:right w:val="single" w:sz="4" w:space="0" w:color="auto"/>
            </w:tcBorders>
            <w:noWrap/>
            <w:vAlign w:val="bottom"/>
            <w:hideMark/>
          </w:tcPr>
          <w:p w14:paraId="29948FB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c>
          <w:tcPr>
            <w:tcW w:w="290" w:type="pct"/>
            <w:tcBorders>
              <w:top w:val="nil"/>
              <w:left w:val="nil"/>
              <w:bottom w:val="single" w:sz="4" w:space="0" w:color="auto"/>
              <w:right w:val="single" w:sz="4" w:space="0" w:color="auto"/>
            </w:tcBorders>
            <w:noWrap/>
            <w:vAlign w:val="bottom"/>
            <w:hideMark/>
          </w:tcPr>
          <w:p w14:paraId="4359B0B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5</w:t>
            </w:r>
          </w:p>
        </w:tc>
        <w:tc>
          <w:tcPr>
            <w:tcW w:w="288" w:type="pct"/>
            <w:tcBorders>
              <w:top w:val="nil"/>
              <w:left w:val="nil"/>
              <w:bottom w:val="single" w:sz="4" w:space="0" w:color="auto"/>
              <w:right w:val="single" w:sz="4" w:space="0" w:color="auto"/>
            </w:tcBorders>
            <w:noWrap/>
            <w:vAlign w:val="bottom"/>
            <w:hideMark/>
          </w:tcPr>
          <w:p w14:paraId="62DD9C38"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2</w:t>
            </w:r>
          </w:p>
        </w:tc>
        <w:tc>
          <w:tcPr>
            <w:tcW w:w="217" w:type="pct"/>
            <w:tcBorders>
              <w:top w:val="nil"/>
              <w:left w:val="nil"/>
              <w:bottom w:val="single" w:sz="4" w:space="0" w:color="auto"/>
              <w:right w:val="single" w:sz="4" w:space="0" w:color="auto"/>
            </w:tcBorders>
            <w:noWrap/>
            <w:vAlign w:val="bottom"/>
            <w:hideMark/>
          </w:tcPr>
          <w:p w14:paraId="6ABF099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88" w:type="pct"/>
            <w:tcBorders>
              <w:top w:val="nil"/>
              <w:left w:val="nil"/>
              <w:bottom w:val="single" w:sz="4" w:space="0" w:color="auto"/>
              <w:right w:val="single" w:sz="4" w:space="0" w:color="auto"/>
            </w:tcBorders>
            <w:noWrap/>
            <w:vAlign w:val="bottom"/>
            <w:hideMark/>
          </w:tcPr>
          <w:p w14:paraId="3DDF488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17" w:type="pct"/>
            <w:tcBorders>
              <w:top w:val="nil"/>
              <w:left w:val="nil"/>
              <w:bottom w:val="single" w:sz="4" w:space="0" w:color="auto"/>
              <w:right w:val="single" w:sz="4" w:space="0" w:color="auto"/>
            </w:tcBorders>
            <w:noWrap/>
            <w:vAlign w:val="bottom"/>
            <w:hideMark/>
          </w:tcPr>
          <w:p w14:paraId="39EF6EF7"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7</w:t>
            </w:r>
          </w:p>
        </w:tc>
        <w:tc>
          <w:tcPr>
            <w:tcW w:w="288" w:type="pct"/>
            <w:tcBorders>
              <w:top w:val="nil"/>
              <w:left w:val="nil"/>
              <w:bottom w:val="single" w:sz="4" w:space="0" w:color="auto"/>
              <w:right w:val="single" w:sz="4" w:space="0" w:color="auto"/>
            </w:tcBorders>
            <w:noWrap/>
            <w:vAlign w:val="bottom"/>
            <w:hideMark/>
          </w:tcPr>
          <w:p w14:paraId="3180CB7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90" w:type="pct"/>
            <w:tcBorders>
              <w:top w:val="nil"/>
              <w:left w:val="nil"/>
              <w:bottom w:val="single" w:sz="4" w:space="0" w:color="auto"/>
              <w:right w:val="single" w:sz="4" w:space="0" w:color="auto"/>
            </w:tcBorders>
            <w:noWrap/>
            <w:vAlign w:val="bottom"/>
            <w:hideMark/>
          </w:tcPr>
          <w:p w14:paraId="350AE7A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7E66C85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4</w:t>
            </w:r>
          </w:p>
        </w:tc>
        <w:tc>
          <w:tcPr>
            <w:tcW w:w="290" w:type="pct"/>
            <w:tcBorders>
              <w:top w:val="nil"/>
              <w:left w:val="nil"/>
              <w:bottom w:val="single" w:sz="4" w:space="0" w:color="auto"/>
              <w:right w:val="single" w:sz="4" w:space="0" w:color="auto"/>
            </w:tcBorders>
            <w:noWrap/>
            <w:vAlign w:val="bottom"/>
            <w:hideMark/>
          </w:tcPr>
          <w:p w14:paraId="481F978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88" w:type="pct"/>
            <w:tcBorders>
              <w:top w:val="nil"/>
              <w:left w:val="nil"/>
              <w:bottom w:val="single" w:sz="4" w:space="0" w:color="auto"/>
              <w:right w:val="single" w:sz="4" w:space="0" w:color="auto"/>
            </w:tcBorders>
            <w:noWrap/>
            <w:vAlign w:val="bottom"/>
            <w:hideMark/>
          </w:tcPr>
          <w:p w14:paraId="7F05EB0A"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3</w:t>
            </w:r>
          </w:p>
        </w:tc>
        <w:tc>
          <w:tcPr>
            <w:tcW w:w="220" w:type="pct"/>
            <w:tcBorders>
              <w:top w:val="nil"/>
              <w:left w:val="nil"/>
              <w:bottom w:val="single" w:sz="4" w:space="0" w:color="auto"/>
              <w:right w:val="single" w:sz="4" w:space="0" w:color="auto"/>
            </w:tcBorders>
            <w:noWrap/>
            <w:vAlign w:val="bottom"/>
            <w:hideMark/>
          </w:tcPr>
          <w:p w14:paraId="2116D14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w:t>
            </w:r>
          </w:p>
        </w:tc>
      </w:tr>
      <w:tr w:rsidR="003D4369" w:rsidRPr="008017F0" w14:paraId="2FE64392" w14:textId="77777777" w:rsidTr="00F33226">
        <w:trPr>
          <w:trHeight w:val="20"/>
        </w:trPr>
        <w:tc>
          <w:tcPr>
            <w:tcW w:w="266" w:type="pct"/>
            <w:tcBorders>
              <w:top w:val="nil"/>
              <w:left w:val="single" w:sz="4" w:space="0" w:color="auto"/>
              <w:bottom w:val="single" w:sz="4" w:space="0" w:color="auto"/>
              <w:right w:val="single" w:sz="4" w:space="0" w:color="auto"/>
            </w:tcBorders>
            <w:noWrap/>
            <w:vAlign w:val="bottom"/>
            <w:hideMark/>
          </w:tcPr>
          <w:p w14:paraId="2B2EA2B0" w14:textId="77777777" w:rsidR="003D4369" w:rsidRPr="008017F0" w:rsidRDefault="003D4369" w:rsidP="00F33226">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SAR</w:t>
            </w:r>
          </w:p>
        </w:tc>
        <w:tc>
          <w:tcPr>
            <w:tcW w:w="287" w:type="pct"/>
            <w:tcBorders>
              <w:top w:val="nil"/>
              <w:left w:val="nil"/>
              <w:bottom w:val="single" w:sz="4" w:space="0" w:color="auto"/>
              <w:right w:val="single" w:sz="4" w:space="0" w:color="auto"/>
            </w:tcBorders>
            <w:noWrap/>
            <w:vAlign w:val="bottom"/>
            <w:hideMark/>
          </w:tcPr>
          <w:p w14:paraId="37241114"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11</w:t>
            </w:r>
          </w:p>
        </w:tc>
        <w:tc>
          <w:tcPr>
            <w:tcW w:w="240" w:type="pct"/>
            <w:tcBorders>
              <w:top w:val="nil"/>
              <w:left w:val="nil"/>
              <w:bottom w:val="single" w:sz="4" w:space="0" w:color="auto"/>
              <w:right w:val="single" w:sz="4" w:space="0" w:color="auto"/>
            </w:tcBorders>
            <w:noWrap/>
            <w:vAlign w:val="bottom"/>
            <w:hideMark/>
          </w:tcPr>
          <w:p w14:paraId="7DB00F9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22" w:type="pct"/>
            <w:tcBorders>
              <w:top w:val="nil"/>
              <w:left w:val="nil"/>
              <w:bottom w:val="single" w:sz="4" w:space="0" w:color="auto"/>
              <w:right w:val="single" w:sz="4" w:space="0" w:color="auto"/>
            </w:tcBorders>
            <w:noWrap/>
            <w:vAlign w:val="bottom"/>
            <w:hideMark/>
          </w:tcPr>
          <w:p w14:paraId="66541B0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c>
          <w:tcPr>
            <w:tcW w:w="226" w:type="pct"/>
            <w:tcBorders>
              <w:top w:val="nil"/>
              <w:left w:val="nil"/>
              <w:bottom w:val="single" w:sz="4" w:space="0" w:color="auto"/>
              <w:right w:val="single" w:sz="4" w:space="0" w:color="auto"/>
            </w:tcBorders>
            <w:noWrap/>
            <w:vAlign w:val="bottom"/>
            <w:hideMark/>
          </w:tcPr>
          <w:p w14:paraId="439ECF4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3E821BC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19" w:type="pct"/>
            <w:tcBorders>
              <w:top w:val="nil"/>
              <w:left w:val="nil"/>
              <w:bottom w:val="single" w:sz="4" w:space="0" w:color="auto"/>
              <w:right w:val="single" w:sz="4" w:space="0" w:color="auto"/>
            </w:tcBorders>
            <w:noWrap/>
            <w:vAlign w:val="bottom"/>
            <w:hideMark/>
          </w:tcPr>
          <w:p w14:paraId="206F697F"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88" w:type="pct"/>
            <w:tcBorders>
              <w:top w:val="nil"/>
              <w:left w:val="nil"/>
              <w:bottom w:val="single" w:sz="4" w:space="0" w:color="auto"/>
              <w:right w:val="single" w:sz="4" w:space="0" w:color="auto"/>
            </w:tcBorders>
            <w:noWrap/>
            <w:vAlign w:val="bottom"/>
            <w:hideMark/>
          </w:tcPr>
          <w:p w14:paraId="6D2EF152"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90" w:type="pct"/>
            <w:tcBorders>
              <w:top w:val="nil"/>
              <w:left w:val="nil"/>
              <w:bottom w:val="single" w:sz="4" w:space="0" w:color="auto"/>
              <w:right w:val="single" w:sz="4" w:space="0" w:color="auto"/>
            </w:tcBorders>
            <w:noWrap/>
            <w:vAlign w:val="bottom"/>
            <w:hideMark/>
          </w:tcPr>
          <w:p w14:paraId="3CECBBDE"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14</w:t>
            </w:r>
          </w:p>
        </w:tc>
        <w:tc>
          <w:tcPr>
            <w:tcW w:w="288" w:type="pct"/>
            <w:tcBorders>
              <w:top w:val="nil"/>
              <w:left w:val="nil"/>
              <w:bottom w:val="single" w:sz="4" w:space="0" w:color="auto"/>
              <w:right w:val="single" w:sz="4" w:space="0" w:color="auto"/>
            </w:tcBorders>
            <w:noWrap/>
            <w:vAlign w:val="bottom"/>
            <w:hideMark/>
          </w:tcPr>
          <w:p w14:paraId="60F00ED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17" w:type="pct"/>
            <w:tcBorders>
              <w:top w:val="nil"/>
              <w:left w:val="nil"/>
              <w:bottom w:val="single" w:sz="4" w:space="0" w:color="auto"/>
              <w:right w:val="single" w:sz="4" w:space="0" w:color="auto"/>
            </w:tcBorders>
            <w:noWrap/>
            <w:vAlign w:val="bottom"/>
            <w:hideMark/>
          </w:tcPr>
          <w:p w14:paraId="747603C0"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13</w:t>
            </w:r>
          </w:p>
        </w:tc>
        <w:tc>
          <w:tcPr>
            <w:tcW w:w="288" w:type="pct"/>
            <w:tcBorders>
              <w:top w:val="nil"/>
              <w:left w:val="nil"/>
              <w:bottom w:val="single" w:sz="4" w:space="0" w:color="auto"/>
              <w:right w:val="single" w:sz="4" w:space="0" w:color="auto"/>
            </w:tcBorders>
            <w:noWrap/>
            <w:vAlign w:val="bottom"/>
            <w:hideMark/>
          </w:tcPr>
          <w:p w14:paraId="6E7ADF0C"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17" w:type="pct"/>
            <w:tcBorders>
              <w:top w:val="nil"/>
              <w:left w:val="nil"/>
              <w:bottom w:val="single" w:sz="4" w:space="0" w:color="auto"/>
              <w:right w:val="single" w:sz="4" w:space="0" w:color="auto"/>
            </w:tcBorders>
            <w:noWrap/>
            <w:vAlign w:val="bottom"/>
            <w:hideMark/>
          </w:tcPr>
          <w:p w14:paraId="7ACBCAC3"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15</w:t>
            </w:r>
          </w:p>
        </w:tc>
        <w:tc>
          <w:tcPr>
            <w:tcW w:w="288" w:type="pct"/>
            <w:tcBorders>
              <w:top w:val="nil"/>
              <w:left w:val="nil"/>
              <w:bottom w:val="single" w:sz="4" w:space="0" w:color="auto"/>
              <w:right w:val="single" w:sz="4" w:space="0" w:color="auto"/>
            </w:tcBorders>
            <w:noWrap/>
            <w:vAlign w:val="bottom"/>
            <w:hideMark/>
          </w:tcPr>
          <w:p w14:paraId="772EA15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90" w:type="pct"/>
            <w:tcBorders>
              <w:top w:val="nil"/>
              <w:left w:val="nil"/>
              <w:bottom w:val="single" w:sz="4" w:space="0" w:color="auto"/>
              <w:right w:val="single" w:sz="4" w:space="0" w:color="auto"/>
            </w:tcBorders>
            <w:noWrap/>
            <w:vAlign w:val="bottom"/>
            <w:hideMark/>
          </w:tcPr>
          <w:p w14:paraId="52F03BE1"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6536064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8</w:t>
            </w:r>
          </w:p>
        </w:tc>
        <w:tc>
          <w:tcPr>
            <w:tcW w:w="290" w:type="pct"/>
            <w:tcBorders>
              <w:top w:val="nil"/>
              <w:left w:val="nil"/>
              <w:bottom w:val="single" w:sz="4" w:space="0" w:color="auto"/>
              <w:right w:val="single" w:sz="4" w:space="0" w:color="auto"/>
            </w:tcBorders>
            <w:noWrap/>
            <w:vAlign w:val="bottom"/>
            <w:hideMark/>
          </w:tcPr>
          <w:p w14:paraId="649B759B"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w:t>
            </w:r>
          </w:p>
        </w:tc>
        <w:tc>
          <w:tcPr>
            <w:tcW w:w="288" w:type="pct"/>
            <w:tcBorders>
              <w:top w:val="nil"/>
              <w:left w:val="nil"/>
              <w:bottom w:val="single" w:sz="4" w:space="0" w:color="auto"/>
              <w:right w:val="single" w:sz="4" w:space="0" w:color="auto"/>
            </w:tcBorders>
            <w:noWrap/>
            <w:vAlign w:val="bottom"/>
            <w:hideMark/>
          </w:tcPr>
          <w:p w14:paraId="3AFBB4C5"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12</w:t>
            </w:r>
          </w:p>
        </w:tc>
        <w:tc>
          <w:tcPr>
            <w:tcW w:w="220" w:type="pct"/>
            <w:tcBorders>
              <w:top w:val="nil"/>
              <w:left w:val="nil"/>
              <w:bottom w:val="single" w:sz="4" w:space="0" w:color="auto"/>
              <w:right w:val="single" w:sz="4" w:space="0" w:color="auto"/>
            </w:tcBorders>
            <w:noWrap/>
            <w:vAlign w:val="bottom"/>
            <w:hideMark/>
          </w:tcPr>
          <w:p w14:paraId="6552ADE6" w14:textId="77777777" w:rsidR="003D4369" w:rsidRPr="008017F0" w:rsidRDefault="003D4369" w:rsidP="00F33226">
            <w:pPr>
              <w:spacing w:after="0" w:line="240" w:lineRule="auto"/>
              <w:jc w:val="right"/>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9</w:t>
            </w:r>
          </w:p>
        </w:tc>
      </w:tr>
    </w:tbl>
    <w:p w14:paraId="2FBB0AE9" w14:textId="77777777" w:rsidR="003D4369" w:rsidRPr="008017F0" w:rsidRDefault="003D4369" w:rsidP="003D4369">
      <w:pPr>
        <w:spacing w:after="0" w:line="240" w:lineRule="auto"/>
        <w:jc w:val="both"/>
        <w:rPr>
          <w:rFonts w:ascii="Times New Roman" w:hAnsi="Times New Roman" w:cs="Times New Roman"/>
          <w:i/>
          <w:iCs/>
          <w:sz w:val="18"/>
          <w:szCs w:val="18"/>
          <w:lang w:val="en-GB"/>
        </w:rPr>
      </w:pPr>
      <w:r w:rsidRPr="008017F0">
        <w:rPr>
          <w:rFonts w:ascii="Times New Roman" w:hAnsi="Times New Roman" w:cs="Times New Roman"/>
          <w:i/>
          <w:iCs/>
          <w:sz w:val="18"/>
          <w:szCs w:val="18"/>
          <w:lang w:val="en-GB"/>
        </w:rPr>
        <w:t xml:space="preserve">Sources: Own elaboration on Picci (2001) and CPT </w:t>
      </w:r>
    </w:p>
    <w:p w14:paraId="359E6270" w14:textId="77777777" w:rsidR="003D4369" w:rsidRPr="008017F0" w:rsidRDefault="003D4369" w:rsidP="003D4369">
      <w:pPr>
        <w:spacing w:after="0" w:line="240" w:lineRule="auto"/>
        <w:jc w:val="both"/>
        <w:rPr>
          <w:rFonts w:ascii="Times New Roman" w:hAnsi="Times New Roman" w:cs="Times New Roman"/>
          <w:i/>
          <w:iCs/>
          <w:sz w:val="18"/>
          <w:szCs w:val="18"/>
          <w:lang w:val="en-GB"/>
        </w:rPr>
      </w:pPr>
      <w:r w:rsidRPr="008017F0">
        <w:rPr>
          <w:rFonts w:ascii="Times New Roman" w:eastAsia="Yu Gothic Light" w:hAnsi="Times New Roman" w:cs="Times New Roman"/>
          <w:i/>
          <w:iCs/>
          <w:sz w:val="18"/>
          <w:szCs w:val="18"/>
          <w:lang w:val="en-GB"/>
        </w:rPr>
        <w:t>(</w:t>
      </w:r>
      <w:hyperlink r:id="rId11" w:history="1">
        <w:r w:rsidRPr="008017F0">
          <w:rPr>
            <w:rStyle w:val="Collegamentoipertestuale"/>
            <w:rFonts w:ascii="Times New Roman" w:hAnsi="Times New Roman" w:cs="Times New Roman"/>
            <w:i/>
            <w:iCs/>
            <w:color w:val="auto"/>
            <w:sz w:val="18"/>
            <w:szCs w:val="18"/>
            <w:lang w:val="en-GB"/>
          </w:rPr>
          <w:t>https://www.contipubbliciterritoriali.it/CPTDE/catalogo/CPTDE_CatalogoCPT.html)</w:t>
        </w:r>
      </w:hyperlink>
      <w:r w:rsidRPr="008017F0">
        <w:rPr>
          <w:rFonts w:ascii="Times New Roman" w:hAnsi="Times New Roman" w:cs="Times New Roman"/>
          <w:i/>
          <w:iCs/>
          <w:sz w:val="18"/>
          <w:szCs w:val="18"/>
          <w:lang w:val="en-GB"/>
        </w:rPr>
        <w:t>;  for the declining balance rate IVIE (Perez et al., 2019) and for the depreciation rate EUKLEMS (</w:t>
      </w:r>
      <w:hyperlink r:id="rId12" w:history="1">
        <w:r w:rsidRPr="008017F0">
          <w:rPr>
            <w:rStyle w:val="Collegamentoipertestuale"/>
            <w:rFonts w:ascii="Times New Roman" w:hAnsi="Times New Roman" w:cs="Times New Roman"/>
            <w:i/>
            <w:iCs/>
            <w:color w:val="auto"/>
            <w:sz w:val="18"/>
            <w:szCs w:val="18"/>
            <w:lang w:val="en-GB"/>
          </w:rPr>
          <w:t>https://euklems.eu/</w:t>
        </w:r>
      </w:hyperlink>
      <w:r w:rsidRPr="008017F0">
        <w:rPr>
          <w:rFonts w:ascii="Times New Roman" w:hAnsi="Times New Roman" w:cs="Times New Roman"/>
          <w:i/>
          <w:iCs/>
          <w:sz w:val="18"/>
          <w:szCs w:val="18"/>
          <w:lang w:val="en-GB"/>
        </w:rPr>
        <w:t>).</w:t>
      </w:r>
    </w:p>
    <w:p w14:paraId="18333BB4" w14:textId="77777777" w:rsidR="003D4369" w:rsidRPr="008017F0" w:rsidRDefault="003D4369" w:rsidP="003D4369">
      <w:pPr>
        <w:spacing w:after="0" w:line="240" w:lineRule="auto"/>
        <w:jc w:val="both"/>
        <w:rPr>
          <w:rFonts w:ascii="Times New Roman" w:hAnsi="Times New Roman" w:cs="Times New Roman"/>
          <w:bCs/>
          <w:i/>
          <w:iCs/>
          <w:sz w:val="18"/>
          <w:szCs w:val="18"/>
          <w:lang w:val="en-GB"/>
        </w:rPr>
      </w:pPr>
      <w:r w:rsidRPr="008017F0">
        <w:rPr>
          <w:rFonts w:ascii="Times New Roman" w:hAnsi="Times New Roman" w:cs="Times New Roman"/>
          <w:bCs/>
          <w:i/>
          <w:iCs/>
          <w:sz w:val="18"/>
          <w:szCs w:val="18"/>
          <w:lang w:val="en-GB"/>
        </w:rPr>
        <w:t>Note: a lower figure corresponds to a higher monetary index.</w:t>
      </w:r>
    </w:p>
    <w:p w14:paraId="00863A24" w14:textId="77777777" w:rsidR="003D4369" w:rsidRPr="008017F0" w:rsidRDefault="003D4369" w:rsidP="003D4369">
      <w:pPr>
        <w:pStyle w:val="RSEGTITOLO2"/>
      </w:pPr>
    </w:p>
    <w:p w14:paraId="38713113" w14:textId="77777777" w:rsidR="003D4369" w:rsidRPr="008017F0" w:rsidRDefault="003D4369" w:rsidP="003D4369">
      <w:pPr>
        <w:pStyle w:val="RSEGTITOLO2"/>
      </w:pPr>
    </w:p>
    <w:p w14:paraId="69747001" w14:textId="77777777" w:rsidR="003D4369" w:rsidRPr="008017F0" w:rsidRDefault="003D4369" w:rsidP="003D4369">
      <w:pPr>
        <w:pStyle w:val="RSEGTITOLO2"/>
        <w:sectPr w:rsidR="003D4369" w:rsidRPr="008017F0" w:rsidSect="003D4369">
          <w:pgSz w:w="11906" w:h="16838"/>
          <w:pgMar w:top="1418" w:right="1134" w:bottom="1134" w:left="1134" w:header="709" w:footer="709" w:gutter="0"/>
          <w:cols w:space="708"/>
          <w:docGrid w:linePitch="360"/>
        </w:sectPr>
      </w:pPr>
    </w:p>
    <w:p w14:paraId="2F679502" w14:textId="14CD7BFA" w:rsidR="003D4369" w:rsidRPr="008017F0" w:rsidRDefault="003D4369" w:rsidP="003D4369">
      <w:pPr>
        <w:keepNext/>
        <w:keepLines/>
        <w:widowControl w:val="0"/>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Map A</w:t>
      </w:r>
      <w:r w:rsidR="008F4BDB" w:rsidRPr="008017F0">
        <w:rPr>
          <w:rFonts w:ascii="Times New Roman" w:hAnsi="Times New Roman" w:cs="Times New Roman"/>
          <w:lang w:val="en-GB"/>
        </w:rPr>
        <w:t>1</w:t>
      </w:r>
      <w:r w:rsidRPr="008017F0">
        <w:rPr>
          <w:rFonts w:ascii="Times New Roman" w:hAnsi="Times New Roman" w:cs="Times New Roman"/>
          <w:lang w:val="en-GB"/>
        </w:rPr>
        <w:t>. The new measure of monetary capital stock. Regional endowment rankings (1989, 2019)</w:t>
      </w:r>
    </w:p>
    <w:p w14:paraId="33CC3E0D" w14:textId="77777777" w:rsidR="003D4369" w:rsidRPr="008017F0" w:rsidRDefault="003D4369" w:rsidP="003D4369">
      <w:pPr>
        <w:keepNext/>
        <w:keepLines/>
        <w:widowControl w:val="0"/>
        <w:spacing w:after="0" w:line="240" w:lineRule="auto"/>
        <w:jc w:val="center"/>
        <w:rPr>
          <w:rFonts w:ascii="Times New Roman" w:hAnsi="Times New Roman" w:cs="Times New Roman"/>
          <w:lang w:val="en-GB"/>
        </w:rPr>
      </w:pPr>
      <w:r w:rsidRPr="008017F0">
        <w:rPr>
          <w:rFonts w:ascii="Times New Roman" w:hAnsi="Times New Roman" w:cs="Times New Roman"/>
          <w:lang w:val="en-GB"/>
        </w:rPr>
        <w:t>1989</w:t>
      </w:r>
    </w:p>
    <w:p w14:paraId="3D7547C6" w14:textId="77777777" w:rsidR="003D4369" w:rsidRPr="008017F0" w:rsidRDefault="003D4369" w:rsidP="003D4369">
      <w:pPr>
        <w:keepNext/>
        <w:keepLines/>
        <w:widowControl w:val="0"/>
        <w:spacing w:after="0" w:line="240" w:lineRule="auto"/>
        <w:jc w:val="center"/>
        <w:rPr>
          <w:rFonts w:ascii="Times New Roman" w:hAnsi="Times New Roman" w:cs="Times New Roman"/>
          <w:lang w:val="en-GB"/>
        </w:rPr>
      </w:pPr>
      <w:r w:rsidRPr="008017F0">
        <w:rPr>
          <w:rFonts w:ascii="Times New Roman" w:hAnsi="Times New Roman" w:cs="Times New Roman"/>
          <w:noProof/>
          <w:lang w:val="en-GB"/>
        </w:rPr>
        <w:drawing>
          <wp:inline distT="0" distB="0" distL="0" distR="0" wp14:anchorId="4CE5CB7B" wp14:editId="26BBFE29">
            <wp:extent cx="1695450" cy="2181716"/>
            <wp:effectExtent l="0" t="0" r="0" b="9525"/>
            <wp:docPr id="2136554078"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9084" cy="2199261"/>
                    </a:xfrm>
                    <a:prstGeom prst="rect">
                      <a:avLst/>
                    </a:prstGeom>
                    <a:noFill/>
                  </pic:spPr>
                </pic:pic>
              </a:graphicData>
            </a:graphic>
          </wp:inline>
        </w:drawing>
      </w:r>
      <w:r w:rsidRPr="008017F0">
        <w:rPr>
          <w:rFonts w:ascii="Times New Roman" w:hAnsi="Times New Roman" w:cs="Times New Roman"/>
          <w:lang w:val="en-GB"/>
        </w:rPr>
        <w:t xml:space="preserve"> </w:t>
      </w:r>
      <w:r w:rsidRPr="008017F0">
        <w:rPr>
          <w:rFonts w:ascii="Times New Roman" w:hAnsi="Times New Roman" w:cs="Times New Roman"/>
          <w:noProof/>
          <w:lang w:val="en-GB"/>
        </w:rPr>
        <w:drawing>
          <wp:inline distT="0" distB="0" distL="0" distR="0" wp14:anchorId="15122185" wp14:editId="739CAEC0">
            <wp:extent cx="1685925" cy="2172093"/>
            <wp:effectExtent l="0" t="0" r="0" b="0"/>
            <wp:docPr id="1154140369"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6887" cy="2186217"/>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CE8E7DF" wp14:editId="6E14340B">
            <wp:extent cx="1693015" cy="2181225"/>
            <wp:effectExtent l="0" t="0" r="2540" b="0"/>
            <wp:docPr id="1679354801"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9426" cy="2202368"/>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181D88A1" wp14:editId="400F3AEA">
            <wp:extent cx="1678228" cy="2162175"/>
            <wp:effectExtent l="0" t="0" r="0" b="0"/>
            <wp:docPr id="873588275"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5562" cy="2184507"/>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23540637" wp14:editId="697F3256">
            <wp:extent cx="1663442" cy="2143125"/>
            <wp:effectExtent l="0" t="0" r="0" b="0"/>
            <wp:docPr id="804520354"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7411" cy="216112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4FBAFC96" wp14:editId="3E3A4AF3">
            <wp:extent cx="1608116" cy="2069332"/>
            <wp:effectExtent l="0" t="0" r="0" b="7620"/>
            <wp:docPr id="413771216"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6083" cy="209245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ECA33FB" wp14:editId="0E391135">
            <wp:extent cx="1790738" cy="2304332"/>
            <wp:effectExtent l="0" t="0" r="0" b="1270"/>
            <wp:docPr id="569308678"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6394" cy="2324478"/>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3E55DCBF" wp14:editId="7F025197">
            <wp:extent cx="1790700" cy="2304282"/>
            <wp:effectExtent l="0" t="0" r="0" b="1270"/>
            <wp:docPr id="1641295433"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507" cy="231690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170115A1" wp14:editId="1FA77A10">
            <wp:extent cx="1766944" cy="2276475"/>
            <wp:effectExtent l="0" t="0" r="5080" b="0"/>
            <wp:docPr id="824910241"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0666" cy="2294154"/>
                    </a:xfrm>
                    <a:prstGeom prst="rect">
                      <a:avLst/>
                    </a:prstGeom>
                    <a:noFill/>
                  </pic:spPr>
                </pic:pic>
              </a:graphicData>
            </a:graphic>
          </wp:inline>
        </w:drawing>
      </w:r>
      <w:r w:rsidRPr="008017F0">
        <w:rPr>
          <w:rFonts w:ascii="Times New Roman" w:hAnsi="Times New Roman" w:cs="Times New Roman"/>
          <w:lang w:val="en-GB"/>
        </w:rPr>
        <w:br w:type="page"/>
      </w:r>
    </w:p>
    <w:p w14:paraId="574F429B" w14:textId="77777777" w:rsidR="003D4369" w:rsidRPr="008017F0" w:rsidRDefault="003D4369" w:rsidP="003D4369">
      <w:pPr>
        <w:keepNext/>
        <w:keepLines/>
        <w:widowControl w:val="0"/>
        <w:spacing w:after="0" w:line="240" w:lineRule="auto"/>
        <w:jc w:val="center"/>
        <w:rPr>
          <w:rFonts w:ascii="Times New Roman" w:hAnsi="Times New Roman" w:cs="Times New Roman"/>
          <w:lang w:val="en-GB"/>
        </w:rPr>
      </w:pPr>
      <w:r w:rsidRPr="008017F0">
        <w:rPr>
          <w:rFonts w:ascii="Times New Roman" w:hAnsi="Times New Roman" w:cs="Times New Roman"/>
          <w:lang w:val="en-GB"/>
        </w:rPr>
        <w:lastRenderedPageBreak/>
        <w:t>2019</w:t>
      </w:r>
    </w:p>
    <w:p w14:paraId="16BB1FAF" w14:textId="77777777" w:rsidR="003D4369" w:rsidRPr="008017F0" w:rsidRDefault="003D4369" w:rsidP="003D4369">
      <w:pPr>
        <w:keepNext/>
        <w:keepLines/>
        <w:widowControl w:val="0"/>
        <w:spacing w:line="240" w:lineRule="auto"/>
        <w:jc w:val="center"/>
        <w:rPr>
          <w:rFonts w:ascii="Times New Roman" w:hAnsi="Times New Roman" w:cs="Times New Roman"/>
          <w:lang w:val="en-GB"/>
        </w:rPr>
      </w:pPr>
      <w:r w:rsidRPr="008017F0">
        <w:rPr>
          <w:rFonts w:ascii="Times New Roman" w:hAnsi="Times New Roman" w:cs="Times New Roman"/>
          <w:noProof/>
          <w:lang w:val="en-GB"/>
        </w:rPr>
        <w:drawing>
          <wp:inline distT="0" distB="0" distL="0" distR="0" wp14:anchorId="7702709B" wp14:editId="33A6DE60">
            <wp:extent cx="1641263" cy="2114550"/>
            <wp:effectExtent l="0" t="0" r="0" b="0"/>
            <wp:docPr id="684091355"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3052" cy="2129739"/>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23ADCA4A" wp14:editId="5D364250">
            <wp:extent cx="1626476" cy="2095500"/>
            <wp:effectExtent l="0" t="0" r="0" b="0"/>
            <wp:docPr id="1043468675"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36228" cy="2108065"/>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059AD135" wp14:editId="1F587F13">
            <wp:extent cx="1628775" cy="2098462"/>
            <wp:effectExtent l="0" t="0" r="0" b="0"/>
            <wp:docPr id="1065226907"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34808" cy="2106235"/>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210FC4CF" wp14:editId="74FE08EC">
            <wp:extent cx="1654078" cy="2131060"/>
            <wp:effectExtent l="0" t="0" r="3810" b="2540"/>
            <wp:docPr id="1377452391"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72895" cy="2155303"/>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0A929C3" wp14:editId="04B40A91">
            <wp:extent cx="1647825" cy="2123007"/>
            <wp:effectExtent l="0" t="0" r="0" b="0"/>
            <wp:docPr id="2000806732"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71939" cy="2154075"/>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0A05FF4C" wp14:editId="231FB6F1">
            <wp:extent cx="1704975" cy="2196635"/>
            <wp:effectExtent l="0" t="0" r="0" b="0"/>
            <wp:docPr id="414638916"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15733" cy="2210495"/>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12B9F519" wp14:editId="02FC86BE">
            <wp:extent cx="1704975" cy="2196635"/>
            <wp:effectExtent l="0" t="0" r="0" b="0"/>
            <wp:docPr id="1735692566"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21427" cy="221783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2CC9E584" wp14:editId="5876BF2A">
            <wp:extent cx="1695450" cy="2184364"/>
            <wp:effectExtent l="0" t="0" r="0" b="6985"/>
            <wp:docPr id="293528146"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06198" cy="2198211"/>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E90804E" wp14:editId="68970634">
            <wp:extent cx="1663620" cy="2143354"/>
            <wp:effectExtent l="0" t="0" r="0" b="0"/>
            <wp:docPr id="88203391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87621" cy="2174276"/>
                    </a:xfrm>
                    <a:prstGeom prst="rect">
                      <a:avLst/>
                    </a:prstGeom>
                    <a:noFill/>
                  </pic:spPr>
                </pic:pic>
              </a:graphicData>
            </a:graphic>
          </wp:inline>
        </w:drawing>
      </w:r>
    </w:p>
    <w:p w14:paraId="23BB3B37" w14:textId="77777777" w:rsidR="003D4369" w:rsidRPr="008017F0" w:rsidRDefault="003D4369" w:rsidP="003D4369">
      <w:pPr>
        <w:keepNext/>
        <w:keepLines/>
        <w:widowControl w:val="0"/>
        <w:spacing w:after="0" w:line="240" w:lineRule="auto"/>
        <w:jc w:val="both"/>
        <w:rPr>
          <w:rFonts w:ascii="Times New Roman" w:hAnsi="Times New Roman" w:cs="Times New Roman"/>
          <w:bCs/>
          <w:i/>
          <w:iCs/>
          <w:sz w:val="20"/>
          <w:szCs w:val="20"/>
          <w:lang w:val="en-GB"/>
        </w:rPr>
      </w:pPr>
      <w:r w:rsidRPr="008017F0">
        <w:rPr>
          <w:rFonts w:ascii="Times New Roman" w:hAnsi="Times New Roman" w:cs="Times New Roman"/>
          <w:bCs/>
          <w:i/>
          <w:iCs/>
          <w:sz w:val="20"/>
          <w:szCs w:val="20"/>
          <w:lang w:val="en-GB"/>
        </w:rPr>
        <w:t>Note: Higher ranking corresponds to darker blue regions and to higher monetary capital stock.</w:t>
      </w:r>
    </w:p>
    <w:p w14:paraId="60DB8120" w14:textId="77777777" w:rsidR="003D4369" w:rsidRPr="008017F0" w:rsidRDefault="003D4369" w:rsidP="003D4369">
      <w:pPr>
        <w:rPr>
          <w:rFonts w:ascii="Times New Roman" w:hAnsi="Times New Roman" w:cs="Times New Roman"/>
          <w:lang w:val="en-GB"/>
        </w:rPr>
      </w:pPr>
      <w:r w:rsidRPr="008017F0">
        <w:rPr>
          <w:rFonts w:ascii="Times New Roman" w:hAnsi="Times New Roman" w:cs="Times New Roman"/>
          <w:lang w:val="en-GB"/>
        </w:rPr>
        <w:br w:type="page"/>
      </w:r>
    </w:p>
    <w:p w14:paraId="4F238E94" w14:textId="72FB6432" w:rsidR="00534F50" w:rsidRPr="008017F0" w:rsidRDefault="00534F50" w:rsidP="00B11595">
      <w:pPr>
        <w:spacing w:after="0" w:line="360" w:lineRule="auto"/>
        <w:rPr>
          <w:rFonts w:ascii="Times New Roman" w:hAnsi="Times New Roman" w:cs="Times New Roman"/>
          <w:b/>
          <w:bCs/>
          <w:sz w:val="24"/>
          <w:szCs w:val="24"/>
          <w:lang w:val="en-GB"/>
        </w:rPr>
      </w:pPr>
      <w:r w:rsidRPr="008017F0">
        <w:rPr>
          <w:rFonts w:ascii="Times New Roman" w:hAnsi="Times New Roman" w:cs="Times New Roman"/>
          <w:b/>
          <w:bCs/>
          <w:sz w:val="24"/>
          <w:szCs w:val="24"/>
          <w:lang w:val="en-GB"/>
        </w:rPr>
        <w:lastRenderedPageBreak/>
        <w:t xml:space="preserve">Appendix </w:t>
      </w:r>
      <w:r w:rsidR="003D4369" w:rsidRPr="008017F0">
        <w:rPr>
          <w:rFonts w:ascii="Times New Roman" w:hAnsi="Times New Roman" w:cs="Times New Roman"/>
          <w:b/>
          <w:bCs/>
          <w:sz w:val="24"/>
          <w:szCs w:val="24"/>
          <w:lang w:val="en-GB"/>
        </w:rPr>
        <w:t>2</w:t>
      </w:r>
      <w:r w:rsidR="00FA1116" w:rsidRPr="008017F0">
        <w:rPr>
          <w:rFonts w:ascii="Times New Roman" w:hAnsi="Times New Roman" w:cs="Times New Roman"/>
          <w:b/>
          <w:bCs/>
          <w:sz w:val="24"/>
          <w:szCs w:val="24"/>
          <w:lang w:val="en-GB"/>
        </w:rPr>
        <w:t xml:space="preserve">. </w:t>
      </w:r>
      <w:r w:rsidRPr="008017F0">
        <w:rPr>
          <w:rFonts w:ascii="Times New Roman" w:hAnsi="Times New Roman" w:cs="Times New Roman"/>
          <w:b/>
          <w:bCs/>
          <w:sz w:val="24"/>
          <w:szCs w:val="24"/>
          <w:lang w:val="en-GB"/>
        </w:rPr>
        <w:t>The public capital in physical terms</w:t>
      </w:r>
      <w:r w:rsidR="00E11289" w:rsidRPr="008017F0">
        <w:rPr>
          <w:rFonts w:ascii="Times New Roman" w:hAnsi="Times New Roman" w:cs="Times New Roman"/>
          <w:b/>
          <w:bCs/>
          <w:sz w:val="24"/>
          <w:szCs w:val="24"/>
          <w:lang w:val="en-GB"/>
        </w:rPr>
        <w:t>. Supplementary information</w:t>
      </w:r>
    </w:p>
    <w:p w14:paraId="424A66E9" w14:textId="31887F8F" w:rsidR="00534F50" w:rsidRPr="008017F0" w:rsidRDefault="00534F50" w:rsidP="00534F50">
      <w:pPr>
        <w:keepNext/>
        <w:spacing w:after="0" w:line="360" w:lineRule="auto"/>
        <w:jc w:val="both"/>
        <w:rPr>
          <w:rFonts w:ascii="Times New Roman" w:hAnsi="Times New Roman" w:cs="Times New Roman"/>
          <w:i/>
          <w:sz w:val="24"/>
          <w:szCs w:val="24"/>
          <w:lang w:val="en-GB"/>
        </w:rPr>
      </w:pPr>
      <w:r w:rsidRPr="008017F0">
        <w:rPr>
          <w:rFonts w:ascii="Times New Roman" w:hAnsi="Times New Roman" w:cs="Times New Roman"/>
          <w:i/>
          <w:sz w:val="24"/>
          <w:szCs w:val="24"/>
          <w:lang w:val="en-GB"/>
        </w:rPr>
        <w:t xml:space="preserve">The available physical indicators of infrastructure for the Italian regions </w:t>
      </w:r>
    </w:p>
    <w:p w14:paraId="62F18A14" w14:textId="77777777" w:rsidR="00FA1116" w:rsidRPr="008017F0" w:rsidRDefault="00FA1116" w:rsidP="00FA1116">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Infrastructure is a huge umbrella term for many factors facilitating the production of goods or services. In fact, several infrastructure classifications have been introduced by different authors. Moreover, many approaches have been adopted to measure infrastructural endowment, either in physical terms – constructing a measure of physical public infrastructure using appropriate elementary indicators, or in monetary terms – using the Perpetual Inventory Model (PIM) to cumulate fixed capital formation. </w:t>
      </w:r>
    </w:p>
    <w:p w14:paraId="38BFD66E" w14:textId="4F889C35" w:rsidR="00FA1116" w:rsidRPr="008017F0" w:rsidRDefault="00FA1116" w:rsidP="00FA1116">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Table A</w:t>
      </w:r>
      <w:r w:rsidR="008F4BDB" w:rsidRPr="008017F0">
        <w:rPr>
          <w:rFonts w:ascii="Times New Roman" w:hAnsi="Times New Roman" w:cs="Times New Roman"/>
          <w:sz w:val="24"/>
          <w:szCs w:val="24"/>
          <w:lang w:val="en-GB"/>
        </w:rPr>
        <w:t>5</w:t>
      </w:r>
      <w:r w:rsidRPr="008017F0">
        <w:rPr>
          <w:rFonts w:ascii="Times New Roman" w:hAnsi="Times New Roman" w:cs="Times New Roman"/>
          <w:sz w:val="24"/>
          <w:szCs w:val="24"/>
          <w:lang w:val="en-GB"/>
        </w:rPr>
        <w:t xml:space="preserve"> sums up the main infrastructure indexes in physical terms still currently extant for Italian regions and provinces.</w:t>
      </w:r>
    </w:p>
    <w:p w14:paraId="674B1195" w14:textId="3ADAF21F" w:rsidR="00FA1116" w:rsidRPr="008017F0" w:rsidRDefault="00D97F66" w:rsidP="00FA1116">
      <w:pPr>
        <w:spacing w:after="0" w:line="360" w:lineRule="auto"/>
        <w:jc w:val="center"/>
        <w:rPr>
          <w:rFonts w:ascii="Times New Roman" w:hAnsi="Times New Roman" w:cs="Times New Roman"/>
          <w:lang w:val="en-GB"/>
        </w:rPr>
      </w:pPr>
      <w:r w:rsidRPr="008017F0">
        <w:rPr>
          <w:rFonts w:ascii="Times New Roman" w:hAnsi="Times New Roman" w:cs="Times New Roman"/>
          <w:lang w:val="en-GB"/>
        </w:rPr>
        <w:t>Table A</w:t>
      </w:r>
      <w:r w:rsidR="008F4BDB" w:rsidRPr="008017F0">
        <w:rPr>
          <w:rFonts w:ascii="Times New Roman" w:hAnsi="Times New Roman" w:cs="Times New Roman"/>
          <w:lang w:val="en-GB"/>
        </w:rPr>
        <w:t>5</w:t>
      </w:r>
      <w:r w:rsidRPr="008017F0">
        <w:rPr>
          <w:rFonts w:ascii="Times New Roman" w:hAnsi="Times New Roman" w:cs="Times New Roman"/>
          <w:lang w:val="en-GB"/>
        </w:rPr>
        <w:t xml:space="preserve"> The main infrastructure indicators in physical terms, Italian regions and provinces.</w:t>
      </w:r>
    </w:p>
    <w:p w14:paraId="31B8CFD9" w14:textId="6B9B4BA3" w:rsidR="00D97F66" w:rsidRPr="008017F0" w:rsidRDefault="00D97F66" w:rsidP="00FA1116">
      <w:pPr>
        <w:spacing w:after="0" w:line="360" w:lineRule="auto"/>
        <w:jc w:val="center"/>
        <w:rPr>
          <w:rFonts w:ascii="Times New Roman" w:hAnsi="Times New Roman" w:cs="Times New Roman"/>
          <w:sz w:val="24"/>
          <w:szCs w:val="24"/>
          <w:lang w:val="en-GB"/>
        </w:rPr>
      </w:pPr>
      <w:r w:rsidRPr="008017F0">
        <w:rPr>
          <w:noProof/>
          <w:lang w:val="en-GB"/>
        </w:rPr>
        <w:drawing>
          <wp:inline distT="0" distB="0" distL="0" distR="0" wp14:anchorId="1EC32F94" wp14:editId="79FBB268">
            <wp:extent cx="6120130" cy="3263265"/>
            <wp:effectExtent l="0" t="0" r="0" b="0"/>
            <wp:docPr id="152019231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3263265"/>
                    </a:xfrm>
                    <a:prstGeom prst="rect">
                      <a:avLst/>
                    </a:prstGeom>
                    <a:noFill/>
                    <a:ln>
                      <a:noFill/>
                    </a:ln>
                  </pic:spPr>
                </pic:pic>
              </a:graphicData>
            </a:graphic>
          </wp:inline>
        </w:drawing>
      </w:r>
    </w:p>
    <w:p w14:paraId="45EE65AF" w14:textId="719B8A4A" w:rsidR="00FA1116" w:rsidRPr="008017F0" w:rsidRDefault="00FA1116" w:rsidP="00FA1116">
      <w:pPr>
        <w:keepNext/>
        <w:spacing w:after="0" w:line="360" w:lineRule="auto"/>
        <w:jc w:val="both"/>
        <w:rPr>
          <w:rFonts w:ascii="Times New Roman" w:hAnsi="Times New Roman" w:cs="Times New Roman"/>
          <w:i/>
          <w:sz w:val="24"/>
          <w:szCs w:val="24"/>
          <w:lang w:val="en-GB"/>
        </w:rPr>
      </w:pPr>
      <w:r w:rsidRPr="008017F0">
        <w:rPr>
          <w:rFonts w:ascii="Times New Roman" w:hAnsi="Times New Roman" w:cs="Times New Roman"/>
          <w:i/>
          <w:sz w:val="24"/>
          <w:szCs w:val="24"/>
          <w:lang w:val="en-GB"/>
        </w:rPr>
        <w:t xml:space="preserve">Computing the new physical infrastructure indicator </w:t>
      </w:r>
    </w:p>
    <w:p w14:paraId="3BE92DDF" w14:textId="29E530B6" w:rsidR="00FA1116" w:rsidRPr="008017F0" w:rsidRDefault="00FA1116" w:rsidP="00FA1116">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Various data sources were employed to yield long and consistent time series for our indicators (Table </w:t>
      </w:r>
      <w:r w:rsidR="00F26A5B" w:rsidRPr="008017F0">
        <w:rPr>
          <w:rFonts w:ascii="Times New Roman" w:hAnsi="Times New Roman" w:cs="Times New Roman"/>
          <w:sz w:val="24"/>
          <w:szCs w:val="24"/>
          <w:lang w:val="en-GB"/>
        </w:rPr>
        <w:t>A</w:t>
      </w:r>
      <w:r w:rsidRPr="008017F0">
        <w:rPr>
          <w:rFonts w:ascii="Times New Roman" w:hAnsi="Times New Roman" w:cs="Times New Roman"/>
          <w:sz w:val="24"/>
          <w:szCs w:val="24"/>
          <w:lang w:val="en-GB"/>
        </w:rPr>
        <w:t xml:space="preserve">2). The main sources were Eurostat – Regional statistics, for 1990-2019, and Istat – Atlante </w:t>
      </w:r>
      <w:proofErr w:type="spellStart"/>
      <w:r w:rsidRPr="008017F0">
        <w:rPr>
          <w:rFonts w:ascii="Times New Roman" w:hAnsi="Times New Roman" w:cs="Times New Roman"/>
          <w:sz w:val="24"/>
          <w:szCs w:val="24"/>
          <w:lang w:val="en-GB"/>
        </w:rPr>
        <w:t>Statistico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Territoriale</w:t>
      </w:r>
      <w:proofErr w:type="spellEnd"/>
      <w:r w:rsidRPr="008017F0">
        <w:rPr>
          <w:rFonts w:ascii="Times New Roman" w:hAnsi="Times New Roman" w:cs="Times New Roman"/>
          <w:sz w:val="24"/>
          <w:szCs w:val="24"/>
          <w:lang w:val="en-GB"/>
        </w:rPr>
        <w:t xml:space="preserve"> delle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(ASTI) for 1996-2019. Other Istat statistics have been used from </w:t>
      </w:r>
      <w:proofErr w:type="spellStart"/>
      <w:r w:rsidRPr="008017F0">
        <w:rPr>
          <w:rFonts w:ascii="Times New Roman" w:hAnsi="Times New Roman" w:cs="Times New Roman"/>
          <w:sz w:val="24"/>
          <w:szCs w:val="24"/>
          <w:lang w:val="en-GB"/>
        </w:rPr>
        <w:t>I.Stat</w:t>
      </w:r>
      <w:proofErr w:type="spellEnd"/>
      <w:r w:rsidRPr="008017F0">
        <w:rPr>
          <w:rFonts w:ascii="Times New Roman" w:hAnsi="Times New Roman" w:cs="Times New Roman"/>
          <w:sz w:val="24"/>
          <w:szCs w:val="24"/>
          <w:lang w:val="en-GB"/>
        </w:rPr>
        <w:t xml:space="preserve"> and Istat – </w:t>
      </w:r>
      <w:proofErr w:type="spellStart"/>
      <w:r w:rsidRPr="008017F0">
        <w:rPr>
          <w:rFonts w:ascii="Times New Roman" w:hAnsi="Times New Roman" w:cs="Times New Roman"/>
          <w:sz w:val="24"/>
          <w:szCs w:val="24"/>
          <w:lang w:val="en-GB"/>
        </w:rPr>
        <w:t>Indicatori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territoriali</w:t>
      </w:r>
      <w:proofErr w:type="spellEnd"/>
      <w:r w:rsidRPr="008017F0">
        <w:rPr>
          <w:rFonts w:ascii="Times New Roman" w:hAnsi="Times New Roman" w:cs="Times New Roman"/>
          <w:sz w:val="24"/>
          <w:szCs w:val="24"/>
          <w:lang w:val="en-GB"/>
        </w:rPr>
        <w:t xml:space="preserve"> delle </w:t>
      </w:r>
      <w:proofErr w:type="spellStart"/>
      <w:r w:rsidRPr="008017F0">
        <w:rPr>
          <w:rFonts w:ascii="Times New Roman" w:hAnsi="Times New Roman" w:cs="Times New Roman"/>
          <w:sz w:val="24"/>
          <w:szCs w:val="24"/>
          <w:lang w:val="en-GB"/>
        </w:rPr>
        <w:t>Politiche</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sviluppo</w:t>
      </w:r>
      <w:proofErr w:type="spellEnd"/>
      <w:r w:rsidRPr="008017F0">
        <w:rPr>
          <w:rFonts w:ascii="Times New Roman" w:hAnsi="Times New Roman" w:cs="Times New Roman"/>
          <w:sz w:val="24"/>
          <w:szCs w:val="24"/>
          <w:lang w:val="en-GB"/>
        </w:rPr>
        <w:t xml:space="preserve">. For less recent statistics the data have been sourced from Istat – Annuario </w:t>
      </w:r>
      <w:proofErr w:type="spellStart"/>
      <w:r w:rsidRPr="008017F0">
        <w:rPr>
          <w:rFonts w:ascii="Times New Roman" w:hAnsi="Times New Roman" w:cs="Times New Roman"/>
          <w:sz w:val="24"/>
          <w:szCs w:val="24"/>
          <w:lang w:val="en-GB"/>
        </w:rPr>
        <w:t>statistico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italiano</w:t>
      </w:r>
      <w:proofErr w:type="spellEnd"/>
      <w:r w:rsidRPr="008017F0">
        <w:rPr>
          <w:rFonts w:ascii="Times New Roman" w:hAnsi="Times New Roman" w:cs="Times New Roman"/>
          <w:sz w:val="24"/>
          <w:szCs w:val="24"/>
          <w:lang w:val="en-GB"/>
        </w:rPr>
        <w:t xml:space="preserve">, and Infrastructure and Transport Ministry (MIT) – Conto </w:t>
      </w:r>
      <w:proofErr w:type="spellStart"/>
      <w:r w:rsidRPr="008017F0">
        <w:rPr>
          <w:rFonts w:ascii="Times New Roman" w:hAnsi="Times New Roman" w:cs="Times New Roman"/>
          <w:sz w:val="24"/>
          <w:szCs w:val="24"/>
          <w:lang w:val="en-GB"/>
        </w:rPr>
        <w:t>nazionale</w:t>
      </w:r>
      <w:proofErr w:type="spellEnd"/>
      <w:r w:rsidRPr="008017F0">
        <w:rPr>
          <w:rFonts w:ascii="Times New Roman" w:hAnsi="Times New Roman" w:cs="Times New Roman"/>
          <w:sz w:val="24"/>
          <w:szCs w:val="24"/>
          <w:lang w:val="en-GB"/>
        </w:rPr>
        <w:t xml:space="preserve"> delle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e </w:t>
      </w:r>
      <w:proofErr w:type="spellStart"/>
      <w:r w:rsidRPr="008017F0">
        <w:rPr>
          <w:rFonts w:ascii="Times New Roman" w:hAnsi="Times New Roman" w:cs="Times New Roman"/>
          <w:sz w:val="24"/>
          <w:szCs w:val="24"/>
          <w:lang w:val="en-GB"/>
        </w:rPr>
        <w:t>dei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trasporti</w:t>
      </w:r>
      <w:proofErr w:type="spellEnd"/>
      <w:r w:rsidRPr="008017F0">
        <w:rPr>
          <w:rFonts w:ascii="Times New Roman" w:hAnsi="Times New Roman" w:cs="Times New Roman"/>
          <w:sz w:val="24"/>
          <w:szCs w:val="24"/>
          <w:lang w:val="en-GB"/>
        </w:rPr>
        <w:t xml:space="preserve">. For some specific asset classes, more particular sources have been adopted: Terna for electricity network system, </w:t>
      </w:r>
      <w:proofErr w:type="spellStart"/>
      <w:r w:rsidRPr="008017F0">
        <w:rPr>
          <w:rFonts w:ascii="Times New Roman" w:hAnsi="Times New Roman" w:cs="Times New Roman"/>
          <w:sz w:val="24"/>
          <w:szCs w:val="24"/>
          <w:lang w:val="en-GB"/>
        </w:rPr>
        <w:t>Unionpetrolifera</w:t>
      </w:r>
      <w:proofErr w:type="spellEnd"/>
      <w:r w:rsidRPr="008017F0">
        <w:rPr>
          <w:rFonts w:ascii="Times New Roman" w:hAnsi="Times New Roman" w:cs="Times New Roman"/>
          <w:sz w:val="24"/>
          <w:szCs w:val="24"/>
          <w:lang w:val="en-GB"/>
        </w:rPr>
        <w:t xml:space="preserve"> and Economic Development Ministry (MISE) for statistics on Petroleum infrastructure, </w:t>
      </w:r>
      <w:proofErr w:type="spellStart"/>
      <w:r w:rsidRPr="008017F0">
        <w:rPr>
          <w:rFonts w:ascii="Times New Roman" w:hAnsi="Times New Roman" w:cs="Times New Roman"/>
          <w:sz w:val="24"/>
          <w:szCs w:val="24"/>
          <w:lang w:val="en-GB"/>
        </w:rPr>
        <w:t>Autorità</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lastRenderedPageBreak/>
        <w:t>regolazione</w:t>
      </w:r>
      <w:proofErr w:type="spellEnd"/>
      <w:r w:rsidRPr="008017F0">
        <w:rPr>
          <w:rFonts w:ascii="Times New Roman" w:hAnsi="Times New Roman" w:cs="Times New Roman"/>
          <w:sz w:val="24"/>
          <w:szCs w:val="24"/>
          <w:lang w:val="en-GB"/>
        </w:rPr>
        <w:t xml:space="preserve"> per Energia, Reti e </w:t>
      </w:r>
      <w:proofErr w:type="spellStart"/>
      <w:r w:rsidRPr="008017F0">
        <w:rPr>
          <w:rFonts w:ascii="Times New Roman" w:hAnsi="Times New Roman" w:cs="Times New Roman"/>
          <w:sz w:val="24"/>
          <w:szCs w:val="24"/>
          <w:lang w:val="en-GB"/>
        </w:rPr>
        <w:t>Ambiente</w:t>
      </w:r>
      <w:proofErr w:type="spellEnd"/>
      <w:r w:rsidRPr="008017F0">
        <w:rPr>
          <w:rFonts w:ascii="Times New Roman" w:hAnsi="Times New Roman" w:cs="Times New Roman"/>
          <w:sz w:val="24"/>
          <w:szCs w:val="24"/>
          <w:lang w:val="en-GB"/>
        </w:rPr>
        <w:t xml:space="preserve"> (ARERA) for natural gas pipelines, Istituto Superiore per la </w:t>
      </w:r>
      <w:proofErr w:type="spellStart"/>
      <w:r w:rsidRPr="008017F0">
        <w:rPr>
          <w:rFonts w:ascii="Times New Roman" w:hAnsi="Times New Roman" w:cs="Times New Roman"/>
          <w:sz w:val="24"/>
          <w:szCs w:val="24"/>
          <w:lang w:val="en-GB"/>
        </w:rPr>
        <w:t>Protezione</w:t>
      </w:r>
      <w:proofErr w:type="spellEnd"/>
      <w:r w:rsidRPr="008017F0">
        <w:rPr>
          <w:rFonts w:ascii="Times New Roman" w:hAnsi="Times New Roman" w:cs="Times New Roman"/>
          <w:sz w:val="24"/>
          <w:szCs w:val="24"/>
          <w:lang w:val="en-GB"/>
        </w:rPr>
        <w:t xml:space="preserve"> e la </w:t>
      </w:r>
      <w:proofErr w:type="spellStart"/>
      <w:r w:rsidRPr="008017F0">
        <w:rPr>
          <w:rFonts w:ascii="Times New Roman" w:hAnsi="Times New Roman" w:cs="Times New Roman"/>
          <w:sz w:val="24"/>
          <w:szCs w:val="24"/>
          <w:lang w:val="en-GB"/>
        </w:rPr>
        <w:t>Ricerca</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Ambientale</w:t>
      </w:r>
      <w:proofErr w:type="spellEnd"/>
      <w:r w:rsidRPr="008017F0">
        <w:rPr>
          <w:rFonts w:ascii="Times New Roman" w:hAnsi="Times New Roman" w:cs="Times New Roman"/>
          <w:sz w:val="24"/>
          <w:szCs w:val="24"/>
          <w:lang w:val="en-GB"/>
        </w:rPr>
        <w:t xml:space="preserve"> (ISPRA) for waste infrastructure.</w:t>
      </w:r>
    </w:p>
    <w:p w14:paraId="7B91A32B" w14:textId="71BDFD47" w:rsidR="00FA1116" w:rsidRPr="008017F0" w:rsidRDefault="00FA1116" w:rsidP="00FA1116">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The green cells of Table A</w:t>
      </w:r>
      <w:r w:rsidR="008F4BDB" w:rsidRPr="008017F0">
        <w:rPr>
          <w:rFonts w:ascii="Times New Roman" w:hAnsi="Times New Roman" w:cs="Times New Roman"/>
          <w:sz w:val="24"/>
          <w:szCs w:val="24"/>
          <w:lang w:val="en-GB"/>
        </w:rPr>
        <w:t>6</w:t>
      </w:r>
      <w:r w:rsidRPr="008017F0">
        <w:rPr>
          <w:rFonts w:ascii="Times New Roman" w:hAnsi="Times New Roman" w:cs="Times New Roman"/>
          <w:sz w:val="24"/>
          <w:szCs w:val="24"/>
          <w:lang w:val="en-GB"/>
        </w:rPr>
        <w:t xml:space="preserve"> single out data coming from the primary data source (the one available for the higher number of years). A secondary data source (if available) was used to fill yellow cells. Linear interpolations between adjacent available values were finally adopted to fill the white cells.</w:t>
      </w:r>
    </w:p>
    <w:p w14:paraId="2E9392F1" w14:textId="77777777" w:rsidR="0083510A" w:rsidRPr="008017F0" w:rsidRDefault="0083510A" w:rsidP="00FA1116">
      <w:pPr>
        <w:spacing w:after="0" w:line="360" w:lineRule="auto"/>
        <w:jc w:val="center"/>
        <w:rPr>
          <w:rFonts w:ascii="Times New Roman" w:hAnsi="Times New Roman" w:cs="Times New Roman"/>
          <w:sz w:val="24"/>
          <w:szCs w:val="24"/>
          <w:lang w:val="en-GB"/>
        </w:rPr>
      </w:pPr>
    </w:p>
    <w:p w14:paraId="1D168D16" w14:textId="77777777" w:rsidR="00D97F66" w:rsidRPr="008017F0" w:rsidRDefault="00D97F66" w:rsidP="00D97F66">
      <w:pPr>
        <w:widowControl w:val="0"/>
        <w:spacing w:after="0" w:line="240" w:lineRule="auto"/>
        <w:jc w:val="both"/>
        <w:rPr>
          <w:rFonts w:ascii="Times New Roman" w:hAnsi="Times New Roman" w:cs="Times New Roman"/>
          <w:lang w:val="en-GB"/>
        </w:rPr>
        <w:sectPr w:rsidR="00D97F66" w:rsidRPr="008017F0" w:rsidSect="005D02F6">
          <w:footerReference w:type="default" r:id="rId32"/>
          <w:pgSz w:w="11906" w:h="16838"/>
          <w:pgMar w:top="1417" w:right="1134" w:bottom="1134" w:left="1134" w:header="708" w:footer="708" w:gutter="0"/>
          <w:cols w:space="708"/>
          <w:docGrid w:linePitch="360"/>
        </w:sectPr>
      </w:pPr>
    </w:p>
    <w:p w14:paraId="34892BAC" w14:textId="078DBA04" w:rsidR="00D97F66" w:rsidRPr="008017F0" w:rsidRDefault="00D97F66" w:rsidP="00D97F66">
      <w:pPr>
        <w:widowControl w:val="0"/>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Table A</w:t>
      </w:r>
      <w:r w:rsidR="008F4BDB" w:rsidRPr="008017F0">
        <w:rPr>
          <w:rFonts w:ascii="Times New Roman" w:hAnsi="Times New Roman" w:cs="Times New Roman"/>
          <w:lang w:val="en-GB"/>
        </w:rPr>
        <w:t>6</w:t>
      </w:r>
      <w:r w:rsidRPr="008017F0">
        <w:rPr>
          <w:rFonts w:ascii="Times New Roman" w:hAnsi="Times New Roman" w:cs="Times New Roman"/>
          <w:lang w:val="en-GB"/>
        </w:rPr>
        <w:t xml:space="preserve">. Primary and secondary sources by elementary infrastructure index over period 1987-2019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2"/>
        <w:gridCol w:w="3484"/>
        <w:gridCol w:w="623"/>
        <w:gridCol w:w="775"/>
        <w:gridCol w:w="261"/>
        <w:gridCol w:w="261"/>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tblGrid>
      <w:tr w:rsidR="00D97F66" w:rsidRPr="008017F0" w14:paraId="21D6F80B" w14:textId="77777777" w:rsidTr="008C3712">
        <w:trPr>
          <w:cantSplit/>
          <w:trHeight w:val="20"/>
        </w:trPr>
        <w:tc>
          <w:tcPr>
            <w:tcW w:w="284" w:type="pct"/>
            <w:vAlign w:val="center"/>
            <w:hideMark/>
          </w:tcPr>
          <w:p w14:paraId="0D5D2DF2" w14:textId="77777777" w:rsidR="00D97F66" w:rsidRPr="008017F0" w:rsidRDefault="00D97F66"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Elementary index</w:t>
            </w:r>
          </w:p>
        </w:tc>
        <w:tc>
          <w:tcPr>
            <w:tcW w:w="1219" w:type="pct"/>
            <w:vAlign w:val="center"/>
          </w:tcPr>
          <w:p w14:paraId="4AB842D4" w14:textId="77777777" w:rsidR="00D97F66" w:rsidRPr="008017F0" w:rsidRDefault="00D97F66"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Elementary indicator description</w:t>
            </w:r>
          </w:p>
        </w:tc>
        <w:tc>
          <w:tcPr>
            <w:tcW w:w="218" w:type="pct"/>
            <w:vAlign w:val="center"/>
            <w:hideMark/>
          </w:tcPr>
          <w:p w14:paraId="19E89569" w14:textId="77777777" w:rsidR="00D97F66" w:rsidRPr="008017F0" w:rsidRDefault="00D97F66"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Primary data source (green)</w:t>
            </w:r>
          </w:p>
        </w:tc>
        <w:tc>
          <w:tcPr>
            <w:tcW w:w="271" w:type="pct"/>
            <w:vAlign w:val="center"/>
            <w:hideMark/>
          </w:tcPr>
          <w:p w14:paraId="0AB8A12F" w14:textId="77777777" w:rsidR="00D97F66" w:rsidRPr="008017F0" w:rsidRDefault="00D97F66"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Secondary data source (yellow)</w:t>
            </w:r>
          </w:p>
        </w:tc>
        <w:tc>
          <w:tcPr>
            <w:tcW w:w="91" w:type="pct"/>
            <w:noWrap/>
            <w:textDirection w:val="btLr"/>
            <w:vAlign w:val="center"/>
            <w:hideMark/>
          </w:tcPr>
          <w:p w14:paraId="680C38DA" w14:textId="77777777" w:rsidR="00D97F66" w:rsidRPr="008017F0" w:rsidRDefault="00D97F66" w:rsidP="008C3712">
            <w:pPr>
              <w:spacing w:after="0" w:line="240" w:lineRule="auto"/>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1987</w:t>
            </w:r>
          </w:p>
        </w:tc>
        <w:tc>
          <w:tcPr>
            <w:tcW w:w="91" w:type="pct"/>
            <w:noWrap/>
            <w:textDirection w:val="btLr"/>
            <w:vAlign w:val="center"/>
            <w:hideMark/>
          </w:tcPr>
          <w:p w14:paraId="37EDE68D"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1988</w:t>
            </w:r>
          </w:p>
        </w:tc>
        <w:tc>
          <w:tcPr>
            <w:tcW w:w="91" w:type="pct"/>
            <w:noWrap/>
            <w:textDirection w:val="btLr"/>
            <w:vAlign w:val="center"/>
            <w:hideMark/>
          </w:tcPr>
          <w:p w14:paraId="3CB28384"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1989</w:t>
            </w:r>
          </w:p>
        </w:tc>
        <w:tc>
          <w:tcPr>
            <w:tcW w:w="91" w:type="pct"/>
            <w:noWrap/>
            <w:textDirection w:val="btLr"/>
            <w:vAlign w:val="center"/>
            <w:hideMark/>
          </w:tcPr>
          <w:p w14:paraId="276C460E"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1990</w:t>
            </w:r>
          </w:p>
        </w:tc>
        <w:tc>
          <w:tcPr>
            <w:tcW w:w="91" w:type="pct"/>
            <w:noWrap/>
            <w:textDirection w:val="btLr"/>
            <w:vAlign w:val="center"/>
            <w:hideMark/>
          </w:tcPr>
          <w:p w14:paraId="7FC85E86"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1991</w:t>
            </w:r>
          </w:p>
        </w:tc>
        <w:tc>
          <w:tcPr>
            <w:tcW w:w="91" w:type="pct"/>
            <w:noWrap/>
            <w:textDirection w:val="btLr"/>
            <w:vAlign w:val="center"/>
            <w:hideMark/>
          </w:tcPr>
          <w:p w14:paraId="44DF39E8"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1992</w:t>
            </w:r>
          </w:p>
        </w:tc>
        <w:tc>
          <w:tcPr>
            <w:tcW w:w="91" w:type="pct"/>
            <w:noWrap/>
            <w:textDirection w:val="btLr"/>
            <w:vAlign w:val="center"/>
            <w:hideMark/>
          </w:tcPr>
          <w:p w14:paraId="42BD639B"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1993</w:t>
            </w:r>
          </w:p>
        </w:tc>
        <w:tc>
          <w:tcPr>
            <w:tcW w:w="91" w:type="pct"/>
            <w:noWrap/>
            <w:textDirection w:val="btLr"/>
            <w:vAlign w:val="center"/>
            <w:hideMark/>
          </w:tcPr>
          <w:p w14:paraId="76A3017B"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1994</w:t>
            </w:r>
          </w:p>
        </w:tc>
        <w:tc>
          <w:tcPr>
            <w:tcW w:w="91" w:type="pct"/>
            <w:noWrap/>
            <w:textDirection w:val="btLr"/>
            <w:vAlign w:val="center"/>
            <w:hideMark/>
          </w:tcPr>
          <w:p w14:paraId="667CB328"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1995</w:t>
            </w:r>
          </w:p>
        </w:tc>
        <w:tc>
          <w:tcPr>
            <w:tcW w:w="91" w:type="pct"/>
            <w:noWrap/>
            <w:textDirection w:val="btLr"/>
            <w:vAlign w:val="center"/>
            <w:hideMark/>
          </w:tcPr>
          <w:p w14:paraId="58F1FFE3"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1996</w:t>
            </w:r>
          </w:p>
        </w:tc>
        <w:tc>
          <w:tcPr>
            <w:tcW w:w="91" w:type="pct"/>
            <w:noWrap/>
            <w:textDirection w:val="btLr"/>
            <w:vAlign w:val="center"/>
            <w:hideMark/>
          </w:tcPr>
          <w:p w14:paraId="56F2990E"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1997</w:t>
            </w:r>
          </w:p>
        </w:tc>
        <w:tc>
          <w:tcPr>
            <w:tcW w:w="91" w:type="pct"/>
            <w:noWrap/>
            <w:textDirection w:val="btLr"/>
            <w:vAlign w:val="center"/>
            <w:hideMark/>
          </w:tcPr>
          <w:p w14:paraId="33E69603"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1998</w:t>
            </w:r>
          </w:p>
        </w:tc>
        <w:tc>
          <w:tcPr>
            <w:tcW w:w="91" w:type="pct"/>
            <w:noWrap/>
            <w:textDirection w:val="btLr"/>
            <w:vAlign w:val="center"/>
            <w:hideMark/>
          </w:tcPr>
          <w:p w14:paraId="3015C875"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1999</w:t>
            </w:r>
          </w:p>
        </w:tc>
        <w:tc>
          <w:tcPr>
            <w:tcW w:w="91" w:type="pct"/>
            <w:noWrap/>
            <w:textDirection w:val="btLr"/>
            <w:vAlign w:val="center"/>
            <w:hideMark/>
          </w:tcPr>
          <w:p w14:paraId="4EB80266"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2000</w:t>
            </w:r>
          </w:p>
        </w:tc>
        <w:tc>
          <w:tcPr>
            <w:tcW w:w="91" w:type="pct"/>
            <w:noWrap/>
            <w:textDirection w:val="btLr"/>
            <w:vAlign w:val="center"/>
            <w:hideMark/>
          </w:tcPr>
          <w:p w14:paraId="0440F15A"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2001</w:t>
            </w:r>
          </w:p>
        </w:tc>
        <w:tc>
          <w:tcPr>
            <w:tcW w:w="91" w:type="pct"/>
            <w:noWrap/>
            <w:textDirection w:val="btLr"/>
            <w:vAlign w:val="center"/>
            <w:hideMark/>
          </w:tcPr>
          <w:p w14:paraId="4A77CB8F"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2002</w:t>
            </w:r>
          </w:p>
        </w:tc>
        <w:tc>
          <w:tcPr>
            <w:tcW w:w="91" w:type="pct"/>
            <w:noWrap/>
            <w:textDirection w:val="btLr"/>
            <w:vAlign w:val="center"/>
            <w:hideMark/>
          </w:tcPr>
          <w:p w14:paraId="70C8F9D3"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2003</w:t>
            </w:r>
          </w:p>
        </w:tc>
        <w:tc>
          <w:tcPr>
            <w:tcW w:w="91" w:type="pct"/>
            <w:noWrap/>
            <w:textDirection w:val="btLr"/>
            <w:vAlign w:val="center"/>
            <w:hideMark/>
          </w:tcPr>
          <w:p w14:paraId="6924FB6D"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2004</w:t>
            </w:r>
          </w:p>
        </w:tc>
        <w:tc>
          <w:tcPr>
            <w:tcW w:w="91" w:type="pct"/>
            <w:noWrap/>
            <w:textDirection w:val="btLr"/>
            <w:vAlign w:val="center"/>
            <w:hideMark/>
          </w:tcPr>
          <w:p w14:paraId="4ACE7477"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2005</w:t>
            </w:r>
          </w:p>
        </w:tc>
        <w:tc>
          <w:tcPr>
            <w:tcW w:w="91" w:type="pct"/>
            <w:noWrap/>
            <w:textDirection w:val="btLr"/>
            <w:vAlign w:val="center"/>
            <w:hideMark/>
          </w:tcPr>
          <w:p w14:paraId="6D56DA56"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2006</w:t>
            </w:r>
          </w:p>
        </w:tc>
        <w:tc>
          <w:tcPr>
            <w:tcW w:w="91" w:type="pct"/>
            <w:noWrap/>
            <w:textDirection w:val="btLr"/>
            <w:vAlign w:val="center"/>
            <w:hideMark/>
          </w:tcPr>
          <w:p w14:paraId="3802FEAB"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2007</w:t>
            </w:r>
          </w:p>
        </w:tc>
        <w:tc>
          <w:tcPr>
            <w:tcW w:w="91" w:type="pct"/>
            <w:noWrap/>
            <w:textDirection w:val="btLr"/>
            <w:vAlign w:val="center"/>
            <w:hideMark/>
          </w:tcPr>
          <w:p w14:paraId="65F0AF79"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2008</w:t>
            </w:r>
          </w:p>
        </w:tc>
        <w:tc>
          <w:tcPr>
            <w:tcW w:w="91" w:type="pct"/>
            <w:noWrap/>
            <w:textDirection w:val="btLr"/>
            <w:vAlign w:val="center"/>
            <w:hideMark/>
          </w:tcPr>
          <w:p w14:paraId="5D88AE7D"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2009</w:t>
            </w:r>
          </w:p>
        </w:tc>
        <w:tc>
          <w:tcPr>
            <w:tcW w:w="91" w:type="pct"/>
            <w:noWrap/>
            <w:textDirection w:val="btLr"/>
            <w:vAlign w:val="center"/>
            <w:hideMark/>
          </w:tcPr>
          <w:p w14:paraId="5F9AE313"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2010</w:t>
            </w:r>
          </w:p>
        </w:tc>
        <w:tc>
          <w:tcPr>
            <w:tcW w:w="91" w:type="pct"/>
            <w:noWrap/>
            <w:textDirection w:val="btLr"/>
            <w:vAlign w:val="center"/>
            <w:hideMark/>
          </w:tcPr>
          <w:p w14:paraId="54063ECC"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2011</w:t>
            </w:r>
          </w:p>
        </w:tc>
        <w:tc>
          <w:tcPr>
            <w:tcW w:w="91" w:type="pct"/>
            <w:noWrap/>
            <w:textDirection w:val="btLr"/>
            <w:vAlign w:val="center"/>
            <w:hideMark/>
          </w:tcPr>
          <w:p w14:paraId="0EA3EB5C"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2012</w:t>
            </w:r>
          </w:p>
        </w:tc>
        <w:tc>
          <w:tcPr>
            <w:tcW w:w="91" w:type="pct"/>
            <w:noWrap/>
            <w:textDirection w:val="btLr"/>
            <w:vAlign w:val="center"/>
            <w:hideMark/>
          </w:tcPr>
          <w:p w14:paraId="4188D455"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2013</w:t>
            </w:r>
          </w:p>
        </w:tc>
        <w:tc>
          <w:tcPr>
            <w:tcW w:w="91" w:type="pct"/>
            <w:noWrap/>
            <w:textDirection w:val="btLr"/>
            <w:vAlign w:val="center"/>
            <w:hideMark/>
          </w:tcPr>
          <w:p w14:paraId="3946854A"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2014</w:t>
            </w:r>
          </w:p>
        </w:tc>
        <w:tc>
          <w:tcPr>
            <w:tcW w:w="91" w:type="pct"/>
            <w:noWrap/>
            <w:textDirection w:val="btLr"/>
            <w:vAlign w:val="center"/>
            <w:hideMark/>
          </w:tcPr>
          <w:p w14:paraId="61743B80"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2015</w:t>
            </w:r>
          </w:p>
        </w:tc>
        <w:tc>
          <w:tcPr>
            <w:tcW w:w="91" w:type="pct"/>
            <w:noWrap/>
            <w:textDirection w:val="btLr"/>
            <w:vAlign w:val="center"/>
            <w:hideMark/>
          </w:tcPr>
          <w:p w14:paraId="431B929D"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2016</w:t>
            </w:r>
          </w:p>
        </w:tc>
        <w:tc>
          <w:tcPr>
            <w:tcW w:w="91" w:type="pct"/>
            <w:textDirection w:val="btLr"/>
          </w:tcPr>
          <w:p w14:paraId="13D46735"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2017</w:t>
            </w:r>
          </w:p>
        </w:tc>
        <w:tc>
          <w:tcPr>
            <w:tcW w:w="91" w:type="pct"/>
            <w:textDirection w:val="btLr"/>
          </w:tcPr>
          <w:p w14:paraId="56880B62"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2018</w:t>
            </w:r>
          </w:p>
        </w:tc>
        <w:tc>
          <w:tcPr>
            <w:tcW w:w="91" w:type="pct"/>
            <w:textDirection w:val="btLr"/>
          </w:tcPr>
          <w:p w14:paraId="3C29921B" w14:textId="77777777" w:rsidR="00D97F66" w:rsidRPr="008017F0" w:rsidRDefault="00D97F66" w:rsidP="008C3712">
            <w:pPr>
              <w:spacing w:after="0" w:line="240" w:lineRule="atLeast"/>
              <w:ind w:right="113"/>
              <w:jc w:val="right"/>
              <w:rPr>
                <w:rFonts w:eastAsia="Times New Roman" w:cstheme="minorHAnsi"/>
                <w:b/>
                <w:bCs/>
                <w:sz w:val="16"/>
                <w:szCs w:val="16"/>
                <w:lang w:val="en-GB" w:eastAsia="it-IT"/>
              </w:rPr>
            </w:pPr>
            <w:r w:rsidRPr="008017F0">
              <w:rPr>
                <w:rFonts w:eastAsia="Times New Roman" w:cstheme="minorHAnsi"/>
                <w:b/>
                <w:bCs/>
                <w:sz w:val="16"/>
                <w:szCs w:val="16"/>
                <w:lang w:val="en-GB" w:eastAsia="it-IT"/>
              </w:rPr>
              <w:t>2019</w:t>
            </w:r>
          </w:p>
        </w:tc>
      </w:tr>
      <w:tr w:rsidR="00D97F66" w:rsidRPr="008017F0" w14:paraId="0B9E5E58" w14:textId="77777777" w:rsidTr="008C3712">
        <w:trPr>
          <w:trHeight w:val="20"/>
        </w:trPr>
        <w:tc>
          <w:tcPr>
            <w:tcW w:w="284" w:type="pct"/>
            <w:vAlign w:val="center"/>
            <w:hideMark/>
          </w:tcPr>
          <w:p w14:paraId="4EF6767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ROAD1</w:t>
            </w:r>
          </w:p>
        </w:tc>
        <w:tc>
          <w:tcPr>
            <w:tcW w:w="1219" w:type="pct"/>
            <w:vAlign w:val="center"/>
          </w:tcPr>
          <w:p w14:paraId="602C97F6" w14:textId="10CCD348"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Motorway</w:t>
            </w:r>
            <w:r w:rsidR="00725385" w:rsidRPr="008017F0">
              <w:rPr>
                <w:rFonts w:eastAsia="Times New Roman" w:cstheme="minorHAnsi"/>
                <w:sz w:val="16"/>
                <w:szCs w:val="16"/>
                <w:lang w:val="en-GB" w:eastAsia="it-IT"/>
              </w:rPr>
              <w:t>s</w:t>
            </w:r>
            <w:r w:rsidRPr="008017F0">
              <w:rPr>
                <w:rFonts w:eastAsia="Times New Roman" w:cstheme="minorHAnsi"/>
                <w:sz w:val="16"/>
                <w:szCs w:val="16"/>
                <w:lang w:val="en-GB" w:eastAsia="it-IT"/>
              </w:rPr>
              <w:t xml:space="preserve"> (km)</w:t>
            </w:r>
          </w:p>
        </w:tc>
        <w:tc>
          <w:tcPr>
            <w:tcW w:w="218" w:type="pct"/>
            <w:noWrap/>
            <w:vAlign w:val="center"/>
            <w:hideMark/>
          </w:tcPr>
          <w:p w14:paraId="29CEB08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7957F88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91" w:type="pct"/>
            <w:shd w:val="clear" w:color="000000" w:fill="FFFF00"/>
            <w:vAlign w:val="center"/>
            <w:hideMark/>
          </w:tcPr>
          <w:p w14:paraId="3EE6FF3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3ED960E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3467772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052E8F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7BFFE6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B8EC75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F82901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EDDB8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B04047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42C4E1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2BC30F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8AFCD4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61CF5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25C143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7FA9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984CD9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6D09F8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C83FCC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E85C4E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CE06F2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15B1D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05565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712373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0DCA86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C360B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068010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FBC9C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788A2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9597A4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78B4A36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44EE57E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06AF018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02DA4BE6"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7ED04256" w14:textId="77777777" w:rsidTr="008C3712">
        <w:trPr>
          <w:trHeight w:val="20"/>
        </w:trPr>
        <w:tc>
          <w:tcPr>
            <w:tcW w:w="284" w:type="pct"/>
            <w:vAlign w:val="center"/>
            <w:hideMark/>
          </w:tcPr>
          <w:p w14:paraId="55961AC1"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ROAD2</w:t>
            </w:r>
          </w:p>
        </w:tc>
        <w:tc>
          <w:tcPr>
            <w:tcW w:w="1219" w:type="pct"/>
            <w:vAlign w:val="center"/>
          </w:tcPr>
          <w:p w14:paraId="7A8D453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Other roads (km)</w:t>
            </w:r>
          </w:p>
        </w:tc>
        <w:tc>
          <w:tcPr>
            <w:tcW w:w="218" w:type="pct"/>
            <w:noWrap/>
            <w:vAlign w:val="center"/>
            <w:hideMark/>
          </w:tcPr>
          <w:p w14:paraId="18A4CA6A"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04F5F4F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91" w:type="pct"/>
            <w:shd w:val="clear" w:color="000000" w:fill="FFFF00"/>
            <w:vAlign w:val="center"/>
            <w:hideMark/>
          </w:tcPr>
          <w:p w14:paraId="6AC4556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090CC21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497F6B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84B608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EC38EE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4F49E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FD21B8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76B4F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709B7B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ADA63C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732201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905A33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5349C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E4308A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CAEC31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77ED81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835C86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256A2B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AC10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40110A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7E8CBE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8E44D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98080E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1DEE85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F849FE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DF67D1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42A9D7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E7FFE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C52003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00DE0A2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6138566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49579E4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15F4469"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3E3FE285" w14:textId="77777777" w:rsidTr="008C3712">
        <w:trPr>
          <w:trHeight w:val="20"/>
        </w:trPr>
        <w:tc>
          <w:tcPr>
            <w:tcW w:w="284" w:type="pct"/>
            <w:vAlign w:val="center"/>
            <w:hideMark/>
          </w:tcPr>
          <w:p w14:paraId="168DE76A" w14:textId="77777777" w:rsidR="00D97F66" w:rsidRPr="008017F0" w:rsidRDefault="00D97F66" w:rsidP="008C3712">
            <w:pPr>
              <w:spacing w:after="0" w:line="240" w:lineRule="auto"/>
              <w:rPr>
                <w:rFonts w:eastAsia="Times New Roman" w:cstheme="minorHAnsi"/>
                <w:sz w:val="16"/>
                <w:szCs w:val="16"/>
                <w:lang w:val="en-GB" w:eastAsia="it-IT"/>
              </w:rPr>
            </w:pPr>
            <w:bookmarkStart w:id="2" w:name="_Hlk66784683"/>
            <w:r w:rsidRPr="008017F0">
              <w:rPr>
                <w:rFonts w:eastAsia="Times New Roman" w:cstheme="minorHAnsi"/>
                <w:sz w:val="16"/>
                <w:szCs w:val="16"/>
                <w:lang w:val="en-GB" w:eastAsia="it-IT"/>
              </w:rPr>
              <w:t>AIRP1</w:t>
            </w:r>
          </w:p>
        </w:tc>
        <w:tc>
          <w:tcPr>
            <w:tcW w:w="1219" w:type="pct"/>
            <w:vAlign w:val="center"/>
          </w:tcPr>
          <w:p w14:paraId="5CF37EE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Runways surface (m2)</w:t>
            </w:r>
          </w:p>
        </w:tc>
        <w:tc>
          <w:tcPr>
            <w:tcW w:w="218" w:type="pct"/>
            <w:vAlign w:val="center"/>
            <w:hideMark/>
          </w:tcPr>
          <w:p w14:paraId="045798D8"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2F8F49C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vAlign w:val="center"/>
            <w:hideMark/>
          </w:tcPr>
          <w:p w14:paraId="270EDAD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7FEE721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799C1CE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750E5CA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3065C0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6606144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2457C9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0EC912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2E5344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3E133DA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3193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FF8438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244527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21B77D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2D1553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BDE35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6C820D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A142A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38608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80EA8C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56CBCD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79678C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2A5166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258732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0645CEC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3F1A393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C1241D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13755B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85580F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noWrap/>
            <w:vAlign w:val="center"/>
            <w:hideMark/>
          </w:tcPr>
          <w:p w14:paraId="2341A86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28E71A8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4F1074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6DB11A03" w14:textId="77777777" w:rsidR="00D97F66" w:rsidRPr="008017F0" w:rsidRDefault="00D97F66" w:rsidP="008C3712">
            <w:pPr>
              <w:spacing w:after="0" w:line="240" w:lineRule="atLeast"/>
              <w:rPr>
                <w:rFonts w:eastAsia="Times New Roman" w:cstheme="minorHAnsi"/>
                <w:sz w:val="16"/>
                <w:szCs w:val="16"/>
                <w:lang w:val="en-GB" w:eastAsia="it-IT"/>
              </w:rPr>
            </w:pPr>
          </w:p>
        </w:tc>
      </w:tr>
      <w:bookmarkEnd w:id="2"/>
      <w:tr w:rsidR="00D97F66" w:rsidRPr="008017F0" w14:paraId="738C1DAD" w14:textId="77777777" w:rsidTr="008C3712">
        <w:trPr>
          <w:trHeight w:val="20"/>
        </w:trPr>
        <w:tc>
          <w:tcPr>
            <w:tcW w:w="284" w:type="pct"/>
            <w:vAlign w:val="center"/>
            <w:hideMark/>
          </w:tcPr>
          <w:p w14:paraId="33E1E4D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AIRP2</w:t>
            </w:r>
          </w:p>
        </w:tc>
        <w:tc>
          <w:tcPr>
            <w:tcW w:w="1219" w:type="pct"/>
            <w:vAlign w:val="center"/>
          </w:tcPr>
          <w:p w14:paraId="7C15658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Parking area (m2)</w:t>
            </w:r>
          </w:p>
        </w:tc>
        <w:tc>
          <w:tcPr>
            <w:tcW w:w="218" w:type="pct"/>
            <w:vAlign w:val="center"/>
            <w:hideMark/>
          </w:tcPr>
          <w:p w14:paraId="5BE58A58"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0FF92DC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vAlign w:val="center"/>
            <w:hideMark/>
          </w:tcPr>
          <w:p w14:paraId="655D328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4367868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75A1F3E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61173B4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34A534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6569E35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A43A04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7F68A08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BE43C7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2DF10CE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387F79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233471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43BC76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45E7AA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7948BF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8CA9C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FE2106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E9BDA3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C10576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9F63DA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6A7CF5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ECAF64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3B5602C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DB5DDC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50A897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30496B0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0B9BFE0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7A6D308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9EA962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noWrap/>
            <w:vAlign w:val="center"/>
            <w:hideMark/>
          </w:tcPr>
          <w:p w14:paraId="478F7FE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6729C48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865A7E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7EE6B3C9"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563D20DA" w14:textId="77777777" w:rsidTr="008C3712">
        <w:trPr>
          <w:trHeight w:val="20"/>
        </w:trPr>
        <w:tc>
          <w:tcPr>
            <w:tcW w:w="284" w:type="pct"/>
            <w:vAlign w:val="center"/>
            <w:hideMark/>
          </w:tcPr>
          <w:p w14:paraId="615B793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RAIL1</w:t>
            </w:r>
          </w:p>
        </w:tc>
        <w:tc>
          <w:tcPr>
            <w:tcW w:w="1219" w:type="pct"/>
            <w:vAlign w:val="center"/>
          </w:tcPr>
          <w:p w14:paraId="0D455D0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Total railway lines (km)</w:t>
            </w:r>
          </w:p>
        </w:tc>
        <w:tc>
          <w:tcPr>
            <w:tcW w:w="218" w:type="pct"/>
            <w:vAlign w:val="center"/>
            <w:hideMark/>
          </w:tcPr>
          <w:p w14:paraId="390F155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12B3444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024E900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1AF79C7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283AE8E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706156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F6FD35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00B1F4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5BC820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BD4EAB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23DFDD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F412A1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1F91C5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CC0D08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C0BC6B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D3633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A926E8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EA61AD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55F70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95DA8A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91B385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44DA4F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1BDA00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2AFC96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CCF925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22D535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E22A1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2764C4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F597DB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73980B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0CE50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7DB9DAA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5E065EE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3574D31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5DD1D74A"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26F04C61" w14:textId="77777777" w:rsidTr="008C3712">
        <w:trPr>
          <w:trHeight w:val="20"/>
        </w:trPr>
        <w:tc>
          <w:tcPr>
            <w:tcW w:w="284" w:type="pct"/>
            <w:vAlign w:val="center"/>
            <w:hideMark/>
          </w:tcPr>
          <w:p w14:paraId="0222256A"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PORT1</w:t>
            </w:r>
          </w:p>
        </w:tc>
        <w:tc>
          <w:tcPr>
            <w:tcW w:w="1219" w:type="pct"/>
            <w:vAlign w:val="center"/>
          </w:tcPr>
          <w:p w14:paraId="7301FB4B" w14:textId="77777777" w:rsidR="00D97F66" w:rsidRPr="008017F0" w:rsidRDefault="00D97F66" w:rsidP="008C3712">
            <w:pPr>
              <w:spacing w:after="0" w:line="240" w:lineRule="auto"/>
              <w:rPr>
                <w:rFonts w:eastAsia="Times New Roman" w:cstheme="minorHAnsi"/>
                <w:sz w:val="16"/>
                <w:szCs w:val="16"/>
                <w:lang w:val="en-GB" w:eastAsia="it-IT"/>
              </w:rPr>
            </w:pPr>
            <w:proofErr w:type="spellStart"/>
            <w:r w:rsidRPr="008017F0">
              <w:rPr>
                <w:rFonts w:eastAsia="Times New Roman" w:cstheme="minorHAnsi"/>
                <w:sz w:val="16"/>
                <w:szCs w:val="16"/>
                <w:lang w:val="en-GB" w:eastAsia="it-IT"/>
              </w:rPr>
              <w:t>Lenght</w:t>
            </w:r>
            <w:proofErr w:type="spellEnd"/>
            <w:r w:rsidRPr="008017F0">
              <w:rPr>
                <w:rFonts w:eastAsia="Times New Roman" w:cstheme="minorHAnsi"/>
                <w:sz w:val="16"/>
                <w:szCs w:val="16"/>
                <w:lang w:val="en-GB" w:eastAsia="it-IT"/>
              </w:rPr>
              <w:t xml:space="preserve"> of docks (m)</w:t>
            </w:r>
          </w:p>
        </w:tc>
        <w:tc>
          <w:tcPr>
            <w:tcW w:w="218" w:type="pct"/>
            <w:vAlign w:val="center"/>
            <w:hideMark/>
          </w:tcPr>
          <w:p w14:paraId="2E12576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(4)</w:t>
            </w:r>
          </w:p>
        </w:tc>
        <w:tc>
          <w:tcPr>
            <w:tcW w:w="271" w:type="pct"/>
            <w:vAlign w:val="center"/>
            <w:hideMark/>
          </w:tcPr>
          <w:p w14:paraId="10AFA4D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shd w:val="clear" w:color="000000" w:fill="FFFF00"/>
            <w:vAlign w:val="center"/>
            <w:hideMark/>
          </w:tcPr>
          <w:p w14:paraId="3D54B70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75FF8F3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6825355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67C7C8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0C3630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02B9C3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2B9F300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15021B7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CE57BE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AD0140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9E389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FED30E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97ABF8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5135AC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28DE32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851044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71CC8F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657858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6AA49E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DE3310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DC1C1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A2EED6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5559DA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08DA2F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4B30B9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3D0A2D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6038C5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2B99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B0AB6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4AC249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tcPr>
          <w:p w14:paraId="3B04D26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43099F6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6335EDCA"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60DED86E" w14:textId="77777777" w:rsidTr="008C3712">
        <w:trPr>
          <w:trHeight w:val="20"/>
        </w:trPr>
        <w:tc>
          <w:tcPr>
            <w:tcW w:w="284" w:type="pct"/>
            <w:vAlign w:val="center"/>
            <w:hideMark/>
          </w:tcPr>
          <w:p w14:paraId="6BAEF19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PORT2</w:t>
            </w:r>
          </w:p>
        </w:tc>
        <w:tc>
          <w:tcPr>
            <w:tcW w:w="1219" w:type="pct"/>
            <w:vAlign w:val="center"/>
          </w:tcPr>
          <w:p w14:paraId="31770B38"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Total quays surface (sqm)</w:t>
            </w:r>
          </w:p>
        </w:tc>
        <w:tc>
          <w:tcPr>
            <w:tcW w:w="218" w:type="pct"/>
            <w:vAlign w:val="center"/>
            <w:hideMark/>
          </w:tcPr>
          <w:p w14:paraId="3EF62368"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(4)</w:t>
            </w:r>
          </w:p>
        </w:tc>
        <w:tc>
          <w:tcPr>
            <w:tcW w:w="271" w:type="pct"/>
            <w:vAlign w:val="center"/>
            <w:hideMark/>
          </w:tcPr>
          <w:p w14:paraId="03B9323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shd w:val="clear" w:color="000000" w:fill="FFFF00"/>
            <w:vAlign w:val="center"/>
            <w:hideMark/>
          </w:tcPr>
          <w:p w14:paraId="72C8FF6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23FA5FC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5738C4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37C935B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D1DFCB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427455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04091C8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6C98591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B9E660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6BBF31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2369216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3325B4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DE4B93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AA2479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EA0AF0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566F36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6994DD8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F02A05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2CCFFF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3D849DF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3AC001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88C4E8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59AD07D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E121CB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7E57E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A40B5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F91518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4F21DA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7689FE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CB540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tcPr>
          <w:p w14:paraId="6A62AA9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66364E5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C6885B9"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120D99AF" w14:textId="77777777" w:rsidTr="008C3712">
        <w:trPr>
          <w:trHeight w:val="20"/>
        </w:trPr>
        <w:tc>
          <w:tcPr>
            <w:tcW w:w="284" w:type="pct"/>
            <w:vAlign w:val="center"/>
            <w:hideMark/>
          </w:tcPr>
          <w:p w14:paraId="6021E61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PORT3</w:t>
            </w:r>
          </w:p>
        </w:tc>
        <w:tc>
          <w:tcPr>
            <w:tcW w:w="1219" w:type="pct"/>
            <w:vAlign w:val="center"/>
          </w:tcPr>
          <w:p w14:paraId="0F84593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Freight loaded and unloaded (thousand tonnes)</w:t>
            </w:r>
          </w:p>
        </w:tc>
        <w:tc>
          <w:tcPr>
            <w:tcW w:w="218" w:type="pct"/>
            <w:vAlign w:val="center"/>
            <w:hideMark/>
          </w:tcPr>
          <w:p w14:paraId="6360806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082AEA4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(4)</w:t>
            </w:r>
          </w:p>
        </w:tc>
        <w:tc>
          <w:tcPr>
            <w:tcW w:w="91" w:type="pct"/>
            <w:shd w:val="clear" w:color="000000" w:fill="FFFF00"/>
            <w:vAlign w:val="center"/>
            <w:hideMark/>
          </w:tcPr>
          <w:p w14:paraId="716B619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3F8CB57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141AE37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6694ED0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A56D4A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027F43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47D09FA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298969A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7A767B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0C43945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179F20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EB2A0F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5D6089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1428B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36A3C6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D9D4D4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A9BC3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A6384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CA2C1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60AA44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14D38E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A8C81C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5ABDC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32F4E1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8D3974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5E7C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BE36C1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EB6B8F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2E303A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A0FACF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066AE89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4E694AB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3864E763"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34BF33D7" w14:textId="77777777" w:rsidTr="008C3712">
        <w:trPr>
          <w:trHeight w:val="20"/>
        </w:trPr>
        <w:tc>
          <w:tcPr>
            <w:tcW w:w="284" w:type="pct"/>
            <w:vAlign w:val="center"/>
            <w:hideMark/>
          </w:tcPr>
          <w:p w14:paraId="2ECD847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PORT4</w:t>
            </w:r>
          </w:p>
        </w:tc>
        <w:tc>
          <w:tcPr>
            <w:tcW w:w="1219" w:type="pct"/>
            <w:vAlign w:val="center"/>
          </w:tcPr>
          <w:p w14:paraId="1D5EFA4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Passengers embarked and disembarked (thousand)</w:t>
            </w:r>
          </w:p>
        </w:tc>
        <w:tc>
          <w:tcPr>
            <w:tcW w:w="218" w:type="pct"/>
            <w:vAlign w:val="center"/>
            <w:hideMark/>
          </w:tcPr>
          <w:p w14:paraId="5FB37E95"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040BF459"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59A9A21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5BBD440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06E8507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963790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82640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E771C3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A83195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270F06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1C2B32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55F809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D4D4C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EF3D1C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AC37FF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10AA7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F68E74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67E85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EC6557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9C9E0E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C668A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AA450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D2726B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205EA8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8038DD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B66606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18D38B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C4C00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06E12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6F923A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ED9D99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67D75D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061E4F8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53DD13F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3545148"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7A5B0A91" w14:textId="77777777" w:rsidTr="008C3712">
        <w:trPr>
          <w:trHeight w:val="20"/>
        </w:trPr>
        <w:tc>
          <w:tcPr>
            <w:tcW w:w="284" w:type="pct"/>
            <w:vAlign w:val="center"/>
            <w:hideMark/>
          </w:tcPr>
          <w:p w14:paraId="26347C2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WATE1</w:t>
            </w:r>
          </w:p>
        </w:tc>
        <w:tc>
          <w:tcPr>
            <w:tcW w:w="1219" w:type="pct"/>
            <w:vAlign w:val="center"/>
          </w:tcPr>
          <w:p w14:paraId="468C7F3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Water delivered (thousand m3)</w:t>
            </w:r>
          </w:p>
        </w:tc>
        <w:tc>
          <w:tcPr>
            <w:tcW w:w="218" w:type="pct"/>
            <w:vAlign w:val="center"/>
            <w:hideMark/>
          </w:tcPr>
          <w:p w14:paraId="16FA76D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21AEFA7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50CB7C9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2976E8F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51D45C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AF004C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4F4724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0CFFC4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60E39B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AC9CA9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A6D24D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82A67B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DD92EF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FEAC97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D4096A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1E061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7FB0E5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563351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9F99B3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7C536B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3D2111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CE6285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4A6B06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9C94F1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AEC9EC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2949F7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AB5C01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998015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77904A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8B5746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43EA00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18E10E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622A1D3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04B0B26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09B831CC"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024A6EB9" w14:textId="77777777" w:rsidTr="008C3712">
        <w:trPr>
          <w:trHeight w:val="20"/>
        </w:trPr>
        <w:tc>
          <w:tcPr>
            <w:tcW w:w="284" w:type="pct"/>
            <w:vAlign w:val="center"/>
            <w:hideMark/>
          </w:tcPr>
          <w:p w14:paraId="11B14401"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WATE2</w:t>
            </w:r>
          </w:p>
        </w:tc>
        <w:tc>
          <w:tcPr>
            <w:tcW w:w="1219" w:type="pct"/>
            <w:vAlign w:val="center"/>
          </w:tcPr>
          <w:p w14:paraId="588AA06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Sewage treatment plants (thousand)</w:t>
            </w:r>
          </w:p>
        </w:tc>
        <w:tc>
          <w:tcPr>
            <w:tcW w:w="218" w:type="pct"/>
            <w:vAlign w:val="center"/>
            <w:hideMark/>
          </w:tcPr>
          <w:p w14:paraId="593922B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7FF53A90"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vAlign w:val="center"/>
            <w:hideMark/>
          </w:tcPr>
          <w:p w14:paraId="7DD4AB1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62B43FB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37FDF9E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569986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F0917D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AE54EB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4A092BE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CE7098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6653F2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533D2F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00304E5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83AB4A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5F30477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A32E40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D625F5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1F0906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34E0ACB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A4FA91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4D17072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779A88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14207B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3D2F1A2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30B0AC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9A87DF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FF5E74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17B6EB4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F6DFF0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9DE8F4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0A2AA24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0A06CB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45766F2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B94305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2F0F8ABE"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7DD77CEB" w14:textId="77777777" w:rsidTr="008C3712">
        <w:trPr>
          <w:trHeight w:val="20"/>
        </w:trPr>
        <w:tc>
          <w:tcPr>
            <w:tcW w:w="284" w:type="pct"/>
            <w:vAlign w:val="center"/>
            <w:hideMark/>
          </w:tcPr>
          <w:p w14:paraId="7C865E8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WATE3</w:t>
            </w:r>
          </w:p>
        </w:tc>
        <w:tc>
          <w:tcPr>
            <w:tcW w:w="1219" w:type="pct"/>
            <w:vAlign w:val="center"/>
          </w:tcPr>
          <w:p w14:paraId="49E68C5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Regional population served by complete wastewater treatment plants (%)</w:t>
            </w:r>
          </w:p>
        </w:tc>
        <w:tc>
          <w:tcPr>
            <w:tcW w:w="218" w:type="pct"/>
            <w:vAlign w:val="center"/>
            <w:hideMark/>
          </w:tcPr>
          <w:p w14:paraId="2CA3924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1A301E2A"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vAlign w:val="center"/>
            <w:hideMark/>
          </w:tcPr>
          <w:p w14:paraId="4301FFB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3EBBA36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3F78D91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A2E5C4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F968D0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DACDD5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7BB5565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6BEE0E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3C639D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36A48FD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22F1C8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46700D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3E98647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752143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2DDB78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ED594B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2B7544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E28DDD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60D2735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49FB75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E4912D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5464AF9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5B082C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F95E71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4CFD65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745EB82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0CB5CE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4B7CE5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5A73403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2732D5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679F0E4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5BF402C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3B1A5FBC"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3B3DAF1F" w14:textId="77777777" w:rsidTr="008C3712">
        <w:trPr>
          <w:trHeight w:val="20"/>
        </w:trPr>
        <w:tc>
          <w:tcPr>
            <w:tcW w:w="284" w:type="pct"/>
            <w:vAlign w:val="center"/>
            <w:hideMark/>
          </w:tcPr>
          <w:p w14:paraId="4EE04A7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ELEC1</w:t>
            </w:r>
          </w:p>
        </w:tc>
        <w:tc>
          <w:tcPr>
            <w:tcW w:w="1219" w:type="pct"/>
            <w:vAlign w:val="center"/>
          </w:tcPr>
          <w:p w14:paraId="0D95A441" w14:textId="77777777" w:rsidR="00D97F66" w:rsidRPr="008017F0" w:rsidRDefault="00D97F66" w:rsidP="008C3712">
            <w:pPr>
              <w:spacing w:after="0" w:line="240" w:lineRule="auto"/>
              <w:rPr>
                <w:rFonts w:eastAsia="Times New Roman" w:cstheme="minorHAnsi"/>
                <w:sz w:val="16"/>
                <w:szCs w:val="16"/>
                <w:lang w:val="en-GB" w:eastAsia="it-IT"/>
              </w:rPr>
            </w:pPr>
            <w:proofErr w:type="spellStart"/>
            <w:r w:rsidRPr="008017F0">
              <w:rPr>
                <w:rFonts w:eastAsia="Times New Roman" w:cstheme="minorHAnsi"/>
                <w:sz w:val="16"/>
                <w:szCs w:val="16"/>
                <w:lang w:val="en-GB" w:eastAsia="it-IT"/>
              </w:rPr>
              <w:t>Lenght</w:t>
            </w:r>
            <w:proofErr w:type="spellEnd"/>
            <w:r w:rsidRPr="008017F0">
              <w:rPr>
                <w:rFonts w:eastAsia="Times New Roman" w:cstheme="minorHAnsi"/>
                <w:sz w:val="16"/>
                <w:szCs w:val="16"/>
                <w:lang w:val="en-GB" w:eastAsia="it-IT"/>
              </w:rPr>
              <w:t xml:space="preserve"> of electricity network system 220Kv (Km)</w:t>
            </w:r>
          </w:p>
        </w:tc>
        <w:tc>
          <w:tcPr>
            <w:tcW w:w="218" w:type="pct"/>
            <w:vAlign w:val="center"/>
            <w:hideMark/>
          </w:tcPr>
          <w:p w14:paraId="40CB101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4935A20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vAlign w:val="center"/>
            <w:hideMark/>
          </w:tcPr>
          <w:p w14:paraId="299554D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60E55AD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59DB62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066FA8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9A68E3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5A9FCF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55B542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BB8E2C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EE1522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51A465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C084D3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587353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F121B1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4A6D29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EEAE23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F6657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E9FC40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2FF7B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3E0F2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8D81A7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57B41C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49782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37A2BD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0F054B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EEE84C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1F68F57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189E16E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03E042C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4D6E96F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26A3922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tcPr>
          <w:p w14:paraId="6C2A89A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36EFC14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26D7AE12"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55781347" w14:textId="77777777" w:rsidTr="008C3712">
        <w:trPr>
          <w:trHeight w:val="20"/>
        </w:trPr>
        <w:tc>
          <w:tcPr>
            <w:tcW w:w="284" w:type="pct"/>
            <w:vAlign w:val="center"/>
            <w:hideMark/>
          </w:tcPr>
          <w:p w14:paraId="4874162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ELEC2</w:t>
            </w:r>
          </w:p>
        </w:tc>
        <w:tc>
          <w:tcPr>
            <w:tcW w:w="1219" w:type="pct"/>
            <w:vAlign w:val="center"/>
          </w:tcPr>
          <w:p w14:paraId="28827A23" w14:textId="77777777" w:rsidR="00D97F66" w:rsidRPr="008017F0" w:rsidRDefault="00D97F66" w:rsidP="008C3712">
            <w:pPr>
              <w:spacing w:after="0" w:line="240" w:lineRule="auto"/>
              <w:rPr>
                <w:rFonts w:eastAsia="Times New Roman" w:cstheme="minorHAnsi"/>
                <w:sz w:val="16"/>
                <w:szCs w:val="16"/>
                <w:lang w:val="en-GB" w:eastAsia="it-IT"/>
              </w:rPr>
            </w:pPr>
            <w:proofErr w:type="spellStart"/>
            <w:r w:rsidRPr="008017F0">
              <w:rPr>
                <w:rFonts w:eastAsia="Times New Roman" w:cstheme="minorHAnsi"/>
                <w:sz w:val="16"/>
                <w:szCs w:val="16"/>
                <w:lang w:val="en-GB" w:eastAsia="it-IT"/>
              </w:rPr>
              <w:t>Lenght</w:t>
            </w:r>
            <w:proofErr w:type="spellEnd"/>
            <w:r w:rsidRPr="008017F0">
              <w:rPr>
                <w:rFonts w:eastAsia="Times New Roman" w:cstheme="minorHAnsi"/>
                <w:sz w:val="16"/>
                <w:szCs w:val="16"/>
                <w:lang w:val="en-GB" w:eastAsia="it-IT"/>
              </w:rPr>
              <w:t xml:space="preserve"> of electricity network system 380 </w:t>
            </w:r>
            <w:proofErr w:type="spellStart"/>
            <w:r w:rsidRPr="008017F0">
              <w:rPr>
                <w:rFonts w:eastAsia="Times New Roman" w:cstheme="minorHAnsi"/>
                <w:sz w:val="16"/>
                <w:szCs w:val="16"/>
                <w:lang w:val="en-GB" w:eastAsia="it-IT"/>
              </w:rPr>
              <w:t>Kv</w:t>
            </w:r>
            <w:proofErr w:type="spellEnd"/>
            <w:r w:rsidRPr="008017F0">
              <w:rPr>
                <w:rFonts w:eastAsia="Times New Roman" w:cstheme="minorHAnsi"/>
                <w:sz w:val="16"/>
                <w:szCs w:val="16"/>
                <w:lang w:val="en-GB" w:eastAsia="it-IT"/>
              </w:rPr>
              <w:t xml:space="preserve"> (Km)</w:t>
            </w:r>
          </w:p>
        </w:tc>
        <w:tc>
          <w:tcPr>
            <w:tcW w:w="218" w:type="pct"/>
            <w:vAlign w:val="center"/>
            <w:hideMark/>
          </w:tcPr>
          <w:p w14:paraId="30944B6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441CD10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vAlign w:val="center"/>
            <w:hideMark/>
          </w:tcPr>
          <w:p w14:paraId="208CF9D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5B59EC0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23C0752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95A296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02F28FD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E85BD0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BB22BD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D487D3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0F99ED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434EBC5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3E9B946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199A5A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E75279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5F7D054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5A414A5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5CCDC1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254AC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B3AD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C218F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E8A7B9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1B406E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27A9F5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3FC65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AA9BDF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CEA9BC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5F68023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342972F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352C1AB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808AB2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F9BC3F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tcPr>
          <w:p w14:paraId="15BB082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43344CA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486E95DD"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35C78F0A" w14:textId="77777777" w:rsidTr="008C3712">
        <w:trPr>
          <w:trHeight w:val="20"/>
        </w:trPr>
        <w:tc>
          <w:tcPr>
            <w:tcW w:w="284" w:type="pct"/>
            <w:vAlign w:val="center"/>
            <w:hideMark/>
          </w:tcPr>
          <w:p w14:paraId="7A887C6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ELEC3</w:t>
            </w:r>
          </w:p>
        </w:tc>
        <w:tc>
          <w:tcPr>
            <w:tcW w:w="1219" w:type="pct"/>
            <w:vAlign w:val="center"/>
          </w:tcPr>
          <w:p w14:paraId="6118A38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Net production of electrical energy (GWh)</w:t>
            </w:r>
          </w:p>
        </w:tc>
        <w:tc>
          <w:tcPr>
            <w:tcW w:w="218" w:type="pct"/>
            <w:vAlign w:val="center"/>
            <w:hideMark/>
          </w:tcPr>
          <w:p w14:paraId="0946497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687DF2E9"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91" w:type="pct"/>
            <w:shd w:val="clear" w:color="000000" w:fill="FFFF00"/>
            <w:vAlign w:val="center"/>
            <w:hideMark/>
          </w:tcPr>
          <w:p w14:paraId="42DCBED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2991408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vAlign w:val="center"/>
            <w:hideMark/>
          </w:tcPr>
          <w:p w14:paraId="4465446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BFDD03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32A0C5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FFFF00"/>
            <w:noWrap/>
            <w:vAlign w:val="center"/>
            <w:hideMark/>
          </w:tcPr>
          <w:p w14:paraId="0F2987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473F53E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63826CB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1D91208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639A1E3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2A869DF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0965FE9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28E4D11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D36C20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8BDD8A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62EAB7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7757BD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1C4E4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5F4DB7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D93D82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BD8BA1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46807B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5FC6E3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701C138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02732F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ADBC5E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C43753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2F4F92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B081BA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119832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7AC92C7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12BB74D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3C7D80EB"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037E67D2" w14:textId="77777777" w:rsidTr="008C3712">
        <w:trPr>
          <w:trHeight w:val="20"/>
        </w:trPr>
        <w:tc>
          <w:tcPr>
            <w:tcW w:w="284" w:type="pct"/>
            <w:vAlign w:val="center"/>
            <w:hideMark/>
          </w:tcPr>
          <w:p w14:paraId="43C73A0A"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GAS1</w:t>
            </w:r>
          </w:p>
        </w:tc>
        <w:tc>
          <w:tcPr>
            <w:tcW w:w="1219" w:type="pct"/>
            <w:vAlign w:val="center"/>
          </w:tcPr>
          <w:p w14:paraId="4D0A6F71"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xml:space="preserve">Total </w:t>
            </w:r>
            <w:proofErr w:type="spellStart"/>
            <w:r w:rsidRPr="008017F0">
              <w:rPr>
                <w:rFonts w:eastAsia="Times New Roman" w:cstheme="minorHAnsi"/>
                <w:sz w:val="16"/>
                <w:szCs w:val="16"/>
                <w:lang w:val="en-GB" w:eastAsia="it-IT"/>
              </w:rPr>
              <w:t>lenght</w:t>
            </w:r>
            <w:proofErr w:type="spellEnd"/>
            <w:r w:rsidRPr="008017F0">
              <w:rPr>
                <w:rFonts w:eastAsia="Times New Roman" w:cstheme="minorHAnsi"/>
                <w:sz w:val="16"/>
                <w:szCs w:val="16"/>
                <w:lang w:val="en-GB" w:eastAsia="it-IT"/>
              </w:rPr>
              <w:t xml:space="preserve"> natural gas pipelines (km)</w:t>
            </w:r>
          </w:p>
        </w:tc>
        <w:tc>
          <w:tcPr>
            <w:tcW w:w="218" w:type="pct"/>
            <w:vAlign w:val="center"/>
            <w:hideMark/>
          </w:tcPr>
          <w:p w14:paraId="24622BC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ARERA</w:t>
            </w:r>
          </w:p>
        </w:tc>
        <w:tc>
          <w:tcPr>
            <w:tcW w:w="271" w:type="pct"/>
            <w:vAlign w:val="center"/>
            <w:hideMark/>
          </w:tcPr>
          <w:p w14:paraId="65363015"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91" w:type="pct"/>
            <w:vAlign w:val="center"/>
            <w:hideMark/>
          </w:tcPr>
          <w:p w14:paraId="6ADF77B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1A00520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19582A1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6529F3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AB4224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B9306C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278FB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666A7C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B3FDCA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C00DE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86729B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8B8C89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3F44B0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7DEE52C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3AE9BDC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FFFF00"/>
            <w:noWrap/>
            <w:vAlign w:val="center"/>
            <w:hideMark/>
          </w:tcPr>
          <w:p w14:paraId="3423863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1E1BC6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C05D15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63D2EE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43E340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15DF88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D136D8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D5D362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BF3176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7D6F0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BC38D1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07B26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A54ACA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D6F7CB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0F9B3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06C1A18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D5ECC7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FFFF00"/>
          </w:tcPr>
          <w:p w14:paraId="48D737A4"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5A29EB01" w14:textId="77777777" w:rsidTr="008C3712">
        <w:trPr>
          <w:trHeight w:val="20"/>
        </w:trPr>
        <w:tc>
          <w:tcPr>
            <w:tcW w:w="284" w:type="pct"/>
            <w:vAlign w:val="center"/>
            <w:hideMark/>
          </w:tcPr>
          <w:p w14:paraId="2361A39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PETR1</w:t>
            </w:r>
          </w:p>
        </w:tc>
        <w:tc>
          <w:tcPr>
            <w:tcW w:w="1219" w:type="pct"/>
            <w:vAlign w:val="center"/>
          </w:tcPr>
          <w:p w14:paraId="73CD38C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xml:space="preserve">Total </w:t>
            </w:r>
            <w:proofErr w:type="spellStart"/>
            <w:r w:rsidRPr="008017F0">
              <w:rPr>
                <w:rFonts w:eastAsia="Times New Roman" w:cstheme="minorHAnsi"/>
                <w:sz w:val="16"/>
                <w:szCs w:val="16"/>
                <w:lang w:val="en-GB" w:eastAsia="it-IT"/>
              </w:rPr>
              <w:t>lenght</w:t>
            </w:r>
            <w:proofErr w:type="spellEnd"/>
            <w:r w:rsidRPr="008017F0">
              <w:rPr>
                <w:rFonts w:eastAsia="Times New Roman" w:cstheme="minorHAnsi"/>
                <w:sz w:val="16"/>
                <w:szCs w:val="16"/>
                <w:lang w:val="en-GB" w:eastAsia="it-IT"/>
              </w:rPr>
              <w:t xml:space="preserve"> petroleum pipelines (km)</w:t>
            </w:r>
          </w:p>
        </w:tc>
        <w:tc>
          <w:tcPr>
            <w:tcW w:w="218" w:type="pct"/>
            <w:vAlign w:val="center"/>
            <w:hideMark/>
          </w:tcPr>
          <w:p w14:paraId="23075C1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MIT</w:t>
            </w:r>
          </w:p>
        </w:tc>
        <w:tc>
          <w:tcPr>
            <w:tcW w:w="271" w:type="pct"/>
            <w:vAlign w:val="center"/>
            <w:hideMark/>
          </w:tcPr>
          <w:p w14:paraId="6C63E019"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vAlign w:val="center"/>
            <w:hideMark/>
          </w:tcPr>
          <w:p w14:paraId="4E991CD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vAlign w:val="center"/>
            <w:hideMark/>
          </w:tcPr>
          <w:p w14:paraId="62F329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25901B8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47D5D1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86A158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8C8966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623F272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BCE5B1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68A2DB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E09B36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753561E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BF96D5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E4E38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9FA41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0A195F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201D0D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B5618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B6A81E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00583C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E9D70D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FEB2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E04ADE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48F36F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53BFA8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907806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D614C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2E8384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1C43DA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07D460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0F41A5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tcPr>
          <w:p w14:paraId="0FA2498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5FEAA20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7567095"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2AC8F8E5" w14:textId="77777777" w:rsidTr="008C3712">
        <w:trPr>
          <w:trHeight w:val="20"/>
        </w:trPr>
        <w:tc>
          <w:tcPr>
            <w:tcW w:w="284" w:type="pct"/>
            <w:vAlign w:val="center"/>
            <w:hideMark/>
          </w:tcPr>
          <w:p w14:paraId="15296E4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PETR2</w:t>
            </w:r>
          </w:p>
        </w:tc>
        <w:tc>
          <w:tcPr>
            <w:tcW w:w="1219" w:type="pct"/>
            <w:vAlign w:val="center"/>
          </w:tcPr>
          <w:p w14:paraId="7177E591"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Cumulative n. of oil wells</w:t>
            </w:r>
          </w:p>
        </w:tc>
        <w:tc>
          <w:tcPr>
            <w:tcW w:w="218" w:type="pct"/>
            <w:vAlign w:val="center"/>
            <w:hideMark/>
          </w:tcPr>
          <w:p w14:paraId="1FAED4BA"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MISE</w:t>
            </w:r>
          </w:p>
        </w:tc>
        <w:tc>
          <w:tcPr>
            <w:tcW w:w="271" w:type="pct"/>
            <w:vAlign w:val="center"/>
            <w:hideMark/>
          </w:tcPr>
          <w:p w14:paraId="1123B08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2137CD1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74C2A41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6A1F13C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5467CF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C34774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D1BCE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049EF3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F6C163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09DC72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FEED8D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901CBF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4FA48A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0C1EF8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B0FFFF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FDB775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17EA29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23168F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C94458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F3B898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A170EA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9AE39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E1991B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F7D10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F19DDB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E5AB05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2B8F5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A26A3A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760BCC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536A48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C52125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4396DB9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0D7301F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101FB0A9"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35FD3F7D" w14:textId="77777777" w:rsidTr="008C3712">
        <w:trPr>
          <w:trHeight w:val="20"/>
        </w:trPr>
        <w:tc>
          <w:tcPr>
            <w:tcW w:w="284" w:type="pct"/>
            <w:vAlign w:val="center"/>
            <w:hideMark/>
          </w:tcPr>
          <w:p w14:paraId="7B013730"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WAST1</w:t>
            </w:r>
          </w:p>
        </w:tc>
        <w:tc>
          <w:tcPr>
            <w:tcW w:w="1219" w:type="pct"/>
            <w:vAlign w:val="center"/>
          </w:tcPr>
          <w:p w14:paraId="78AF300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Production of urban waste (thousand tonnes)</w:t>
            </w:r>
          </w:p>
        </w:tc>
        <w:tc>
          <w:tcPr>
            <w:tcW w:w="218" w:type="pct"/>
            <w:vAlign w:val="center"/>
            <w:hideMark/>
          </w:tcPr>
          <w:p w14:paraId="73D1BB6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50104AC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ISPRA</w:t>
            </w:r>
          </w:p>
        </w:tc>
        <w:tc>
          <w:tcPr>
            <w:tcW w:w="91" w:type="pct"/>
            <w:vAlign w:val="center"/>
            <w:hideMark/>
          </w:tcPr>
          <w:p w14:paraId="1C1233E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015CE1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vAlign w:val="center"/>
            <w:hideMark/>
          </w:tcPr>
          <w:p w14:paraId="635535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6FA92C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5DDFE2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06B6BB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11288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14B6D2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5A6280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5BB39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04C60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92CBF4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4B3A38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A951F2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5D8DC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B81CA5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D3C11B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481915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B0D4D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FE17AE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835622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303A21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D6E85C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0FF8D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3C9409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C0CD4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191165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61385E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605283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EE4A76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34F65FE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AC9D9B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5CB20F2E"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5FB8FF68" w14:textId="77777777" w:rsidTr="008C3712">
        <w:trPr>
          <w:trHeight w:val="20"/>
        </w:trPr>
        <w:tc>
          <w:tcPr>
            <w:tcW w:w="284" w:type="pct"/>
            <w:vAlign w:val="center"/>
            <w:hideMark/>
          </w:tcPr>
          <w:p w14:paraId="4F7967D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EDUC1</w:t>
            </w:r>
          </w:p>
        </w:tc>
        <w:tc>
          <w:tcPr>
            <w:tcW w:w="1219" w:type="pct"/>
            <w:vAlign w:val="center"/>
          </w:tcPr>
          <w:p w14:paraId="7F917D3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maternal classrooms</w:t>
            </w:r>
          </w:p>
        </w:tc>
        <w:tc>
          <w:tcPr>
            <w:tcW w:w="218" w:type="pct"/>
            <w:vAlign w:val="center"/>
            <w:hideMark/>
          </w:tcPr>
          <w:p w14:paraId="0B7EA11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13F5F899"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shd w:val="clear" w:color="000000" w:fill="92D050"/>
            <w:vAlign w:val="center"/>
            <w:hideMark/>
          </w:tcPr>
          <w:p w14:paraId="5E4EBCE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0DB0DF8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557C051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1DB8B3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E7954C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FB5A01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75CC929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4206F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B6A96A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321351E"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1BFF943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6E502E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AD2F5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0FEB54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67D9BB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BCABDE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E4104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751209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E5C7F6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D90429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257B9A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A792B5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8122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603CD9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F42D7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48227C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03D7B9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1BB8927"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42897E9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2FC9AC5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66E53E6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0397C31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70253D99"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6F77F802" w14:textId="77777777" w:rsidTr="008C3712">
        <w:trPr>
          <w:trHeight w:val="20"/>
        </w:trPr>
        <w:tc>
          <w:tcPr>
            <w:tcW w:w="284" w:type="pct"/>
            <w:vAlign w:val="center"/>
            <w:hideMark/>
          </w:tcPr>
          <w:p w14:paraId="572B171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EDUC2</w:t>
            </w:r>
          </w:p>
        </w:tc>
        <w:tc>
          <w:tcPr>
            <w:tcW w:w="1219" w:type="pct"/>
            <w:vAlign w:val="center"/>
          </w:tcPr>
          <w:p w14:paraId="2B22A7A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primary classrooms</w:t>
            </w:r>
          </w:p>
        </w:tc>
        <w:tc>
          <w:tcPr>
            <w:tcW w:w="218" w:type="pct"/>
            <w:vAlign w:val="center"/>
            <w:hideMark/>
          </w:tcPr>
          <w:p w14:paraId="6B876027"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43809CDF"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shd w:val="clear" w:color="000000" w:fill="92D050"/>
            <w:vAlign w:val="center"/>
            <w:hideMark/>
          </w:tcPr>
          <w:p w14:paraId="380EF5A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30F2A49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67A113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9644CD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7E47E4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3CDC0D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76BB76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A68705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ABA09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A3C7D8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DA942A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6E852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7F7723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E4F57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CAA393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960C78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D408E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1670F1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9BAB88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B45DE5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26FC4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4E0258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60CA4C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E194B7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71F04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D1B7C8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286263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F758CA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0BA2FAF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06824A4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4F67F48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21DF45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32332750"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4299DDB9" w14:textId="77777777" w:rsidTr="008C3712">
        <w:trPr>
          <w:trHeight w:val="20"/>
        </w:trPr>
        <w:tc>
          <w:tcPr>
            <w:tcW w:w="284" w:type="pct"/>
            <w:vAlign w:val="center"/>
            <w:hideMark/>
          </w:tcPr>
          <w:p w14:paraId="68725DA9"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EDUC3</w:t>
            </w:r>
          </w:p>
        </w:tc>
        <w:tc>
          <w:tcPr>
            <w:tcW w:w="1219" w:type="pct"/>
            <w:vAlign w:val="center"/>
          </w:tcPr>
          <w:p w14:paraId="067FFCD5"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secondary first cycle classrooms</w:t>
            </w:r>
          </w:p>
        </w:tc>
        <w:tc>
          <w:tcPr>
            <w:tcW w:w="218" w:type="pct"/>
            <w:vAlign w:val="center"/>
            <w:hideMark/>
          </w:tcPr>
          <w:p w14:paraId="7713221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340F945D"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shd w:val="clear" w:color="000000" w:fill="92D050"/>
            <w:vAlign w:val="center"/>
            <w:hideMark/>
          </w:tcPr>
          <w:p w14:paraId="54BB7CB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37AB620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44DC643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5FD31E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D702CE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78814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10439F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A3082E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21AF7B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F9EF85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0AAAE1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EE4E1C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DB63EB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39123B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21450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06504D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E770D8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84F166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D1BB9F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BA5AC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73A400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0B7AA4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10B6BA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E2E096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72AF06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54BC2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EC2711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47877D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6C9929D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4AE7480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25C2A7B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37A9887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7DE4839B"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160DA015" w14:textId="77777777" w:rsidTr="008C3712">
        <w:trPr>
          <w:trHeight w:val="20"/>
        </w:trPr>
        <w:tc>
          <w:tcPr>
            <w:tcW w:w="284" w:type="pct"/>
            <w:vAlign w:val="center"/>
            <w:hideMark/>
          </w:tcPr>
          <w:p w14:paraId="23DBEB55"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EDUC4</w:t>
            </w:r>
          </w:p>
        </w:tc>
        <w:tc>
          <w:tcPr>
            <w:tcW w:w="1219" w:type="pct"/>
            <w:vAlign w:val="center"/>
          </w:tcPr>
          <w:p w14:paraId="46DFEFA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secondary upper cycle classrooms</w:t>
            </w:r>
          </w:p>
        </w:tc>
        <w:tc>
          <w:tcPr>
            <w:tcW w:w="218" w:type="pct"/>
            <w:vAlign w:val="center"/>
            <w:hideMark/>
          </w:tcPr>
          <w:p w14:paraId="17F98FF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5C15D133"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shd w:val="clear" w:color="000000" w:fill="92D050"/>
            <w:vAlign w:val="center"/>
            <w:hideMark/>
          </w:tcPr>
          <w:p w14:paraId="4C0767C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5324CD0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45DA64E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65EBAB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B2D66B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7CAD78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BBADD0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BD91E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592641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C17A4A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142E4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B410A3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322D2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4FA57E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0C127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12E14C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FDF3E0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25B846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BF43A4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6D09E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922387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0DCFAA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887E4A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5CBA2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05E6D5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1968B0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75FC01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F590F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26B7060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566EA73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6E11A1B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35753D2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DB6BA15"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07E898C8" w14:textId="77777777" w:rsidTr="008C3712">
        <w:trPr>
          <w:trHeight w:val="20"/>
        </w:trPr>
        <w:tc>
          <w:tcPr>
            <w:tcW w:w="284" w:type="pct"/>
            <w:vAlign w:val="center"/>
            <w:hideMark/>
          </w:tcPr>
          <w:p w14:paraId="23C3013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EDUC5</w:t>
            </w:r>
          </w:p>
        </w:tc>
        <w:tc>
          <w:tcPr>
            <w:tcW w:w="1219" w:type="pct"/>
            <w:vAlign w:val="center"/>
          </w:tcPr>
          <w:p w14:paraId="0B11C48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university professors and researchers</w:t>
            </w:r>
          </w:p>
        </w:tc>
        <w:tc>
          <w:tcPr>
            <w:tcW w:w="218" w:type="pct"/>
            <w:vAlign w:val="center"/>
            <w:hideMark/>
          </w:tcPr>
          <w:p w14:paraId="43ACBE4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MIUR</w:t>
            </w:r>
          </w:p>
        </w:tc>
        <w:tc>
          <w:tcPr>
            <w:tcW w:w="271" w:type="pct"/>
            <w:vAlign w:val="center"/>
            <w:hideMark/>
          </w:tcPr>
          <w:p w14:paraId="550C070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91" w:type="pct"/>
            <w:vAlign w:val="center"/>
            <w:hideMark/>
          </w:tcPr>
          <w:p w14:paraId="4976669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5E4AA0E5"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vAlign w:val="center"/>
            <w:hideMark/>
          </w:tcPr>
          <w:p w14:paraId="700B5C9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7EEAE55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46C289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145D424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58C4847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619DD6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noWrap/>
            <w:vAlign w:val="center"/>
            <w:hideMark/>
          </w:tcPr>
          <w:p w14:paraId="294FD06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noWrap/>
            <w:vAlign w:val="center"/>
            <w:hideMark/>
          </w:tcPr>
          <w:p w14:paraId="75F9B46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78C040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1845F2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E42713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5FE515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882D13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DA112A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756860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D60E58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952593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7355F6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99FD1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F8FFD5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1F6578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289CCD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B83F6F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30A58D8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5A32AE22"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654F3C7F"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2BD0AE6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noWrap/>
            <w:vAlign w:val="center"/>
            <w:hideMark/>
          </w:tcPr>
          <w:p w14:paraId="7FC060B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124B3383"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A03D2C6"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2FB9D9E3"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7354902F" w14:textId="77777777" w:rsidTr="008C3712">
        <w:trPr>
          <w:trHeight w:val="20"/>
        </w:trPr>
        <w:tc>
          <w:tcPr>
            <w:tcW w:w="284" w:type="pct"/>
            <w:vAlign w:val="center"/>
            <w:hideMark/>
          </w:tcPr>
          <w:p w14:paraId="0139F6CB"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CULT1</w:t>
            </w:r>
          </w:p>
        </w:tc>
        <w:tc>
          <w:tcPr>
            <w:tcW w:w="1219" w:type="pct"/>
            <w:vAlign w:val="center"/>
          </w:tcPr>
          <w:p w14:paraId="27BD7DD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visitors of public art institutes</w:t>
            </w:r>
          </w:p>
        </w:tc>
        <w:tc>
          <w:tcPr>
            <w:tcW w:w="218" w:type="pct"/>
            <w:vAlign w:val="center"/>
            <w:hideMark/>
          </w:tcPr>
          <w:p w14:paraId="2B90C459"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6BC94E41" w14:textId="77777777" w:rsidR="00D97F66" w:rsidRPr="008017F0" w:rsidRDefault="00D97F66" w:rsidP="008C3712">
            <w:pPr>
              <w:spacing w:after="0" w:line="240" w:lineRule="auto"/>
              <w:rPr>
                <w:rFonts w:eastAsia="Times New Roman" w:cstheme="minorHAnsi"/>
                <w:sz w:val="16"/>
                <w:szCs w:val="16"/>
                <w:lang w:val="en-GB" w:eastAsia="it-IT"/>
              </w:rPr>
            </w:pPr>
          </w:p>
        </w:tc>
        <w:tc>
          <w:tcPr>
            <w:tcW w:w="91" w:type="pct"/>
            <w:vAlign w:val="center"/>
            <w:hideMark/>
          </w:tcPr>
          <w:p w14:paraId="24CBF37C"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000000" w:fill="92D050"/>
            <w:vAlign w:val="center"/>
            <w:hideMark/>
          </w:tcPr>
          <w:p w14:paraId="3F48B27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62F25D1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6E9EC2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714B7B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0D86F0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A29067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E9B44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B7139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C7665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5202EA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EAA5FA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924A9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E89EAF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C0867B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97FAAB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1C573D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EF9E9E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48E305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DE21F2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6D2CE7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046E82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45A40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9B22A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26DC7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E3699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356827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8D84AC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CB9249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5BDC63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6C6A148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3CA1819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1AF63B7B"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677B5DA2" w14:textId="77777777" w:rsidTr="008C3712">
        <w:trPr>
          <w:trHeight w:val="20"/>
        </w:trPr>
        <w:tc>
          <w:tcPr>
            <w:tcW w:w="284" w:type="pct"/>
            <w:vAlign w:val="center"/>
            <w:hideMark/>
          </w:tcPr>
          <w:p w14:paraId="0E2C4540"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CULT2</w:t>
            </w:r>
          </w:p>
        </w:tc>
        <w:tc>
          <w:tcPr>
            <w:tcW w:w="1219" w:type="pct"/>
            <w:vAlign w:val="center"/>
          </w:tcPr>
          <w:p w14:paraId="53696A90"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tickets for theatres and concerts</w:t>
            </w:r>
          </w:p>
        </w:tc>
        <w:tc>
          <w:tcPr>
            <w:tcW w:w="218" w:type="pct"/>
            <w:noWrap/>
            <w:vAlign w:val="center"/>
            <w:hideMark/>
          </w:tcPr>
          <w:p w14:paraId="0E29E6A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271" w:type="pct"/>
            <w:vAlign w:val="center"/>
            <w:hideMark/>
          </w:tcPr>
          <w:p w14:paraId="7881CA4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26395E6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01E69AC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06CBF76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9DF8FC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09B8FD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AE9EB6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AF855D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401CBE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3F862F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AF975D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F2AD0B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894B50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F16CC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7E7517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02DBC4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9C5BC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7A1B1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96F21B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76E59A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F73320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1529A1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8ED7D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F3A28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AF4D3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3222F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073BAA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CCE54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98570C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F441F7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76FED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471BD201"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11543DE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7D813C5"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43389ACC" w14:textId="77777777" w:rsidTr="008C3712">
        <w:trPr>
          <w:trHeight w:val="20"/>
        </w:trPr>
        <w:tc>
          <w:tcPr>
            <w:tcW w:w="284" w:type="pct"/>
            <w:vAlign w:val="center"/>
            <w:hideMark/>
          </w:tcPr>
          <w:p w14:paraId="02C3ED5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SOCI1</w:t>
            </w:r>
          </w:p>
        </w:tc>
        <w:tc>
          <w:tcPr>
            <w:tcW w:w="1219" w:type="pct"/>
            <w:vAlign w:val="center"/>
          </w:tcPr>
          <w:p w14:paraId="3175D6A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available beds in nursing and residential care facilities</w:t>
            </w:r>
          </w:p>
        </w:tc>
        <w:tc>
          <w:tcPr>
            <w:tcW w:w="218" w:type="pct"/>
            <w:vAlign w:val="center"/>
            <w:hideMark/>
          </w:tcPr>
          <w:p w14:paraId="10B7FA7F"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(2)</w:t>
            </w:r>
          </w:p>
        </w:tc>
        <w:tc>
          <w:tcPr>
            <w:tcW w:w="271" w:type="pct"/>
            <w:vAlign w:val="center"/>
            <w:hideMark/>
          </w:tcPr>
          <w:p w14:paraId="7D1184F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2428009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2DAB14C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vAlign w:val="center"/>
            <w:hideMark/>
          </w:tcPr>
          <w:p w14:paraId="1749803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9C8C15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5AD9D5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78F23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EFD3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D7FD1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B97849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EC6515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92AA70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456BB7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E63A59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FD4835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C0B48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9DB1AF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A5D00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52B01D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DF1CE9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8FA06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10A04B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8646E4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FE836E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A8ECE7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394E02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1677E4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63276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8EC7A0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31355C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17CECCA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738EB55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44D050DB"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06BAB183"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1B48E126" w14:textId="77777777" w:rsidTr="008C3712">
        <w:trPr>
          <w:trHeight w:val="20"/>
        </w:trPr>
        <w:tc>
          <w:tcPr>
            <w:tcW w:w="284" w:type="pct"/>
            <w:vAlign w:val="center"/>
            <w:hideMark/>
          </w:tcPr>
          <w:p w14:paraId="6D976464"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SOCI2</w:t>
            </w:r>
          </w:p>
        </w:tc>
        <w:tc>
          <w:tcPr>
            <w:tcW w:w="1219" w:type="pct"/>
            <w:vAlign w:val="center"/>
          </w:tcPr>
          <w:p w14:paraId="63F339D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Kindergartens (number of users)</w:t>
            </w:r>
          </w:p>
        </w:tc>
        <w:tc>
          <w:tcPr>
            <w:tcW w:w="218" w:type="pct"/>
            <w:vAlign w:val="center"/>
            <w:hideMark/>
          </w:tcPr>
          <w:p w14:paraId="04FE4A45"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(3)</w:t>
            </w:r>
          </w:p>
        </w:tc>
        <w:tc>
          <w:tcPr>
            <w:tcW w:w="271" w:type="pct"/>
            <w:vAlign w:val="center"/>
            <w:hideMark/>
          </w:tcPr>
          <w:p w14:paraId="2A73DAC9"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99D20D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C00DCE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828324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91CF6B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73214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7572D3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6E630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3DA11C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FE80FE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4B5DA7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F8AFC1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1F6F28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9C2E08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42CCA4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559C05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F34B7A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4773B2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D25B9D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0B58139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4CF3C26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3E758E4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3EE0481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3D3A24F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7AAA1C8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B157BB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2376A4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2F40C9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3792DF0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188407C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noWrap/>
            <w:vAlign w:val="center"/>
            <w:hideMark/>
          </w:tcPr>
          <w:p w14:paraId="1C2A77F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244A0EF0"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tcPr>
          <w:p w14:paraId="482BC17D"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51AAAA02"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6446039A" w14:textId="77777777" w:rsidTr="008C3712">
        <w:trPr>
          <w:trHeight w:val="20"/>
        </w:trPr>
        <w:tc>
          <w:tcPr>
            <w:tcW w:w="284" w:type="pct"/>
            <w:vAlign w:val="center"/>
            <w:hideMark/>
          </w:tcPr>
          <w:p w14:paraId="55F24126"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HEAL1</w:t>
            </w:r>
          </w:p>
        </w:tc>
        <w:tc>
          <w:tcPr>
            <w:tcW w:w="1219" w:type="pct"/>
            <w:vAlign w:val="center"/>
          </w:tcPr>
          <w:p w14:paraId="49BA408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of beds in hospitals</w:t>
            </w:r>
          </w:p>
        </w:tc>
        <w:tc>
          <w:tcPr>
            <w:tcW w:w="218" w:type="pct"/>
            <w:vAlign w:val="center"/>
            <w:hideMark/>
          </w:tcPr>
          <w:p w14:paraId="094B0A5D"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1ED93A8C"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91" w:type="pct"/>
            <w:shd w:val="clear" w:color="auto" w:fill="FFFF00"/>
            <w:vAlign w:val="center"/>
            <w:hideMark/>
          </w:tcPr>
          <w:p w14:paraId="0EA7DF8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vAlign w:val="center"/>
            <w:hideMark/>
          </w:tcPr>
          <w:p w14:paraId="59363F1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vAlign w:val="center"/>
            <w:hideMark/>
          </w:tcPr>
          <w:p w14:paraId="112020E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noWrap/>
            <w:vAlign w:val="center"/>
            <w:hideMark/>
          </w:tcPr>
          <w:p w14:paraId="189B81A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20C8E86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noWrap/>
            <w:vAlign w:val="center"/>
            <w:hideMark/>
          </w:tcPr>
          <w:p w14:paraId="5688E5B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CE0F0E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C867E7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EAEB66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F98947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B8372A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CD2C5C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CF9BA2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367752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3067D9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B0BC4B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D86A4A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167846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B4ED57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A60B1E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A963CD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0A9E8D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15651EE"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791D86C"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128939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CB2931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9C1E30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E2E446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002EF4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5BA116D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4DF5C624"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8BF27F8"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086D4D95" w14:textId="77777777" w:rsidR="00D97F66" w:rsidRPr="008017F0" w:rsidRDefault="00D97F66" w:rsidP="008C3712">
            <w:pPr>
              <w:spacing w:after="0" w:line="240" w:lineRule="atLeast"/>
              <w:rPr>
                <w:rFonts w:eastAsia="Times New Roman" w:cstheme="minorHAnsi"/>
                <w:sz w:val="16"/>
                <w:szCs w:val="16"/>
                <w:lang w:val="en-GB" w:eastAsia="it-IT"/>
              </w:rPr>
            </w:pPr>
          </w:p>
        </w:tc>
      </w:tr>
      <w:tr w:rsidR="00D97F66" w:rsidRPr="008017F0" w14:paraId="307B2333" w14:textId="77777777" w:rsidTr="008C3712">
        <w:trPr>
          <w:trHeight w:val="20"/>
        </w:trPr>
        <w:tc>
          <w:tcPr>
            <w:tcW w:w="284" w:type="pct"/>
            <w:vAlign w:val="center"/>
            <w:hideMark/>
          </w:tcPr>
          <w:p w14:paraId="6D0506CE"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cstheme="minorHAnsi"/>
                <w:sz w:val="16"/>
                <w:szCs w:val="16"/>
                <w:lang w:val="en-GB"/>
              </w:rPr>
              <w:t>HEAL2</w:t>
            </w:r>
          </w:p>
        </w:tc>
        <w:tc>
          <w:tcPr>
            <w:tcW w:w="1219" w:type="pct"/>
            <w:vAlign w:val="center"/>
          </w:tcPr>
          <w:p w14:paraId="74E30132"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n. doctors</w:t>
            </w:r>
          </w:p>
        </w:tc>
        <w:tc>
          <w:tcPr>
            <w:tcW w:w="218" w:type="pct"/>
            <w:vAlign w:val="center"/>
            <w:hideMark/>
          </w:tcPr>
          <w:p w14:paraId="43B1DED0"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Eurostat</w:t>
            </w:r>
          </w:p>
        </w:tc>
        <w:tc>
          <w:tcPr>
            <w:tcW w:w="271" w:type="pct"/>
            <w:vAlign w:val="center"/>
            <w:hideMark/>
          </w:tcPr>
          <w:p w14:paraId="19BDB0F3" w14:textId="77777777" w:rsidR="00D97F66" w:rsidRPr="008017F0" w:rsidRDefault="00D97F66" w:rsidP="008C3712">
            <w:pPr>
              <w:spacing w:after="0" w:line="240" w:lineRule="auto"/>
              <w:rPr>
                <w:rFonts w:eastAsia="Times New Roman" w:cstheme="minorHAnsi"/>
                <w:sz w:val="16"/>
                <w:szCs w:val="16"/>
                <w:lang w:val="en-GB" w:eastAsia="it-IT"/>
              </w:rPr>
            </w:pPr>
            <w:r w:rsidRPr="008017F0">
              <w:rPr>
                <w:rFonts w:eastAsia="Times New Roman" w:cstheme="minorHAnsi"/>
                <w:sz w:val="16"/>
                <w:szCs w:val="16"/>
                <w:lang w:val="en-GB" w:eastAsia="it-IT"/>
              </w:rPr>
              <w:t>Istat (1)</w:t>
            </w:r>
          </w:p>
        </w:tc>
        <w:tc>
          <w:tcPr>
            <w:tcW w:w="91" w:type="pct"/>
            <w:shd w:val="clear" w:color="auto" w:fill="FFFF00"/>
            <w:vAlign w:val="center"/>
            <w:hideMark/>
          </w:tcPr>
          <w:p w14:paraId="1D3A168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vAlign w:val="center"/>
            <w:hideMark/>
          </w:tcPr>
          <w:p w14:paraId="587EC7A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vAlign w:val="center"/>
            <w:hideMark/>
          </w:tcPr>
          <w:p w14:paraId="12BE3B9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noWrap/>
            <w:vAlign w:val="center"/>
            <w:hideMark/>
          </w:tcPr>
          <w:p w14:paraId="2701F018"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noWrap/>
            <w:vAlign w:val="center"/>
            <w:hideMark/>
          </w:tcPr>
          <w:p w14:paraId="10649E7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FFFF00"/>
            <w:noWrap/>
            <w:vAlign w:val="center"/>
            <w:hideMark/>
          </w:tcPr>
          <w:p w14:paraId="7F1F00B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36C022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19BE564"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4BC08E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CADEB5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729702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BBF2C1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00BCF4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701C2EA9"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436EF0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4A7B922A"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1A333D2"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6D07BB9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CB50B9D"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88B7767"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09707D7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3B89156B"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5077AA6"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AF8DE70"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87A480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2629159F"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12F44A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5D68ECD1"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000000" w:fill="92D050"/>
            <w:noWrap/>
            <w:vAlign w:val="center"/>
            <w:hideMark/>
          </w:tcPr>
          <w:p w14:paraId="1D51F255"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noWrap/>
            <w:vAlign w:val="center"/>
            <w:hideMark/>
          </w:tcPr>
          <w:p w14:paraId="6BCA69A3" w14:textId="77777777" w:rsidR="00D97F66" w:rsidRPr="008017F0" w:rsidRDefault="00D97F66" w:rsidP="008C3712">
            <w:pPr>
              <w:spacing w:after="0" w:line="240" w:lineRule="atLeast"/>
              <w:rPr>
                <w:rFonts w:eastAsia="Times New Roman" w:cstheme="minorHAnsi"/>
                <w:sz w:val="16"/>
                <w:szCs w:val="16"/>
                <w:lang w:val="en-GB" w:eastAsia="it-IT"/>
              </w:rPr>
            </w:pPr>
            <w:r w:rsidRPr="008017F0">
              <w:rPr>
                <w:rFonts w:eastAsia="Times New Roman" w:cstheme="minorHAnsi"/>
                <w:sz w:val="16"/>
                <w:szCs w:val="16"/>
                <w:lang w:val="en-GB" w:eastAsia="it-IT"/>
              </w:rPr>
              <w:t> </w:t>
            </w:r>
          </w:p>
        </w:tc>
        <w:tc>
          <w:tcPr>
            <w:tcW w:w="91" w:type="pct"/>
            <w:shd w:val="clear" w:color="auto" w:fill="92D050"/>
          </w:tcPr>
          <w:p w14:paraId="4F438C59"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D6C0F2A" w14:textId="77777777" w:rsidR="00D97F66" w:rsidRPr="008017F0" w:rsidRDefault="00D97F66" w:rsidP="008C3712">
            <w:pPr>
              <w:spacing w:after="0" w:line="240" w:lineRule="atLeast"/>
              <w:rPr>
                <w:rFonts w:eastAsia="Times New Roman" w:cstheme="minorHAnsi"/>
                <w:sz w:val="16"/>
                <w:szCs w:val="16"/>
                <w:lang w:val="en-GB" w:eastAsia="it-IT"/>
              </w:rPr>
            </w:pPr>
          </w:p>
        </w:tc>
        <w:tc>
          <w:tcPr>
            <w:tcW w:w="91" w:type="pct"/>
            <w:shd w:val="clear" w:color="auto" w:fill="92D050"/>
          </w:tcPr>
          <w:p w14:paraId="658EC07B" w14:textId="77777777" w:rsidR="00D97F66" w:rsidRPr="008017F0" w:rsidRDefault="00D97F66" w:rsidP="008C3712">
            <w:pPr>
              <w:spacing w:after="0" w:line="240" w:lineRule="atLeast"/>
              <w:rPr>
                <w:rFonts w:eastAsia="Times New Roman" w:cstheme="minorHAnsi"/>
                <w:sz w:val="16"/>
                <w:szCs w:val="16"/>
                <w:lang w:val="en-GB" w:eastAsia="it-IT"/>
              </w:rPr>
            </w:pPr>
          </w:p>
        </w:tc>
      </w:tr>
    </w:tbl>
    <w:p w14:paraId="7F02204F" w14:textId="77777777" w:rsidR="00D97F66" w:rsidRPr="008017F0" w:rsidRDefault="00D97F66" w:rsidP="00D97F66">
      <w:pPr>
        <w:spacing w:after="0" w:line="240" w:lineRule="auto"/>
        <w:rPr>
          <w:rFonts w:ascii="Times New Roman" w:hAnsi="Times New Roman" w:cs="Times New Roman"/>
          <w:lang w:val="en-GB"/>
        </w:rPr>
      </w:pPr>
      <w:r w:rsidRPr="008017F0">
        <w:rPr>
          <w:rFonts w:ascii="Times New Roman" w:hAnsi="Times New Roman" w:cs="Times New Roman"/>
          <w:bCs/>
          <w:i/>
          <w:iCs/>
          <w:sz w:val="20"/>
          <w:szCs w:val="20"/>
          <w:lang w:val="en-GB"/>
        </w:rPr>
        <w:t>Note:</w:t>
      </w:r>
      <w:r w:rsidRPr="008017F0">
        <w:rPr>
          <w:rFonts w:ascii="Times New Roman" w:hAnsi="Times New Roman" w:cs="Times New Roman"/>
          <w:i/>
          <w:iCs/>
          <w:sz w:val="20"/>
          <w:szCs w:val="20"/>
          <w:lang w:val="en-GB"/>
        </w:rPr>
        <w:t xml:space="preserve"> see text about the meaning of the different cell colours. (1) Istat-ASTI, (2) </w:t>
      </w:r>
      <w:proofErr w:type="spellStart"/>
      <w:r w:rsidRPr="008017F0">
        <w:rPr>
          <w:rFonts w:ascii="Times New Roman" w:hAnsi="Times New Roman" w:cs="Times New Roman"/>
          <w:i/>
          <w:iCs/>
          <w:sz w:val="20"/>
          <w:szCs w:val="20"/>
          <w:lang w:val="en-GB"/>
        </w:rPr>
        <w:t>IstatData</w:t>
      </w:r>
      <w:proofErr w:type="spellEnd"/>
      <w:r w:rsidRPr="008017F0">
        <w:rPr>
          <w:rFonts w:ascii="Times New Roman" w:hAnsi="Times New Roman" w:cs="Times New Roman"/>
          <w:i/>
          <w:iCs/>
          <w:sz w:val="20"/>
          <w:szCs w:val="20"/>
          <w:lang w:val="en-GB"/>
        </w:rPr>
        <w:t xml:space="preserve">, (3) Istat – </w:t>
      </w:r>
      <w:proofErr w:type="spellStart"/>
      <w:r w:rsidRPr="008017F0">
        <w:rPr>
          <w:rFonts w:ascii="Times New Roman" w:hAnsi="Times New Roman" w:cs="Times New Roman"/>
          <w:i/>
          <w:iCs/>
          <w:sz w:val="20"/>
          <w:szCs w:val="20"/>
          <w:lang w:val="en-GB"/>
        </w:rPr>
        <w:t>Indicatori</w:t>
      </w:r>
      <w:proofErr w:type="spellEnd"/>
      <w:r w:rsidRPr="008017F0">
        <w:rPr>
          <w:rFonts w:ascii="Times New Roman" w:hAnsi="Times New Roman" w:cs="Times New Roman"/>
          <w:i/>
          <w:iCs/>
          <w:sz w:val="20"/>
          <w:szCs w:val="20"/>
          <w:lang w:val="en-GB"/>
        </w:rPr>
        <w:t xml:space="preserve"> </w:t>
      </w:r>
      <w:proofErr w:type="spellStart"/>
      <w:r w:rsidRPr="008017F0">
        <w:rPr>
          <w:rFonts w:ascii="Times New Roman" w:hAnsi="Times New Roman" w:cs="Times New Roman"/>
          <w:i/>
          <w:iCs/>
          <w:sz w:val="20"/>
          <w:szCs w:val="20"/>
          <w:lang w:val="en-GB"/>
        </w:rPr>
        <w:t>territoriali</w:t>
      </w:r>
      <w:proofErr w:type="spellEnd"/>
      <w:r w:rsidRPr="008017F0">
        <w:rPr>
          <w:rFonts w:ascii="Times New Roman" w:hAnsi="Times New Roman" w:cs="Times New Roman"/>
          <w:i/>
          <w:iCs/>
          <w:sz w:val="20"/>
          <w:szCs w:val="20"/>
          <w:lang w:val="en-GB"/>
        </w:rPr>
        <w:t xml:space="preserve"> delle </w:t>
      </w:r>
      <w:proofErr w:type="spellStart"/>
      <w:r w:rsidRPr="008017F0">
        <w:rPr>
          <w:rFonts w:ascii="Times New Roman" w:hAnsi="Times New Roman" w:cs="Times New Roman"/>
          <w:i/>
          <w:iCs/>
          <w:sz w:val="20"/>
          <w:szCs w:val="20"/>
          <w:lang w:val="en-GB"/>
        </w:rPr>
        <w:t>Politiche</w:t>
      </w:r>
      <w:proofErr w:type="spellEnd"/>
      <w:r w:rsidRPr="008017F0">
        <w:rPr>
          <w:rFonts w:ascii="Times New Roman" w:hAnsi="Times New Roman" w:cs="Times New Roman"/>
          <w:i/>
          <w:iCs/>
          <w:sz w:val="20"/>
          <w:szCs w:val="20"/>
          <w:lang w:val="en-GB"/>
        </w:rPr>
        <w:t xml:space="preserve"> di </w:t>
      </w:r>
      <w:proofErr w:type="spellStart"/>
      <w:r w:rsidRPr="008017F0">
        <w:rPr>
          <w:rFonts w:ascii="Times New Roman" w:hAnsi="Times New Roman" w:cs="Times New Roman"/>
          <w:i/>
          <w:iCs/>
          <w:sz w:val="20"/>
          <w:szCs w:val="20"/>
          <w:lang w:val="en-GB"/>
        </w:rPr>
        <w:t>sviluppo</w:t>
      </w:r>
      <w:proofErr w:type="spellEnd"/>
      <w:r w:rsidRPr="008017F0">
        <w:rPr>
          <w:rFonts w:ascii="Times New Roman" w:hAnsi="Times New Roman" w:cs="Times New Roman"/>
          <w:i/>
          <w:iCs/>
          <w:sz w:val="20"/>
          <w:szCs w:val="20"/>
          <w:lang w:val="en-GB"/>
        </w:rPr>
        <w:t xml:space="preserve"> (4) Istat – Annuario </w:t>
      </w:r>
      <w:proofErr w:type="spellStart"/>
      <w:r w:rsidRPr="008017F0">
        <w:rPr>
          <w:rFonts w:ascii="Times New Roman" w:hAnsi="Times New Roman" w:cs="Times New Roman"/>
          <w:i/>
          <w:iCs/>
          <w:sz w:val="20"/>
          <w:szCs w:val="20"/>
          <w:lang w:val="en-GB"/>
        </w:rPr>
        <w:t>statistico</w:t>
      </w:r>
      <w:proofErr w:type="spellEnd"/>
      <w:r w:rsidRPr="008017F0">
        <w:rPr>
          <w:rFonts w:ascii="Times New Roman" w:hAnsi="Times New Roman" w:cs="Times New Roman"/>
          <w:i/>
          <w:iCs/>
          <w:sz w:val="20"/>
          <w:szCs w:val="20"/>
          <w:lang w:val="en-GB"/>
        </w:rPr>
        <w:t xml:space="preserve"> </w:t>
      </w:r>
      <w:proofErr w:type="spellStart"/>
      <w:r w:rsidRPr="008017F0">
        <w:rPr>
          <w:rFonts w:ascii="Times New Roman" w:hAnsi="Times New Roman" w:cs="Times New Roman"/>
          <w:i/>
          <w:iCs/>
          <w:sz w:val="20"/>
          <w:szCs w:val="20"/>
          <w:lang w:val="en-GB"/>
        </w:rPr>
        <w:t>italiano</w:t>
      </w:r>
      <w:proofErr w:type="spellEnd"/>
    </w:p>
    <w:p w14:paraId="052F3E2B" w14:textId="77777777" w:rsidR="00D97F66" w:rsidRPr="008017F0" w:rsidRDefault="00D97F66" w:rsidP="00F454E9">
      <w:pPr>
        <w:pStyle w:val="RSEG"/>
        <w:rPr>
          <w:iCs/>
        </w:rPr>
        <w:sectPr w:rsidR="00D97F66" w:rsidRPr="008017F0" w:rsidSect="00D97F66">
          <w:pgSz w:w="16838" w:h="11906" w:orient="landscape"/>
          <w:pgMar w:top="1134" w:right="1134" w:bottom="1134" w:left="1418" w:header="709" w:footer="709" w:gutter="0"/>
          <w:cols w:space="708"/>
          <w:docGrid w:linePitch="360"/>
        </w:sectPr>
      </w:pPr>
    </w:p>
    <w:p w14:paraId="2D0554F9" w14:textId="77777777" w:rsidR="00D97F66" w:rsidRPr="008017F0" w:rsidRDefault="00D97F66" w:rsidP="00F454E9">
      <w:pPr>
        <w:pStyle w:val="RSEG"/>
        <w:rPr>
          <w:iCs/>
        </w:rPr>
      </w:pPr>
    </w:p>
    <w:p w14:paraId="466645C7" w14:textId="131523A6" w:rsidR="00F454E9" w:rsidRPr="008017F0" w:rsidRDefault="00FA1116" w:rsidP="00F454E9">
      <w:pPr>
        <w:pStyle w:val="RSEG"/>
      </w:pPr>
      <w:r w:rsidRPr="008017F0">
        <w:rPr>
          <w:iCs/>
        </w:rPr>
        <w:t xml:space="preserve">We validate the selection of the elementary indicators by constructing asset class and aggregate indexes using the methodology of the Istituto </w:t>
      </w:r>
      <w:proofErr w:type="spellStart"/>
      <w:r w:rsidRPr="008017F0">
        <w:rPr>
          <w:iCs/>
        </w:rPr>
        <w:t>Tagliacarne</w:t>
      </w:r>
      <w:proofErr w:type="spellEnd"/>
      <w:r w:rsidRPr="008017F0">
        <w:rPr>
          <w:iCs/>
        </w:rPr>
        <w:t xml:space="preserve"> and comparing the result with the corresponding indexes from the Istituto </w:t>
      </w:r>
      <w:proofErr w:type="spellStart"/>
      <w:r w:rsidRPr="008017F0">
        <w:rPr>
          <w:iCs/>
        </w:rPr>
        <w:t>Tagliacarne</w:t>
      </w:r>
      <w:proofErr w:type="spellEnd"/>
      <w:r w:rsidRPr="008017F0">
        <w:rPr>
          <w:iCs/>
        </w:rPr>
        <w:t xml:space="preserve"> for the available years. </w:t>
      </w:r>
      <w:r w:rsidR="00F454E9" w:rsidRPr="008017F0">
        <w:rPr>
          <w:iCs/>
        </w:rPr>
        <w:t xml:space="preserve">In particular, </w:t>
      </w:r>
      <w:r w:rsidR="00F454E9" w:rsidRPr="008017F0">
        <w:t xml:space="preserve">we apply a standard procedure for constructing composite indicators of public infrastructural endowment (see, e.g., Mazziotta, 2006) to the 30 regional elementary indicators over 1987-2019, removing the methodological novelties introduced in the construction of the new index. </w:t>
      </w:r>
    </w:p>
    <w:p w14:paraId="5C8FB351" w14:textId="77777777" w:rsidR="00F454E9" w:rsidRPr="008017F0" w:rsidRDefault="00F454E9" w:rsidP="00F454E9">
      <w:pPr>
        <w:pStyle w:val="RSEG"/>
      </w:pPr>
      <w:r w:rsidRPr="008017F0">
        <w:rPr>
          <w:shd w:val="clear" w:color="auto" w:fill="FFFFFF"/>
        </w:rPr>
        <w:t>Generally, the elementary indicators are normalized by land area for "network" or space serving infrastructure and by population for "punctual" indicators or population serving infrastructure. To this purpose the Economic elementary categories of Transport, Energy and Water infrastructure have been related to regional area and the Social elementary categories of Education, Cultural, Social, Health and Waste infrastructure to regional population.</w:t>
      </w:r>
    </w:p>
    <w:p w14:paraId="0FDF03F8" w14:textId="77777777" w:rsidR="00F454E9" w:rsidRPr="008017F0" w:rsidRDefault="00F454E9" w:rsidP="00F454E9">
      <w:pPr>
        <w:pStyle w:val="RSEG"/>
      </w:pPr>
      <w:r w:rsidRPr="008017F0">
        <w:rPr>
          <w:shd w:val="clear" w:color="auto" w:fill="FFFFFF"/>
        </w:rPr>
        <w:t>The normalized indicators are not yet comparable, as they are expressed in different units of measurement (km of roads per square km of land area, or number of doctors per inhabitant). One common method for this purpose is to relate, within the same infrastructural category, the yearly normalized indices of each territorial unit to the national value of the series, thus obtaining the immediate comparability between the indicators considered.</w:t>
      </w:r>
    </w:p>
    <w:p w14:paraId="79A7F6E4" w14:textId="77777777" w:rsidR="00F454E9" w:rsidRPr="008017F0" w:rsidRDefault="00F454E9" w:rsidP="00F454E9">
      <w:pPr>
        <w:pStyle w:val="RSEG"/>
      </w:pPr>
      <w:r w:rsidRPr="008017F0">
        <w:rPr>
          <w:rFonts w:eastAsia="Times New Roman"/>
          <w:lang w:eastAsia="it-IT"/>
        </w:rPr>
        <w:t>Finally, to aggregate elementary standardized indicators in intermediate and main asset classes, an averaging procedure is used. Usually, the arithmetic mean is adopted to aggregate elementary indicators within a category (hypothesis of greater fungibility) and the geometric mean to combine different main categories (hypothesis of smaller substitutability).</w:t>
      </w:r>
      <w:r w:rsidRPr="008017F0">
        <w:t xml:space="preserve"> </w:t>
      </w:r>
    </w:p>
    <w:p w14:paraId="3BB772B4" w14:textId="3CF4D882" w:rsidR="00F454E9" w:rsidRPr="008017F0" w:rsidRDefault="00F454E9" w:rsidP="00F454E9">
      <w:pPr>
        <w:pStyle w:val="RSEG"/>
      </w:pPr>
      <w:r w:rsidRPr="008017F0">
        <w:t>Table A</w:t>
      </w:r>
      <w:r w:rsidR="008F4BDB" w:rsidRPr="008017F0">
        <w:t>7</w:t>
      </w:r>
      <w:r w:rsidRPr="008017F0">
        <w:t xml:space="preserve"> reports the Pearson correlation indexes between the physical indicators of infrastructure obtained in this manner for some intermediate categories (Energy, i.e., Electricity, Gas Petrol; Education; Health; Social), as well as for Core, Noncore and Total assets, and the corresponding indicators from Istituto </w:t>
      </w:r>
      <w:proofErr w:type="spellStart"/>
      <w:r w:rsidRPr="008017F0">
        <w:t>Tagliacarne</w:t>
      </w:r>
      <w:proofErr w:type="spellEnd"/>
      <w:r w:rsidRPr="008017F0">
        <w:t xml:space="preserve"> (various years). We do not consider the Istat series as a benchmark because this source does not provide aggregate or intermediate indexes but only elementary indicators. The generally high correlation between the indicators from the two series indicates the appropriateness of the 30 elementary indicators chosen to measure public capital in physical terms.</w:t>
      </w:r>
    </w:p>
    <w:p w14:paraId="192D6AAA" w14:textId="77777777" w:rsidR="008017F0" w:rsidRPr="008017F0" w:rsidRDefault="008017F0">
      <w:pPr>
        <w:spacing w:after="160" w:line="259" w:lineRule="auto"/>
        <w:rPr>
          <w:rFonts w:ascii="Times New Roman" w:hAnsi="Times New Roman" w:cs="Times New Roman"/>
          <w:sz w:val="24"/>
          <w:szCs w:val="24"/>
          <w:lang w:val="en-GB"/>
        </w:rPr>
      </w:pPr>
      <w:r w:rsidRPr="008017F0">
        <w:rPr>
          <w:rFonts w:ascii="Times New Roman" w:hAnsi="Times New Roman" w:cs="Times New Roman"/>
          <w:sz w:val="24"/>
          <w:szCs w:val="24"/>
          <w:lang w:val="en-GB"/>
        </w:rPr>
        <w:br w:type="page"/>
      </w:r>
    </w:p>
    <w:p w14:paraId="146E6B57" w14:textId="42A6EF0C" w:rsidR="00866699" w:rsidRPr="008017F0" w:rsidRDefault="00866699" w:rsidP="00866699">
      <w:pPr>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Table A</w:t>
      </w:r>
      <w:r w:rsidR="008F4BDB" w:rsidRPr="008017F0">
        <w:rPr>
          <w:rFonts w:ascii="Times New Roman" w:hAnsi="Times New Roman" w:cs="Times New Roman"/>
          <w:lang w:val="en-GB"/>
        </w:rPr>
        <w:t>7</w:t>
      </w:r>
      <w:r w:rsidRPr="008017F0">
        <w:rPr>
          <w:rFonts w:ascii="Times New Roman" w:hAnsi="Times New Roman" w:cs="Times New Roman"/>
          <w:lang w:val="en-GB"/>
        </w:rPr>
        <w:t xml:space="preserve"> Correlation between the new physical indicators of infrastructure and corresponding indicators from Istituto </w:t>
      </w:r>
      <w:proofErr w:type="spellStart"/>
      <w:r w:rsidRPr="008017F0">
        <w:rPr>
          <w:rFonts w:ascii="Times New Roman" w:hAnsi="Times New Roman" w:cs="Times New Roman"/>
          <w:lang w:val="en-GB"/>
        </w:rPr>
        <w:t>Tagliacarne</w:t>
      </w:r>
      <w:proofErr w:type="spellEnd"/>
      <w:r w:rsidRPr="008017F0">
        <w:rPr>
          <w:rFonts w:ascii="Times New Roman" w:hAnsi="Times New Roman" w:cs="Times New Roman"/>
          <w:lang w:val="en-GB"/>
        </w:rPr>
        <w:t xml:space="preserve"> (years 1991, 1995-1996, 1997-2000, 2001-2004, 2005-2007, 2009, 2011, 2012)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3"/>
        <w:gridCol w:w="1031"/>
        <w:gridCol w:w="1031"/>
        <w:gridCol w:w="1032"/>
        <w:gridCol w:w="1031"/>
        <w:gridCol w:w="1031"/>
        <w:gridCol w:w="1032"/>
        <w:gridCol w:w="1031"/>
        <w:gridCol w:w="1032"/>
      </w:tblGrid>
      <w:tr w:rsidR="00866699" w:rsidRPr="008017F0" w14:paraId="19B4C3E3" w14:textId="77777777" w:rsidTr="008C3712">
        <w:tc>
          <w:tcPr>
            <w:tcW w:w="1383" w:type="dxa"/>
            <w:tcBorders>
              <w:top w:val="nil"/>
              <w:left w:val="nil"/>
            </w:tcBorders>
            <w:vAlign w:val="center"/>
          </w:tcPr>
          <w:p w14:paraId="6B18A79E"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p>
        </w:tc>
        <w:tc>
          <w:tcPr>
            <w:tcW w:w="1031" w:type="dxa"/>
            <w:noWrap/>
            <w:vAlign w:val="center"/>
            <w:hideMark/>
          </w:tcPr>
          <w:p w14:paraId="2BE34F63"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1991</w:t>
            </w:r>
          </w:p>
        </w:tc>
        <w:tc>
          <w:tcPr>
            <w:tcW w:w="1031" w:type="dxa"/>
            <w:noWrap/>
            <w:vAlign w:val="center"/>
            <w:hideMark/>
          </w:tcPr>
          <w:p w14:paraId="4A694D86"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1995-1996</w:t>
            </w:r>
          </w:p>
        </w:tc>
        <w:tc>
          <w:tcPr>
            <w:tcW w:w="1032" w:type="dxa"/>
            <w:noWrap/>
            <w:vAlign w:val="center"/>
            <w:hideMark/>
          </w:tcPr>
          <w:p w14:paraId="44CFEF3D"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1997-2000</w:t>
            </w:r>
          </w:p>
        </w:tc>
        <w:tc>
          <w:tcPr>
            <w:tcW w:w="1031" w:type="dxa"/>
            <w:noWrap/>
            <w:vAlign w:val="center"/>
            <w:hideMark/>
          </w:tcPr>
          <w:p w14:paraId="7819BDAA"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2001-2004</w:t>
            </w:r>
          </w:p>
        </w:tc>
        <w:tc>
          <w:tcPr>
            <w:tcW w:w="1031" w:type="dxa"/>
            <w:noWrap/>
            <w:vAlign w:val="center"/>
            <w:hideMark/>
          </w:tcPr>
          <w:p w14:paraId="0E8E200B"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2005-2007</w:t>
            </w:r>
          </w:p>
        </w:tc>
        <w:tc>
          <w:tcPr>
            <w:tcW w:w="1032" w:type="dxa"/>
            <w:noWrap/>
            <w:vAlign w:val="center"/>
            <w:hideMark/>
          </w:tcPr>
          <w:p w14:paraId="7D6FEE14"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2009</w:t>
            </w:r>
          </w:p>
        </w:tc>
        <w:tc>
          <w:tcPr>
            <w:tcW w:w="1031" w:type="dxa"/>
            <w:noWrap/>
            <w:vAlign w:val="center"/>
            <w:hideMark/>
          </w:tcPr>
          <w:p w14:paraId="4A0D7C49"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2011</w:t>
            </w:r>
          </w:p>
        </w:tc>
        <w:tc>
          <w:tcPr>
            <w:tcW w:w="1032" w:type="dxa"/>
            <w:noWrap/>
            <w:vAlign w:val="center"/>
            <w:hideMark/>
          </w:tcPr>
          <w:p w14:paraId="0265E2A7"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eastAsia="Times New Roman" w:cstheme="minorHAnsi"/>
                <w:b/>
                <w:bCs/>
                <w:sz w:val="20"/>
                <w:szCs w:val="20"/>
                <w:lang w:val="en-GB" w:eastAsia="it-IT"/>
              </w:rPr>
              <w:t>2012</w:t>
            </w:r>
          </w:p>
        </w:tc>
      </w:tr>
      <w:tr w:rsidR="00866699" w:rsidRPr="008017F0" w14:paraId="4F964244" w14:textId="77777777" w:rsidTr="008C3712">
        <w:tc>
          <w:tcPr>
            <w:tcW w:w="1383" w:type="dxa"/>
            <w:vAlign w:val="center"/>
          </w:tcPr>
          <w:p w14:paraId="46CB9D2E"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Energy</w:t>
            </w:r>
          </w:p>
        </w:tc>
        <w:tc>
          <w:tcPr>
            <w:tcW w:w="1031" w:type="dxa"/>
            <w:noWrap/>
            <w:vAlign w:val="center"/>
          </w:tcPr>
          <w:p w14:paraId="0C59C3A8"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p>
        </w:tc>
        <w:tc>
          <w:tcPr>
            <w:tcW w:w="1031" w:type="dxa"/>
            <w:noWrap/>
            <w:vAlign w:val="center"/>
          </w:tcPr>
          <w:p w14:paraId="6AB3C49E"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p>
        </w:tc>
        <w:tc>
          <w:tcPr>
            <w:tcW w:w="1032" w:type="dxa"/>
            <w:noWrap/>
            <w:vAlign w:val="bottom"/>
          </w:tcPr>
          <w:p w14:paraId="0D8AD145"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0.82</w:t>
            </w:r>
          </w:p>
        </w:tc>
        <w:tc>
          <w:tcPr>
            <w:tcW w:w="1031" w:type="dxa"/>
            <w:noWrap/>
            <w:vAlign w:val="bottom"/>
          </w:tcPr>
          <w:p w14:paraId="218AFED0"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0.82</w:t>
            </w:r>
          </w:p>
        </w:tc>
        <w:tc>
          <w:tcPr>
            <w:tcW w:w="1031" w:type="dxa"/>
            <w:noWrap/>
            <w:vAlign w:val="bottom"/>
          </w:tcPr>
          <w:p w14:paraId="6C5E349F"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1.00</w:t>
            </w:r>
          </w:p>
        </w:tc>
        <w:tc>
          <w:tcPr>
            <w:tcW w:w="1032" w:type="dxa"/>
            <w:noWrap/>
            <w:vAlign w:val="bottom"/>
          </w:tcPr>
          <w:p w14:paraId="7515A767"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0.75</w:t>
            </w:r>
          </w:p>
        </w:tc>
        <w:tc>
          <w:tcPr>
            <w:tcW w:w="1031" w:type="dxa"/>
            <w:noWrap/>
            <w:vAlign w:val="bottom"/>
          </w:tcPr>
          <w:p w14:paraId="5AC40D22"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0.76</w:t>
            </w:r>
          </w:p>
        </w:tc>
        <w:tc>
          <w:tcPr>
            <w:tcW w:w="1032" w:type="dxa"/>
            <w:noWrap/>
            <w:vAlign w:val="bottom"/>
          </w:tcPr>
          <w:p w14:paraId="2E38AECA"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0.76</w:t>
            </w:r>
          </w:p>
        </w:tc>
      </w:tr>
      <w:tr w:rsidR="00866699" w:rsidRPr="008017F0" w14:paraId="6016E979" w14:textId="77777777" w:rsidTr="008C3712">
        <w:tc>
          <w:tcPr>
            <w:tcW w:w="1383" w:type="dxa"/>
            <w:vAlign w:val="center"/>
          </w:tcPr>
          <w:p w14:paraId="5278FE19"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Education</w:t>
            </w:r>
          </w:p>
        </w:tc>
        <w:tc>
          <w:tcPr>
            <w:tcW w:w="1031" w:type="dxa"/>
            <w:noWrap/>
            <w:vAlign w:val="bottom"/>
          </w:tcPr>
          <w:p w14:paraId="06B8E54B"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0.78</w:t>
            </w:r>
          </w:p>
        </w:tc>
        <w:tc>
          <w:tcPr>
            <w:tcW w:w="1031" w:type="dxa"/>
            <w:noWrap/>
            <w:vAlign w:val="bottom"/>
          </w:tcPr>
          <w:p w14:paraId="7E412A69"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p>
        </w:tc>
        <w:tc>
          <w:tcPr>
            <w:tcW w:w="1032" w:type="dxa"/>
            <w:noWrap/>
            <w:vAlign w:val="bottom"/>
          </w:tcPr>
          <w:p w14:paraId="2504F8E1"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0.84</w:t>
            </w:r>
          </w:p>
        </w:tc>
        <w:tc>
          <w:tcPr>
            <w:tcW w:w="1031" w:type="dxa"/>
            <w:noWrap/>
            <w:vAlign w:val="bottom"/>
          </w:tcPr>
          <w:p w14:paraId="4ACC9798"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0.84</w:t>
            </w:r>
          </w:p>
        </w:tc>
        <w:tc>
          <w:tcPr>
            <w:tcW w:w="1031" w:type="dxa"/>
            <w:noWrap/>
            <w:vAlign w:val="bottom"/>
          </w:tcPr>
          <w:p w14:paraId="25E0837A"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0.99</w:t>
            </w:r>
          </w:p>
        </w:tc>
        <w:tc>
          <w:tcPr>
            <w:tcW w:w="1032" w:type="dxa"/>
            <w:noWrap/>
            <w:vAlign w:val="bottom"/>
          </w:tcPr>
          <w:p w14:paraId="3120B052"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0.86</w:t>
            </w:r>
          </w:p>
        </w:tc>
        <w:tc>
          <w:tcPr>
            <w:tcW w:w="1031" w:type="dxa"/>
            <w:noWrap/>
            <w:vAlign w:val="bottom"/>
          </w:tcPr>
          <w:p w14:paraId="4E18FAD4"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0.84</w:t>
            </w:r>
          </w:p>
        </w:tc>
        <w:tc>
          <w:tcPr>
            <w:tcW w:w="1032" w:type="dxa"/>
            <w:noWrap/>
            <w:vAlign w:val="bottom"/>
          </w:tcPr>
          <w:p w14:paraId="2F5B63F8"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0.87</w:t>
            </w:r>
          </w:p>
        </w:tc>
      </w:tr>
      <w:tr w:rsidR="00866699" w:rsidRPr="008017F0" w14:paraId="3F6D116F" w14:textId="77777777" w:rsidTr="008C3712">
        <w:tc>
          <w:tcPr>
            <w:tcW w:w="1383" w:type="dxa"/>
            <w:vAlign w:val="center"/>
          </w:tcPr>
          <w:p w14:paraId="6A07B2A0"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Health</w:t>
            </w:r>
          </w:p>
        </w:tc>
        <w:tc>
          <w:tcPr>
            <w:tcW w:w="1031" w:type="dxa"/>
            <w:noWrap/>
            <w:vAlign w:val="bottom"/>
          </w:tcPr>
          <w:p w14:paraId="445CA500"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0.88</w:t>
            </w:r>
          </w:p>
        </w:tc>
        <w:tc>
          <w:tcPr>
            <w:tcW w:w="1031" w:type="dxa"/>
            <w:noWrap/>
            <w:vAlign w:val="bottom"/>
          </w:tcPr>
          <w:p w14:paraId="3132DB06"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 </w:t>
            </w:r>
          </w:p>
        </w:tc>
        <w:tc>
          <w:tcPr>
            <w:tcW w:w="1032" w:type="dxa"/>
            <w:noWrap/>
            <w:vAlign w:val="bottom"/>
          </w:tcPr>
          <w:p w14:paraId="07094FD9"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0.88</w:t>
            </w:r>
          </w:p>
        </w:tc>
        <w:tc>
          <w:tcPr>
            <w:tcW w:w="1031" w:type="dxa"/>
            <w:noWrap/>
            <w:vAlign w:val="bottom"/>
          </w:tcPr>
          <w:p w14:paraId="0B48E312"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0.89</w:t>
            </w:r>
          </w:p>
        </w:tc>
        <w:tc>
          <w:tcPr>
            <w:tcW w:w="1031" w:type="dxa"/>
            <w:noWrap/>
            <w:vAlign w:val="bottom"/>
          </w:tcPr>
          <w:p w14:paraId="063BD59A"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1.00</w:t>
            </w:r>
          </w:p>
        </w:tc>
        <w:tc>
          <w:tcPr>
            <w:tcW w:w="1032" w:type="dxa"/>
            <w:noWrap/>
            <w:vAlign w:val="bottom"/>
          </w:tcPr>
          <w:p w14:paraId="407E20EE"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0.92</w:t>
            </w:r>
          </w:p>
        </w:tc>
        <w:tc>
          <w:tcPr>
            <w:tcW w:w="1031" w:type="dxa"/>
            <w:noWrap/>
            <w:vAlign w:val="bottom"/>
          </w:tcPr>
          <w:p w14:paraId="41C215D7"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0.92</w:t>
            </w:r>
          </w:p>
        </w:tc>
        <w:tc>
          <w:tcPr>
            <w:tcW w:w="1032" w:type="dxa"/>
            <w:noWrap/>
            <w:vAlign w:val="bottom"/>
          </w:tcPr>
          <w:p w14:paraId="4DCCA89B"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0.92</w:t>
            </w:r>
          </w:p>
        </w:tc>
      </w:tr>
      <w:tr w:rsidR="00866699" w:rsidRPr="008017F0" w14:paraId="6CFD308B" w14:textId="77777777" w:rsidTr="008C3712">
        <w:tc>
          <w:tcPr>
            <w:tcW w:w="1383" w:type="dxa"/>
            <w:vAlign w:val="center"/>
          </w:tcPr>
          <w:p w14:paraId="5642A1F8"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Social</w:t>
            </w:r>
          </w:p>
        </w:tc>
        <w:tc>
          <w:tcPr>
            <w:tcW w:w="1031" w:type="dxa"/>
            <w:noWrap/>
            <w:vAlign w:val="bottom"/>
          </w:tcPr>
          <w:p w14:paraId="554C8E58"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r w:rsidRPr="008017F0">
              <w:rPr>
                <w:rFonts w:ascii="Calibri" w:hAnsi="Calibri" w:cs="Calibri"/>
                <w:sz w:val="20"/>
                <w:szCs w:val="20"/>
                <w:lang w:val="en-GB"/>
              </w:rPr>
              <w:t>0.48</w:t>
            </w:r>
          </w:p>
        </w:tc>
        <w:tc>
          <w:tcPr>
            <w:tcW w:w="1031" w:type="dxa"/>
            <w:noWrap/>
            <w:vAlign w:val="bottom"/>
          </w:tcPr>
          <w:p w14:paraId="74FDAB58" w14:textId="77777777" w:rsidR="00866699" w:rsidRPr="008017F0" w:rsidRDefault="00866699" w:rsidP="008C3712">
            <w:pPr>
              <w:spacing w:after="0" w:line="240" w:lineRule="auto"/>
              <w:contextualSpacing/>
              <w:jc w:val="center"/>
              <w:rPr>
                <w:rFonts w:eastAsia="Times New Roman" w:cstheme="minorHAnsi"/>
                <w:b/>
                <w:bCs/>
                <w:sz w:val="20"/>
                <w:szCs w:val="20"/>
                <w:lang w:val="en-GB" w:eastAsia="it-IT"/>
              </w:rPr>
            </w:pPr>
          </w:p>
        </w:tc>
        <w:tc>
          <w:tcPr>
            <w:tcW w:w="1032" w:type="dxa"/>
            <w:noWrap/>
            <w:vAlign w:val="bottom"/>
          </w:tcPr>
          <w:p w14:paraId="42A345F4"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0.57</w:t>
            </w:r>
          </w:p>
        </w:tc>
        <w:tc>
          <w:tcPr>
            <w:tcW w:w="1031" w:type="dxa"/>
            <w:noWrap/>
            <w:vAlign w:val="bottom"/>
          </w:tcPr>
          <w:p w14:paraId="0CBF8C91"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0.60</w:t>
            </w:r>
          </w:p>
        </w:tc>
        <w:tc>
          <w:tcPr>
            <w:tcW w:w="1031" w:type="dxa"/>
            <w:noWrap/>
            <w:vAlign w:val="bottom"/>
          </w:tcPr>
          <w:p w14:paraId="2B8051DF"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1.00</w:t>
            </w:r>
          </w:p>
        </w:tc>
        <w:tc>
          <w:tcPr>
            <w:tcW w:w="1032" w:type="dxa"/>
            <w:noWrap/>
            <w:vAlign w:val="bottom"/>
          </w:tcPr>
          <w:p w14:paraId="74D19E84"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0.56</w:t>
            </w:r>
          </w:p>
        </w:tc>
        <w:tc>
          <w:tcPr>
            <w:tcW w:w="1031" w:type="dxa"/>
            <w:noWrap/>
            <w:vAlign w:val="bottom"/>
          </w:tcPr>
          <w:p w14:paraId="28BB2B3C"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0.60</w:t>
            </w:r>
          </w:p>
        </w:tc>
        <w:tc>
          <w:tcPr>
            <w:tcW w:w="1032" w:type="dxa"/>
            <w:noWrap/>
            <w:vAlign w:val="bottom"/>
          </w:tcPr>
          <w:p w14:paraId="2F766B40" w14:textId="77777777" w:rsidR="00866699" w:rsidRPr="008017F0" w:rsidRDefault="00866699" w:rsidP="008C3712">
            <w:pPr>
              <w:spacing w:after="0" w:line="240" w:lineRule="auto"/>
              <w:contextualSpacing/>
              <w:jc w:val="center"/>
              <w:rPr>
                <w:rFonts w:cstheme="minorHAnsi"/>
                <w:sz w:val="20"/>
                <w:szCs w:val="20"/>
                <w:lang w:val="en-GB"/>
              </w:rPr>
            </w:pPr>
            <w:r w:rsidRPr="008017F0">
              <w:rPr>
                <w:rFonts w:ascii="Calibri" w:hAnsi="Calibri" w:cs="Calibri"/>
                <w:sz w:val="20"/>
                <w:szCs w:val="20"/>
                <w:lang w:val="en-GB"/>
              </w:rPr>
              <w:t>0.59</w:t>
            </w:r>
          </w:p>
        </w:tc>
      </w:tr>
      <w:tr w:rsidR="00866699" w:rsidRPr="008017F0" w14:paraId="23227F7C" w14:textId="77777777" w:rsidTr="008C3712">
        <w:tc>
          <w:tcPr>
            <w:tcW w:w="1383" w:type="dxa"/>
            <w:vAlign w:val="center"/>
          </w:tcPr>
          <w:p w14:paraId="483C2A79"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 xml:space="preserve">Core </w:t>
            </w:r>
          </w:p>
        </w:tc>
        <w:tc>
          <w:tcPr>
            <w:tcW w:w="1031" w:type="dxa"/>
            <w:noWrap/>
            <w:vAlign w:val="center"/>
          </w:tcPr>
          <w:p w14:paraId="4736460A"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p>
        </w:tc>
        <w:tc>
          <w:tcPr>
            <w:tcW w:w="1031" w:type="dxa"/>
            <w:noWrap/>
            <w:vAlign w:val="center"/>
          </w:tcPr>
          <w:p w14:paraId="0829BE8F"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p>
        </w:tc>
        <w:tc>
          <w:tcPr>
            <w:tcW w:w="1032" w:type="dxa"/>
            <w:noWrap/>
            <w:vAlign w:val="center"/>
          </w:tcPr>
          <w:p w14:paraId="44802E05"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p>
        </w:tc>
        <w:tc>
          <w:tcPr>
            <w:tcW w:w="1031" w:type="dxa"/>
            <w:noWrap/>
            <w:vAlign w:val="center"/>
          </w:tcPr>
          <w:p w14:paraId="047246E5"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0.90</w:t>
            </w:r>
          </w:p>
        </w:tc>
        <w:tc>
          <w:tcPr>
            <w:tcW w:w="1031" w:type="dxa"/>
            <w:noWrap/>
            <w:vAlign w:val="center"/>
          </w:tcPr>
          <w:p w14:paraId="2F1660D6"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0.99</w:t>
            </w:r>
          </w:p>
        </w:tc>
        <w:tc>
          <w:tcPr>
            <w:tcW w:w="1032" w:type="dxa"/>
            <w:noWrap/>
            <w:vAlign w:val="center"/>
          </w:tcPr>
          <w:p w14:paraId="088DBA94"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0.86</w:t>
            </w:r>
          </w:p>
        </w:tc>
        <w:tc>
          <w:tcPr>
            <w:tcW w:w="1031" w:type="dxa"/>
            <w:noWrap/>
            <w:vAlign w:val="center"/>
          </w:tcPr>
          <w:p w14:paraId="403B6228"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0.89</w:t>
            </w:r>
          </w:p>
        </w:tc>
        <w:tc>
          <w:tcPr>
            <w:tcW w:w="1032" w:type="dxa"/>
            <w:noWrap/>
            <w:vAlign w:val="center"/>
          </w:tcPr>
          <w:p w14:paraId="413180AF"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0.86</w:t>
            </w:r>
          </w:p>
        </w:tc>
      </w:tr>
      <w:tr w:rsidR="00866699" w:rsidRPr="008017F0" w14:paraId="6F7950C1" w14:textId="77777777" w:rsidTr="008C3712">
        <w:tc>
          <w:tcPr>
            <w:tcW w:w="1383" w:type="dxa"/>
            <w:vAlign w:val="center"/>
          </w:tcPr>
          <w:p w14:paraId="7D817D94"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 xml:space="preserve">Noncore </w:t>
            </w:r>
          </w:p>
        </w:tc>
        <w:tc>
          <w:tcPr>
            <w:tcW w:w="1031" w:type="dxa"/>
            <w:noWrap/>
            <w:vAlign w:val="center"/>
          </w:tcPr>
          <w:p w14:paraId="6BBB862F"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p>
        </w:tc>
        <w:tc>
          <w:tcPr>
            <w:tcW w:w="1031" w:type="dxa"/>
            <w:noWrap/>
            <w:vAlign w:val="center"/>
          </w:tcPr>
          <w:p w14:paraId="141796D0"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p>
        </w:tc>
        <w:tc>
          <w:tcPr>
            <w:tcW w:w="1032" w:type="dxa"/>
            <w:noWrap/>
            <w:vAlign w:val="center"/>
          </w:tcPr>
          <w:p w14:paraId="68016607"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p>
        </w:tc>
        <w:tc>
          <w:tcPr>
            <w:tcW w:w="1031" w:type="dxa"/>
            <w:noWrap/>
            <w:vAlign w:val="bottom"/>
          </w:tcPr>
          <w:p w14:paraId="18B40ACA"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0.86</w:t>
            </w:r>
          </w:p>
        </w:tc>
        <w:tc>
          <w:tcPr>
            <w:tcW w:w="1031" w:type="dxa"/>
            <w:noWrap/>
            <w:vAlign w:val="bottom"/>
          </w:tcPr>
          <w:p w14:paraId="4E0E9E9B"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1.00</w:t>
            </w:r>
          </w:p>
        </w:tc>
        <w:tc>
          <w:tcPr>
            <w:tcW w:w="1032" w:type="dxa"/>
            <w:noWrap/>
            <w:vAlign w:val="bottom"/>
          </w:tcPr>
          <w:p w14:paraId="21E77521"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0.86</w:t>
            </w:r>
          </w:p>
        </w:tc>
        <w:tc>
          <w:tcPr>
            <w:tcW w:w="1031" w:type="dxa"/>
            <w:noWrap/>
            <w:vAlign w:val="bottom"/>
          </w:tcPr>
          <w:p w14:paraId="47853E24"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0.84</w:t>
            </w:r>
          </w:p>
        </w:tc>
        <w:tc>
          <w:tcPr>
            <w:tcW w:w="1032" w:type="dxa"/>
            <w:noWrap/>
            <w:vAlign w:val="bottom"/>
          </w:tcPr>
          <w:p w14:paraId="5DADCC09"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0.86</w:t>
            </w:r>
          </w:p>
        </w:tc>
      </w:tr>
      <w:tr w:rsidR="00866699" w:rsidRPr="008017F0" w14:paraId="0CB257B7" w14:textId="77777777" w:rsidTr="008C3712">
        <w:tc>
          <w:tcPr>
            <w:tcW w:w="1383" w:type="dxa"/>
            <w:vAlign w:val="center"/>
          </w:tcPr>
          <w:p w14:paraId="1C1BF400" w14:textId="77777777" w:rsidR="00866699" w:rsidRPr="008017F0" w:rsidRDefault="00866699" w:rsidP="008C3712">
            <w:pPr>
              <w:spacing w:after="0" w:line="240" w:lineRule="auto"/>
              <w:contextualSpacing/>
              <w:rPr>
                <w:rFonts w:eastAsia="Times New Roman" w:cstheme="minorHAnsi"/>
                <w:b/>
                <w:bCs/>
                <w:sz w:val="20"/>
                <w:szCs w:val="20"/>
                <w:lang w:val="en-GB" w:eastAsia="it-IT"/>
              </w:rPr>
            </w:pPr>
            <w:r w:rsidRPr="008017F0">
              <w:rPr>
                <w:rFonts w:eastAsia="Times New Roman" w:cstheme="minorHAnsi"/>
                <w:b/>
                <w:bCs/>
                <w:sz w:val="20"/>
                <w:szCs w:val="20"/>
                <w:lang w:val="en-GB" w:eastAsia="it-IT"/>
              </w:rPr>
              <w:t>Total</w:t>
            </w:r>
          </w:p>
        </w:tc>
        <w:tc>
          <w:tcPr>
            <w:tcW w:w="1031" w:type="dxa"/>
            <w:noWrap/>
            <w:vAlign w:val="bottom"/>
          </w:tcPr>
          <w:p w14:paraId="776C6F73"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0.88</w:t>
            </w:r>
          </w:p>
        </w:tc>
        <w:tc>
          <w:tcPr>
            <w:tcW w:w="1031" w:type="dxa"/>
            <w:noWrap/>
            <w:vAlign w:val="bottom"/>
          </w:tcPr>
          <w:p w14:paraId="15FC8B9C"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0.78</w:t>
            </w:r>
          </w:p>
        </w:tc>
        <w:tc>
          <w:tcPr>
            <w:tcW w:w="1032" w:type="dxa"/>
            <w:noWrap/>
            <w:vAlign w:val="bottom"/>
          </w:tcPr>
          <w:p w14:paraId="1484AAD4"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0.90</w:t>
            </w:r>
          </w:p>
        </w:tc>
        <w:tc>
          <w:tcPr>
            <w:tcW w:w="1031" w:type="dxa"/>
            <w:noWrap/>
            <w:vAlign w:val="bottom"/>
          </w:tcPr>
          <w:p w14:paraId="409A419C"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0.87</w:t>
            </w:r>
          </w:p>
        </w:tc>
        <w:tc>
          <w:tcPr>
            <w:tcW w:w="1031" w:type="dxa"/>
            <w:noWrap/>
            <w:vAlign w:val="bottom"/>
          </w:tcPr>
          <w:p w14:paraId="78D3D928"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0.87</w:t>
            </w:r>
          </w:p>
        </w:tc>
        <w:tc>
          <w:tcPr>
            <w:tcW w:w="1032" w:type="dxa"/>
            <w:noWrap/>
            <w:vAlign w:val="bottom"/>
          </w:tcPr>
          <w:p w14:paraId="723ECB6A"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0.88</w:t>
            </w:r>
          </w:p>
        </w:tc>
        <w:tc>
          <w:tcPr>
            <w:tcW w:w="1031" w:type="dxa"/>
            <w:noWrap/>
            <w:vAlign w:val="bottom"/>
          </w:tcPr>
          <w:p w14:paraId="6E0E9352"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0.90</w:t>
            </w:r>
          </w:p>
        </w:tc>
        <w:tc>
          <w:tcPr>
            <w:tcW w:w="1032" w:type="dxa"/>
            <w:noWrap/>
            <w:vAlign w:val="bottom"/>
          </w:tcPr>
          <w:p w14:paraId="4036ADB2" w14:textId="77777777" w:rsidR="00866699" w:rsidRPr="008017F0" w:rsidRDefault="00866699" w:rsidP="008C3712">
            <w:pPr>
              <w:spacing w:after="0" w:line="240" w:lineRule="auto"/>
              <w:contextualSpacing/>
              <w:jc w:val="center"/>
              <w:rPr>
                <w:rFonts w:eastAsia="Times New Roman" w:cstheme="minorHAnsi"/>
                <w:sz w:val="20"/>
                <w:szCs w:val="20"/>
                <w:lang w:val="en-GB" w:eastAsia="it-IT"/>
              </w:rPr>
            </w:pPr>
            <w:r w:rsidRPr="008017F0">
              <w:rPr>
                <w:rFonts w:ascii="Calibri" w:hAnsi="Calibri" w:cs="Calibri"/>
                <w:sz w:val="20"/>
                <w:szCs w:val="20"/>
                <w:lang w:val="en-GB"/>
              </w:rPr>
              <w:t>0.90</w:t>
            </w:r>
          </w:p>
        </w:tc>
      </w:tr>
    </w:tbl>
    <w:p w14:paraId="30DBB6FC" w14:textId="77777777" w:rsidR="00866699" w:rsidRPr="008017F0" w:rsidRDefault="00866699" w:rsidP="00866699">
      <w:pPr>
        <w:spacing w:after="0" w:line="240" w:lineRule="auto"/>
        <w:jc w:val="both"/>
        <w:rPr>
          <w:rFonts w:ascii="Times New Roman" w:hAnsi="Times New Roman" w:cs="Times New Roman"/>
          <w:lang w:val="en-GB"/>
        </w:rPr>
      </w:pPr>
    </w:p>
    <w:p w14:paraId="75DB08C3" w14:textId="76672F17" w:rsidR="00FA1116" w:rsidRPr="008017F0" w:rsidRDefault="00FA1116" w:rsidP="00FA1116">
      <w:pPr>
        <w:spacing w:after="0" w:line="360" w:lineRule="auto"/>
        <w:jc w:val="both"/>
        <w:rPr>
          <w:rFonts w:ascii="Times New Roman" w:hAnsi="Times New Roman" w:cs="Times New Roman"/>
          <w:iCs/>
          <w:sz w:val="24"/>
          <w:szCs w:val="24"/>
          <w:lang w:val="en-GB"/>
        </w:rPr>
      </w:pPr>
      <w:r w:rsidRPr="008017F0">
        <w:rPr>
          <w:rFonts w:ascii="Times New Roman" w:hAnsi="Times New Roman" w:cs="Times New Roman"/>
          <w:iCs/>
          <w:sz w:val="24"/>
          <w:szCs w:val="24"/>
          <w:lang w:val="en-GB"/>
        </w:rPr>
        <w:t>As the outcome of this validating procedure supports our choice of elementary indicators, we proceed, by aggregating them in thirteen intermediate categories and seven main asset classes. More precisely, we consider:</w:t>
      </w:r>
    </w:p>
    <w:p w14:paraId="6EEC0E62" w14:textId="77777777" w:rsidR="00FA1116" w:rsidRPr="008017F0" w:rsidRDefault="00FA1116" w:rsidP="00FA1116">
      <w:pPr>
        <w:pStyle w:val="Paragrafoelenco"/>
        <w:numPr>
          <w:ilvl w:val="0"/>
          <w:numId w:val="3"/>
        </w:numPr>
        <w:spacing w:after="0" w:line="360" w:lineRule="auto"/>
        <w:jc w:val="both"/>
        <w:rPr>
          <w:rFonts w:ascii="Times New Roman" w:hAnsi="Times New Roman" w:cs="Times New Roman"/>
          <w:iCs/>
          <w:sz w:val="24"/>
          <w:szCs w:val="24"/>
          <w:lang w:val="en-GB"/>
        </w:rPr>
      </w:pPr>
      <w:r w:rsidRPr="008017F0">
        <w:rPr>
          <w:rFonts w:ascii="Times New Roman" w:hAnsi="Times New Roman" w:cs="Times New Roman"/>
          <w:iCs/>
          <w:sz w:val="24"/>
          <w:szCs w:val="24"/>
          <w:lang w:val="en-GB"/>
        </w:rPr>
        <w:t>18 elementary indicators for economic (Core) infrastructure, to be grouped in 8 intermediate categories and in 4 main asset classes (Roads (including Roads and Airports), Rails (including Rails and Ports), Water disposal, Others (Electricity, Gas, Petrol)).</w:t>
      </w:r>
    </w:p>
    <w:p w14:paraId="70F0B504" w14:textId="77777777" w:rsidR="00FA1116" w:rsidRPr="008017F0" w:rsidRDefault="00FA1116" w:rsidP="00FA1116">
      <w:pPr>
        <w:pStyle w:val="Paragrafoelenco"/>
        <w:numPr>
          <w:ilvl w:val="0"/>
          <w:numId w:val="3"/>
        </w:numPr>
        <w:spacing w:after="0" w:line="360" w:lineRule="auto"/>
        <w:jc w:val="both"/>
        <w:rPr>
          <w:rFonts w:ascii="Times New Roman" w:hAnsi="Times New Roman" w:cs="Times New Roman"/>
          <w:iCs/>
          <w:sz w:val="24"/>
          <w:szCs w:val="24"/>
          <w:lang w:val="en-GB"/>
        </w:rPr>
      </w:pPr>
      <w:r w:rsidRPr="008017F0">
        <w:rPr>
          <w:rFonts w:ascii="Times New Roman" w:hAnsi="Times New Roman" w:cs="Times New Roman"/>
          <w:iCs/>
          <w:sz w:val="24"/>
          <w:szCs w:val="24"/>
          <w:lang w:val="en-GB"/>
        </w:rPr>
        <w:t>12 elementary indicators for social (Noncore) infrastructure to be grouped in 5 intermediate categories and in 3 main asset classes (Buildings (including Education, Cultural and Social infrastructure), Health, Others (Waste)).</w:t>
      </w:r>
    </w:p>
    <w:p w14:paraId="5D5D5E8D" w14:textId="123AD565" w:rsidR="00FA1116" w:rsidRPr="008017F0" w:rsidRDefault="00FA1116" w:rsidP="00FA1116">
      <w:pPr>
        <w:spacing w:after="0" w:line="360" w:lineRule="auto"/>
        <w:jc w:val="both"/>
        <w:rPr>
          <w:rFonts w:ascii="Times New Roman" w:hAnsi="Times New Roman" w:cs="Times New Roman"/>
          <w:iCs/>
          <w:sz w:val="24"/>
          <w:szCs w:val="24"/>
          <w:lang w:val="en-GB"/>
        </w:rPr>
      </w:pPr>
      <w:r w:rsidRPr="008017F0">
        <w:rPr>
          <w:rFonts w:ascii="Times New Roman" w:hAnsi="Times New Roman" w:cs="Times New Roman"/>
          <w:iCs/>
          <w:sz w:val="24"/>
          <w:szCs w:val="24"/>
          <w:lang w:val="en-GB"/>
        </w:rPr>
        <w:t xml:space="preserve">The main class Roads includes the intermediate assets Roads and Airports, and the main class Rails include the intermediate assets Rails and Ports, to achieve comparability with the monetary capital stocks considered in </w:t>
      </w:r>
      <w:r w:rsidR="00B3430D" w:rsidRPr="008017F0">
        <w:rPr>
          <w:lang w:val="en-GB"/>
        </w:rPr>
        <w:t xml:space="preserve">§ </w:t>
      </w:r>
      <w:r w:rsidR="00F454E9" w:rsidRPr="008017F0">
        <w:rPr>
          <w:rFonts w:ascii="Times New Roman" w:hAnsi="Times New Roman" w:cs="Times New Roman"/>
          <w:iCs/>
          <w:sz w:val="24"/>
          <w:szCs w:val="24"/>
          <w:lang w:val="en-GB"/>
        </w:rPr>
        <w:t>3.</w:t>
      </w:r>
      <w:r w:rsidR="008F4BDB" w:rsidRPr="008017F0">
        <w:rPr>
          <w:rFonts w:ascii="Times New Roman" w:hAnsi="Times New Roman" w:cs="Times New Roman"/>
          <w:iCs/>
          <w:sz w:val="24"/>
          <w:szCs w:val="24"/>
          <w:lang w:val="en-GB"/>
        </w:rPr>
        <w:t>1</w:t>
      </w:r>
      <w:r w:rsidRPr="008017F0">
        <w:rPr>
          <w:rFonts w:ascii="Times New Roman" w:hAnsi="Times New Roman" w:cs="Times New Roman"/>
          <w:iCs/>
          <w:sz w:val="24"/>
          <w:szCs w:val="24"/>
          <w:lang w:val="en-GB"/>
        </w:rPr>
        <w:t xml:space="preserve">. </w:t>
      </w:r>
    </w:p>
    <w:p w14:paraId="2E2FA13A" w14:textId="56804744" w:rsidR="00F454E9" w:rsidRPr="008017F0" w:rsidRDefault="00F454E9" w:rsidP="00F454E9">
      <w:pPr>
        <w:spacing w:after="0" w:line="360" w:lineRule="auto"/>
        <w:jc w:val="both"/>
        <w:rPr>
          <w:rFonts w:ascii="Times New Roman" w:hAnsi="Times New Roman" w:cs="Times New Roman"/>
          <w:iCs/>
          <w:sz w:val="24"/>
          <w:szCs w:val="24"/>
          <w:lang w:val="en-GB"/>
        </w:rPr>
      </w:pPr>
      <w:r w:rsidRPr="008017F0">
        <w:rPr>
          <w:rFonts w:ascii="Times New Roman" w:hAnsi="Times New Roman" w:cs="Times New Roman"/>
          <w:iCs/>
          <w:sz w:val="24"/>
          <w:szCs w:val="24"/>
          <w:lang w:val="en-GB"/>
        </w:rPr>
        <w:t xml:space="preserve">The main asset class of </w:t>
      </w:r>
      <w:r w:rsidR="00102A36" w:rsidRPr="008017F0">
        <w:rPr>
          <w:rFonts w:ascii="Times New Roman" w:hAnsi="Times New Roman" w:cs="Times New Roman"/>
          <w:iCs/>
          <w:sz w:val="24"/>
          <w:szCs w:val="24"/>
          <w:lang w:val="en-GB"/>
        </w:rPr>
        <w:t xml:space="preserve">telecommunications </w:t>
      </w:r>
      <w:r w:rsidRPr="008017F0">
        <w:rPr>
          <w:rFonts w:ascii="Times New Roman" w:hAnsi="Times New Roman" w:cs="Times New Roman"/>
          <w:iCs/>
          <w:sz w:val="24"/>
          <w:szCs w:val="24"/>
          <w:lang w:val="en-GB"/>
        </w:rPr>
        <w:t>was not considered because of the difficulties in tracking the evolution of the sector during period 1987-2019. Biehl (1991) used such elementary categories as Telephone, Telex, Fax network. Yet, they cannot currently represent the current endowment of communication coverage increasingly related to the internet networking system.</w:t>
      </w:r>
    </w:p>
    <w:bookmarkEnd w:id="0"/>
    <w:p w14:paraId="30A2A097" w14:textId="01F8BE84" w:rsidR="009C792C" w:rsidRPr="008017F0" w:rsidRDefault="009C792C" w:rsidP="009C792C">
      <w:pPr>
        <w:pStyle w:val="RSEGTITOLO2"/>
      </w:pPr>
      <w:r w:rsidRPr="008017F0">
        <w:t>Evidence from the new physical infrastructure indicator</w:t>
      </w:r>
    </w:p>
    <w:p w14:paraId="69F77CF2" w14:textId="3C788CDE" w:rsidR="009C792C" w:rsidRPr="008017F0" w:rsidRDefault="009C792C" w:rsidP="009C792C">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Table A</w:t>
      </w:r>
      <w:r w:rsidR="008F4BDB" w:rsidRPr="008017F0">
        <w:rPr>
          <w:rFonts w:ascii="Times New Roman" w:hAnsi="Times New Roman" w:cs="Times New Roman"/>
          <w:sz w:val="24"/>
          <w:szCs w:val="24"/>
          <w:lang w:val="en-GB"/>
        </w:rPr>
        <w:t>8</w:t>
      </w:r>
      <w:r w:rsidRPr="008017F0">
        <w:rPr>
          <w:rFonts w:ascii="Times New Roman" w:hAnsi="Times New Roman" w:cs="Times New Roman"/>
          <w:sz w:val="24"/>
          <w:szCs w:val="24"/>
          <w:lang w:val="en-GB"/>
        </w:rPr>
        <w:t xml:space="preserve"> and Map A</w:t>
      </w:r>
      <w:r w:rsidR="008F4BDB" w:rsidRPr="008017F0">
        <w:rPr>
          <w:rFonts w:ascii="Times New Roman" w:hAnsi="Times New Roman" w:cs="Times New Roman"/>
          <w:sz w:val="24"/>
          <w:szCs w:val="24"/>
          <w:lang w:val="en-GB"/>
        </w:rPr>
        <w:t>2</w:t>
      </w:r>
      <w:r w:rsidRPr="008017F0">
        <w:rPr>
          <w:rFonts w:ascii="Times New Roman" w:hAnsi="Times New Roman" w:cs="Times New Roman"/>
          <w:sz w:val="24"/>
          <w:szCs w:val="24"/>
          <w:lang w:val="en-GB"/>
        </w:rPr>
        <w:t xml:space="preserve"> show the relative ranking of the new regional infrastructure indicators for 1989 and 2019, revealing some changes in this ranking by asset in the period under consideration. In fact, although the synthetic indexes report limited discrepancies in the regional ranking at the beginning and at the end of the period, more differences emerged in the regional ranking by asset. For core infrastructure, most of Northern and Central regions improve their performance in Roads and Rails endowment, while Southern regions increased in relative terms their Water infrastructure. Recall that the main asset index </w:t>
      </w:r>
      <w:proofErr w:type="spellStart"/>
      <w:r w:rsidRPr="008017F0">
        <w:rPr>
          <w:rFonts w:ascii="Times New Roman" w:hAnsi="Times New Roman" w:cs="Times New Roman"/>
          <w:sz w:val="24"/>
          <w:szCs w:val="24"/>
          <w:lang w:val="en-GB"/>
        </w:rPr>
        <w:t>f_Rails</w:t>
      </w:r>
      <w:proofErr w:type="spellEnd"/>
      <w:r w:rsidRPr="008017F0">
        <w:rPr>
          <w:rFonts w:ascii="Times New Roman" w:hAnsi="Times New Roman" w:cs="Times New Roman"/>
          <w:sz w:val="24"/>
          <w:szCs w:val="24"/>
          <w:lang w:val="en-GB"/>
        </w:rPr>
        <w:t xml:space="preserve"> is aggregating intermediate assets Rails and Ports. Hence, coastal regions such as Liguria and Sicilia may report a particularly high value for this index, while landlocked regions such as </w:t>
      </w:r>
      <w:proofErr w:type="spellStart"/>
      <w:r w:rsidRPr="008017F0">
        <w:rPr>
          <w:rFonts w:ascii="Times New Roman" w:hAnsi="Times New Roman" w:cs="Times New Roman"/>
          <w:sz w:val="24"/>
          <w:szCs w:val="24"/>
          <w:lang w:val="en-GB"/>
        </w:rPr>
        <w:t>Lombardia</w:t>
      </w:r>
      <w:proofErr w:type="spellEnd"/>
      <w:r w:rsidRPr="008017F0">
        <w:rPr>
          <w:rFonts w:ascii="Times New Roman" w:hAnsi="Times New Roman" w:cs="Times New Roman"/>
          <w:sz w:val="24"/>
          <w:szCs w:val="24"/>
          <w:lang w:val="en-GB"/>
        </w:rPr>
        <w:t xml:space="preserve">, may have an unexpectedly low value. On the other hand, there have been relevant changes of the ranking for the Health infrastructure with more performing regions (such as </w:t>
      </w:r>
      <w:r w:rsidRPr="008017F0">
        <w:rPr>
          <w:rFonts w:ascii="Times New Roman" w:hAnsi="Times New Roman" w:cs="Times New Roman"/>
          <w:sz w:val="24"/>
          <w:szCs w:val="24"/>
          <w:lang w:val="en-GB"/>
        </w:rPr>
        <w:lastRenderedPageBreak/>
        <w:t>Campania and Sicilia) and regions losing many positions (such as Veneto). Finally, for most regions the adoption of unweighted indexes does not entail any significant variations in regional rankings and their modifications. Campania and Emilia-Romagna provide an exception for this rule in the case of Noncore assets.</w:t>
      </w:r>
    </w:p>
    <w:p w14:paraId="568143AD" w14:textId="058B0416" w:rsidR="009C792C" w:rsidRPr="008017F0" w:rsidRDefault="009C792C" w:rsidP="009C792C">
      <w:pPr>
        <w:spacing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These physical indexes of infrastructure are used in </w:t>
      </w:r>
      <w:r w:rsidR="00B3430D" w:rsidRPr="008017F0">
        <w:rPr>
          <w:rFonts w:ascii="Times New Roman" w:hAnsi="Times New Roman" w:cs="Times New Roman"/>
          <w:sz w:val="24"/>
          <w:szCs w:val="24"/>
          <w:lang w:val="en-GB"/>
        </w:rPr>
        <w:t>§ 3.3</w:t>
      </w:r>
      <w:r w:rsidRPr="008017F0">
        <w:rPr>
          <w:rFonts w:ascii="Times New Roman" w:hAnsi="Times New Roman" w:cs="Times New Roman"/>
          <w:sz w:val="24"/>
          <w:szCs w:val="24"/>
          <w:lang w:val="en-GB"/>
        </w:rPr>
        <w:t xml:space="preserve"> </w:t>
      </w:r>
      <w:r w:rsidR="008017F0" w:rsidRPr="008017F0">
        <w:rPr>
          <w:rFonts w:ascii="Times New Roman" w:hAnsi="Times New Roman" w:cs="Times New Roman"/>
          <w:sz w:val="24"/>
          <w:szCs w:val="24"/>
          <w:lang w:val="en-GB"/>
        </w:rPr>
        <w:t xml:space="preserve">(main text) </w:t>
      </w:r>
      <w:r w:rsidRPr="008017F0">
        <w:rPr>
          <w:rFonts w:ascii="Times New Roman" w:hAnsi="Times New Roman" w:cs="Times New Roman"/>
          <w:sz w:val="24"/>
          <w:szCs w:val="24"/>
          <w:lang w:val="en-GB"/>
        </w:rPr>
        <w:t xml:space="preserve">to compute measures of public spending productivity both aggregated and by asset class. </w:t>
      </w:r>
    </w:p>
    <w:p w14:paraId="72190DA3" w14:textId="77777777" w:rsidR="008017F0" w:rsidRPr="008017F0" w:rsidRDefault="008017F0" w:rsidP="008017F0">
      <w:pPr>
        <w:spacing w:after="0" w:line="240" w:lineRule="auto"/>
        <w:rPr>
          <w:rFonts w:ascii="Times New Roman" w:hAnsi="Times New Roman" w:cs="Times New Roman"/>
          <w:lang w:val="en-GB"/>
        </w:rPr>
      </w:pPr>
      <w:r w:rsidRPr="008017F0">
        <w:rPr>
          <w:rFonts w:ascii="Times New Roman" w:hAnsi="Times New Roman" w:cs="Times New Roman"/>
          <w:lang w:val="en-GB"/>
        </w:rPr>
        <w:t>Table A8. The new regional infrastructure index. Regional rankings (1989, 2019)</w:t>
      </w:r>
    </w:p>
    <w:tbl>
      <w:tblPr>
        <w:tblW w:w="3099" w:type="pct"/>
        <w:tblCellMar>
          <w:left w:w="70" w:type="dxa"/>
          <w:right w:w="70" w:type="dxa"/>
        </w:tblCellMar>
        <w:tblLook w:val="04A0" w:firstRow="1" w:lastRow="0" w:firstColumn="1" w:lastColumn="0" w:noHBand="0" w:noVBand="1"/>
      </w:tblPr>
      <w:tblGrid>
        <w:gridCol w:w="474"/>
        <w:gridCol w:w="465"/>
        <w:gridCol w:w="465"/>
        <w:gridCol w:w="465"/>
        <w:gridCol w:w="465"/>
        <w:gridCol w:w="465"/>
        <w:gridCol w:w="465"/>
        <w:gridCol w:w="465"/>
        <w:gridCol w:w="465"/>
        <w:gridCol w:w="465"/>
        <w:gridCol w:w="465"/>
        <w:gridCol w:w="465"/>
        <w:gridCol w:w="465"/>
        <w:gridCol w:w="465"/>
        <w:gridCol w:w="465"/>
        <w:gridCol w:w="465"/>
        <w:gridCol w:w="465"/>
        <w:gridCol w:w="465"/>
        <w:gridCol w:w="465"/>
      </w:tblGrid>
      <w:tr w:rsidR="008017F0" w:rsidRPr="008017F0" w14:paraId="4A81D07D" w14:textId="77777777" w:rsidTr="0027454A">
        <w:trPr>
          <w:trHeight w:val="20"/>
        </w:trPr>
        <w:tc>
          <w:tcPr>
            <w:tcW w:w="268" w:type="pct"/>
            <w:tcBorders>
              <w:top w:val="nil"/>
              <w:left w:val="nil"/>
              <w:bottom w:val="nil"/>
              <w:right w:val="nil"/>
            </w:tcBorders>
            <w:noWrap/>
            <w:vAlign w:val="center"/>
            <w:hideMark/>
          </w:tcPr>
          <w:p w14:paraId="462D2811" w14:textId="77777777" w:rsidR="008017F0" w:rsidRPr="008017F0" w:rsidRDefault="008017F0" w:rsidP="0027454A">
            <w:pPr>
              <w:spacing w:after="0" w:line="240" w:lineRule="auto"/>
              <w:jc w:val="center"/>
              <w:rPr>
                <w:rFonts w:ascii="Times New Roman" w:eastAsia="Times New Roman" w:hAnsi="Times New Roman" w:cs="Times New Roman"/>
                <w:b/>
                <w:bCs/>
                <w:sz w:val="16"/>
                <w:szCs w:val="16"/>
                <w:lang w:val="en-GB" w:eastAsia="it-IT"/>
              </w:rPr>
            </w:pPr>
          </w:p>
        </w:tc>
        <w:tc>
          <w:tcPr>
            <w:tcW w:w="525" w:type="pct"/>
            <w:gridSpan w:val="2"/>
            <w:tcBorders>
              <w:top w:val="single" w:sz="4" w:space="0" w:color="auto"/>
              <w:left w:val="single" w:sz="4" w:space="0" w:color="auto"/>
              <w:bottom w:val="single" w:sz="4" w:space="0" w:color="auto"/>
              <w:right w:val="single" w:sz="4" w:space="0" w:color="auto"/>
            </w:tcBorders>
            <w:noWrap/>
            <w:vAlign w:val="center"/>
            <w:hideMark/>
          </w:tcPr>
          <w:p w14:paraId="4D66E5C6"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Total</w:t>
            </w:r>
          </w:p>
        </w:tc>
        <w:tc>
          <w:tcPr>
            <w:tcW w:w="525" w:type="pct"/>
            <w:gridSpan w:val="2"/>
            <w:tcBorders>
              <w:top w:val="single" w:sz="4" w:space="0" w:color="auto"/>
              <w:left w:val="nil"/>
              <w:bottom w:val="single" w:sz="4" w:space="0" w:color="auto"/>
              <w:right w:val="single" w:sz="4" w:space="0" w:color="auto"/>
            </w:tcBorders>
            <w:noWrap/>
            <w:vAlign w:val="center"/>
            <w:hideMark/>
          </w:tcPr>
          <w:p w14:paraId="7F89AF59"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Core</w:t>
            </w:r>
          </w:p>
        </w:tc>
        <w:tc>
          <w:tcPr>
            <w:tcW w:w="525" w:type="pct"/>
            <w:gridSpan w:val="2"/>
            <w:tcBorders>
              <w:top w:val="single" w:sz="4" w:space="0" w:color="auto"/>
              <w:left w:val="nil"/>
              <w:bottom w:val="single" w:sz="4" w:space="0" w:color="auto"/>
              <w:right w:val="single" w:sz="4" w:space="0" w:color="auto"/>
            </w:tcBorders>
            <w:noWrap/>
            <w:vAlign w:val="center"/>
            <w:hideMark/>
          </w:tcPr>
          <w:p w14:paraId="6018E20A"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Noncore</w:t>
            </w:r>
          </w:p>
        </w:tc>
        <w:tc>
          <w:tcPr>
            <w:tcW w:w="525" w:type="pct"/>
            <w:gridSpan w:val="2"/>
            <w:tcBorders>
              <w:top w:val="single" w:sz="4" w:space="0" w:color="auto"/>
              <w:left w:val="nil"/>
              <w:bottom w:val="single" w:sz="4" w:space="0" w:color="auto"/>
              <w:right w:val="single" w:sz="4" w:space="0" w:color="auto"/>
            </w:tcBorders>
            <w:noWrap/>
            <w:vAlign w:val="center"/>
            <w:hideMark/>
          </w:tcPr>
          <w:p w14:paraId="35A48B73"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Roads</w:t>
            </w:r>
          </w:p>
        </w:tc>
        <w:tc>
          <w:tcPr>
            <w:tcW w:w="525" w:type="pct"/>
            <w:gridSpan w:val="2"/>
            <w:tcBorders>
              <w:top w:val="single" w:sz="4" w:space="0" w:color="auto"/>
              <w:left w:val="nil"/>
              <w:bottom w:val="single" w:sz="4" w:space="0" w:color="auto"/>
              <w:right w:val="single" w:sz="4" w:space="0" w:color="auto"/>
            </w:tcBorders>
            <w:noWrap/>
            <w:vAlign w:val="center"/>
            <w:hideMark/>
          </w:tcPr>
          <w:p w14:paraId="04869140"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Rails</w:t>
            </w:r>
          </w:p>
        </w:tc>
        <w:tc>
          <w:tcPr>
            <w:tcW w:w="526" w:type="pct"/>
            <w:gridSpan w:val="2"/>
            <w:tcBorders>
              <w:top w:val="single" w:sz="4" w:space="0" w:color="auto"/>
              <w:left w:val="nil"/>
              <w:bottom w:val="single" w:sz="4" w:space="0" w:color="auto"/>
              <w:right w:val="single" w:sz="4" w:space="0" w:color="auto"/>
            </w:tcBorders>
            <w:noWrap/>
            <w:vAlign w:val="center"/>
            <w:hideMark/>
          </w:tcPr>
          <w:p w14:paraId="397EE8E4"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Buildings</w:t>
            </w:r>
          </w:p>
        </w:tc>
        <w:tc>
          <w:tcPr>
            <w:tcW w:w="526" w:type="pct"/>
            <w:gridSpan w:val="2"/>
            <w:tcBorders>
              <w:top w:val="single" w:sz="4" w:space="0" w:color="auto"/>
              <w:left w:val="nil"/>
              <w:bottom w:val="single" w:sz="4" w:space="0" w:color="auto"/>
              <w:right w:val="single" w:sz="4" w:space="0" w:color="auto"/>
            </w:tcBorders>
            <w:noWrap/>
            <w:vAlign w:val="center"/>
            <w:hideMark/>
          </w:tcPr>
          <w:p w14:paraId="54B945D9"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Health</w:t>
            </w:r>
          </w:p>
        </w:tc>
        <w:tc>
          <w:tcPr>
            <w:tcW w:w="526" w:type="pct"/>
            <w:gridSpan w:val="2"/>
            <w:tcBorders>
              <w:top w:val="single" w:sz="4" w:space="0" w:color="auto"/>
              <w:left w:val="nil"/>
              <w:bottom w:val="single" w:sz="4" w:space="0" w:color="auto"/>
              <w:right w:val="single" w:sz="4" w:space="0" w:color="auto"/>
            </w:tcBorders>
            <w:noWrap/>
            <w:vAlign w:val="center"/>
            <w:hideMark/>
          </w:tcPr>
          <w:p w14:paraId="62B9798F"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Water</w:t>
            </w:r>
          </w:p>
        </w:tc>
        <w:tc>
          <w:tcPr>
            <w:tcW w:w="526" w:type="pct"/>
            <w:gridSpan w:val="2"/>
            <w:tcBorders>
              <w:top w:val="single" w:sz="4" w:space="0" w:color="auto"/>
              <w:left w:val="nil"/>
              <w:bottom w:val="single" w:sz="4" w:space="0" w:color="auto"/>
              <w:right w:val="single" w:sz="4" w:space="0" w:color="auto"/>
            </w:tcBorders>
            <w:noWrap/>
            <w:vAlign w:val="center"/>
            <w:hideMark/>
          </w:tcPr>
          <w:p w14:paraId="00795A17"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Others</w:t>
            </w:r>
          </w:p>
        </w:tc>
      </w:tr>
      <w:tr w:rsidR="008017F0" w:rsidRPr="008017F0" w14:paraId="37DB454D" w14:textId="77777777" w:rsidTr="0027454A">
        <w:trPr>
          <w:trHeight w:val="20"/>
        </w:trPr>
        <w:tc>
          <w:tcPr>
            <w:tcW w:w="268" w:type="pct"/>
            <w:tcBorders>
              <w:top w:val="nil"/>
              <w:left w:val="nil"/>
              <w:bottom w:val="nil"/>
              <w:right w:val="nil"/>
            </w:tcBorders>
            <w:noWrap/>
            <w:vAlign w:val="center"/>
            <w:hideMark/>
          </w:tcPr>
          <w:p w14:paraId="712824B9"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p>
        </w:tc>
        <w:tc>
          <w:tcPr>
            <w:tcW w:w="263" w:type="pct"/>
            <w:tcBorders>
              <w:top w:val="nil"/>
              <w:left w:val="single" w:sz="4" w:space="0" w:color="auto"/>
              <w:bottom w:val="single" w:sz="4" w:space="0" w:color="auto"/>
              <w:right w:val="single" w:sz="4" w:space="0" w:color="auto"/>
            </w:tcBorders>
            <w:noWrap/>
            <w:vAlign w:val="center"/>
            <w:hideMark/>
          </w:tcPr>
          <w:p w14:paraId="2C15C64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5A64F31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6DCF0DB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3B4D836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27B6547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18D246F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55F982B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6018928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29BA1C0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63D25AB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17EDEE7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1DE27E5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15147B3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4DC695C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566D267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3468C8D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c>
          <w:tcPr>
            <w:tcW w:w="263" w:type="pct"/>
            <w:tcBorders>
              <w:top w:val="nil"/>
              <w:left w:val="nil"/>
              <w:bottom w:val="single" w:sz="4" w:space="0" w:color="auto"/>
              <w:right w:val="single" w:sz="4" w:space="0" w:color="auto"/>
            </w:tcBorders>
            <w:noWrap/>
            <w:vAlign w:val="center"/>
            <w:hideMark/>
          </w:tcPr>
          <w:p w14:paraId="32EEC43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1989</w:t>
            </w:r>
          </w:p>
        </w:tc>
        <w:tc>
          <w:tcPr>
            <w:tcW w:w="263" w:type="pct"/>
            <w:tcBorders>
              <w:top w:val="nil"/>
              <w:left w:val="nil"/>
              <w:bottom w:val="single" w:sz="4" w:space="0" w:color="auto"/>
              <w:right w:val="single" w:sz="4" w:space="0" w:color="auto"/>
            </w:tcBorders>
            <w:noWrap/>
            <w:vAlign w:val="center"/>
            <w:hideMark/>
          </w:tcPr>
          <w:p w14:paraId="0CEB3EF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2019</w:t>
            </w:r>
          </w:p>
        </w:tc>
      </w:tr>
      <w:tr w:rsidR="008017F0" w:rsidRPr="008017F0" w14:paraId="13340A4F" w14:textId="77777777" w:rsidTr="0027454A">
        <w:trPr>
          <w:trHeight w:val="20"/>
        </w:trPr>
        <w:tc>
          <w:tcPr>
            <w:tcW w:w="268" w:type="pct"/>
            <w:tcBorders>
              <w:top w:val="single" w:sz="4" w:space="0" w:color="auto"/>
              <w:left w:val="single" w:sz="4" w:space="0" w:color="auto"/>
              <w:bottom w:val="single" w:sz="4" w:space="0" w:color="auto"/>
              <w:right w:val="single" w:sz="4" w:space="0" w:color="auto"/>
            </w:tcBorders>
            <w:noWrap/>
            <w:vAlign w:val="center"/>
            <w:hideMark/>
          </w:tcPr>
          <w:p w14:paraId="71FE5DF5"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PIE</w:t>
            </w:r>
          </w:p>
        </w:tc>
        <w:tc>
          <w:tcPr>
            <w:tcW w:w="263" w:type="pct"/>
            <w:tcBorders>
              <w:top w:val="nil"/>
              <w:left w:val="nil"/>
              <w:bottom w:val="single" w:sz="4" w:space="0" w:color="auto"/>
              <w:right w:val="single" w:sz="4" w:space="0" w:color="auto"/>
            </w:tcBorders>
            <w:noWrap/>
            <w:vAlign w:val="center"/>
            <w:hideMark/>
          </w:tcPr>
          <w:p w14:paraId="466768A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0827AB9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74EF55B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1CB72ED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3A8D736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5F9038B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3ADB99B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15A5034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767AC58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5EF8C1F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0836904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3049C25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18B0850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46ED259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12C7812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0AB2553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767CD51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2E0865B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r>
      <w:tr w:rsidR="008017F0" w:rsidRPr="008017F0" w14:paraId="172C79DB"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4E7C3BD6"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VDA</w:t>
            </w:r>
          </w:p>
        </w:tc>
        <w:tc>
          <w:tcPr>
            <w:tcW w:w="263" w:type="pct"/>
            <w:tcBorders>
              <w:top w:val="nil"/>
              <w:left w:val="nil"/>
              <w:bottom w:val="single" w:sz="4" w:space="0" w:color="auto"/>
              <w:right w:val="single" w:sz="4" w:space="0" w:color="auto"/>
            </w:tcBorders>
            <w:noWrap/>
            <w:vAlign w:val="center"/>
            <w:hideMark/>
          </w:tcPr>
          <w:p w14:paraId="0F1050F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7FFFE85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1781BAD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66EA4EA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45D765F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737032C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325A2D3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4885F7D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5681D0E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4D388AB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0D2F0D1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6115E71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204E94D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01B0431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620A741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4613782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73F682E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5308E45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r>
      <w:tr w:rsidR="008017F0" w:rsidRPr="008017F0" w14:paraId="018C19C1"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204B8C65"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LIG</w:t>
            </w:r>
          </w:p>
        </w:tc>
        <w:tc>
          <w:tcPr>
            <w:tcW w:w="263" w:type="pct"/>
            <w:tcBorders>
              <w:top w:val="nil"/>
              <w:left w:val="nil"/>
              <w:bottom w:val="single" w:sz="4" w:space="0" w:color="auto"/>
              <w:right w:val="single" w:sz="4" w:space="0" w:color="auto"/>
            </w:tcBorders>
            <w:noWrap/>
            <w:vAlign w:val="center"/>
            <w:hideMark/>
          </w:tcPr>
          <w:p w14:paraId="0D55BD4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2D4A5A2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1871677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519AAC7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35D6936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03E228F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164A754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4183088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5AEBF38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28EB120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5D1FA46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21F2178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5F7D33F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613E6A3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327E56C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33D458C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745F8D0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10B16C1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r>
      <w:tr w:rsidR="008017F0" w:rsidRPr="008017F0" w14:paraId="65962029"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76C4B676"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LOM</w:t>
            </w:r>
          </w:p>
        </w:tc>
        <w:tc>
          <w:tcPr>
            <w:tcW w:w="263" w:type="pct"/>
            <w:tcBorders>
              <w:top w:val="nil"/>
              <w:left w:val="nil"/>
              <w:bottom w:val="single" w:sz="4" w:space="0" w:color="auto"/>
              <w:right w:val="single" w:sz="4" w:space="0" w:color="auto"/>
            </w:tcBorders>
            <w:noWrap/>
            <w:vAlign w:val="center"/>
            <w:hideMark/>
          </w:tcPr>
          <w:p w14:paraId="7398B34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4423352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15BB5BE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4FC1B05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5496EA5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3CAA268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66944DE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627E4AD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220B3BA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23FD66E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4B61FDA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094C663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52FA9D4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736FACD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1E459E7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6FDD6BF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1C848F3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2476332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r>
      <w:tr w:rsidR="008017F0" w:rsidRPr="008017F0" w14:paraId="75423964"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4B5CA46E"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TAA</w:t>
            </w:r>
          </w:p>
        </w:tc>
        <w:tc>
          <w:tcPr>
            <w:tcW w:w="263" w:type="pct"/>
            <w:tcBorders>
              <w:top w:val="nil"/>
              <w:left w:val="nil"/>
              <w:bottom w:val="single" w:sz="4" w:space="0" w:color="auto"/>
              <w:right w:val="single" w:sz="4" w:space="0" w:color="auto"/>
            </w:tcBorders>
            <w:noWrap/>
            <w:vAlign w:val="center"/>
            <w:hideMark/>
          </w:tcPr>
          <w:p w14:paraId="3C1CDA2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39E96A2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4A9B04A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380F7A3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44D0D5F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1AAC545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602C8CF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2829714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58EC2A9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772B466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52391CA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740C61A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1A0BCFC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522E423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53AFBBD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17C5B18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16381EA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01FD80C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r>
      <w:tr w:rsidR="008017F0" w:rsidRPr="008017F0" w14:paraId="55D33334"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08A0AF24"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VEN</w:t>
            </w:r>
          </w:p>
        </w:tc>
        <w:tc>
          <w:tcPr>
            <w:tcW w:w="263" w:type="pct"/>
            <w:tcBorders>
              <w:top w:val="nil"/>
              <w:left w:val="nil"/>
              <w:bottom w:val="single" w:sz="4" w:space="0" w:color="auto"/>
              <w:right w:val="single" w:sz="4" w:space="0" w:color="auto"/>
            </w:tcBorders>
            <w:noWrap/>
            <w:vAlign w:val="center"/>
            <w:hideMark/>
          </w:tcPr>
          <w:p w14:paraId="176B9B3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162E947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1401E93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285C392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750A192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1F7515D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69D4877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195CD0D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18C3C8C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29FB496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283AA6B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6D1B89B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547ED7E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212E334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0471192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01DE030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3D25BBB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6B9F357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r>
      <w:tr w:rsidR="008017F0" w:rsidRPr="008017F0" w14:paraId="4F56A4B6"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22604069"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FVG</w:t>
            </w:r>
          </w:p>
        </w:tc>
        <w:tc>
          <w:tcPr>
            <w:tcW w:w="263" w:type="pct"/>
            <w:tcBorders>
              <w:top w:val="nil"/>
              <w:left w:val="nil"/>
              <w:bottom w:val="single" w:sz="4" w:space="0" w:color="auto"/>
              <w:right w:val="single" w:sz="4" w:space="0" w:color="auto"/>
            </w:tcBorders>
            <w:noWrap/>
            <w:vAlign w:val="center"/>
            <w:hideMark/>
          </w:tcPr>
          <w:p w14:paraId="6193D2E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7F0F1B8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019FA63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64B8713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12DBE74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1945739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1870B3B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36AC168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02E8193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1D1C68B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65E8FEA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367D5D6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0274F60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5C0E906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35C6ABE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21BE217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161612C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67DAC8C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r>
      <w:tr w:rsidR="008017F0" w:rsidRPr="008017F0" w14:paraId="4DD203C5"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49F9A917"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EMR</w:t>
            </w:r>
          </w:p>
        </w:tc>
        <w:tc>
          <w:tcPr>
            <w:tcW w:w="263" w:type="pct"/>
            <w:tcBorders>
              <w:top w:val="nil"/>
              <w:left w:val="nil"/>
              <w:bottom w:val="single" w:sz="4" w:space="0" w:color="auto"/>
              <w:right w:val="single" w:sz="4" w:space="0" w:color="auto"/>
            </w:tcBorders>
            <w:noWrap/>
            <w:vAlign w:val="center"/>
            <w:hideMark/>
          </w:tcPr>
          <w:p w14:paraId="09D8C26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5BA7BF1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4D5AB9F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2C9DD03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3D49956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4AF4D4C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2D9399A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127A80D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00ACDA6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02423F7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428865C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05B4A00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7D6CD26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52D0EF1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34723E2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1DC7E38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18702E6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22AFD02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r>
      <w:tr w:rsidR="008017F0" w:rsidRPr="008017F0" w14:paraId="74D67DDD"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0CE789F7"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TOS</w:t>
            </w:r>
          </w:p>
        </w:tc>
        <w:tc>
          <w:tcPr>
            <w:tcW w:w="263" w:type="pct"/>
            <w:tcBorders>
              <w:top w:val="nil"/>
              <w:left w:val="nil"/>
              <w:bottom w:val="single" w:sz="4" w:space="0" w:color="auto"/>
              <w:right w:val="single" w:sz="4" w:space="0" w:color="auto"/>
            </w:tcBorders>
            <w:noWrap/>
            <w:vAlign w:val="center"/>
            <w:hideMark/>
          </w:tcPr>
          <w:p w14:paraId="29A483B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275D41F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3FB9908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4CEB64E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7D8B29D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5ED200B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397248D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7062451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05005D8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7A11522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058A301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216293A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5DC65BB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1DB90EE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5F7CF60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57F7430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43D3779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22A025C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r>
      <w:tr w:rsidR="008017F0" w:rsidRPr="008017F0" w14:paraId="531500E3"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63A76C10"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UMB</w:t>
            </w:r>
          </w:p>
        </w:tc>
        <w:tc>
          <w:tcPr>
            <w:tcW w:w="263" w:type="pct"/>
            <w:tcBorders>
              <w:top w:val="nil"/>
              <w:left w:val="nil"/>
              <w:bottom w:val="single" w:sz="4" w:space="0" w:color="auto"/>
              <w:right w:val="single" w:sz="4" w:space="0" w:color="auto"/>
            </w:tcBorders>
            <w:noWrap/>
            <w:vAlign w:val="center"/>
            <w:hideMark/>
          </w:tcPr>
          <w:p w14:paraId="28E9877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1FFB2E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697F48B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53159DE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7F575F5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55F15DD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7A963F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86C94F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689B448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7A0105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429F764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7A8A579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850149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333277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7C7D0F8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64C9F3C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329A009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591699B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r>
      <w:tr w:rsidR="008017F0" w:rsidRPr="008017F0" w14:paraId="22236B42"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67CFEFC3"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MAR</w:t>
            </w:r>
          </w:p>
        </w:tc>
        <w:tc>
          <w:tcPr>
            <w:tcW w:w="263" w:type="pct"/>
            <w:tcBorders>
              <w:top w:val="nil"/>
              <w:left w:val="nil"/>
              <w:bottom w:val="single" w:sz="4" w:space="0" w:color="auto"/>
              <w:right w:val="single" w:sz="4" w:space="0" w:color="auto"/>
            </w:tcBorders>
            <w:noWrap/>
            <w:vAlign w:val="center"/>
            <w:hideMark/>
          </w:tcPr>
          <w:p w14:paraId="2F2DE9E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0F720EA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25A8825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4C9E335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6C24F06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602801D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79DBDEE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03028A6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13834B8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2EF5854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1C06388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35B4519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61A9E11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4D2C4E9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37D116D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6B66BB6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5F2F60B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379D21B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r>
      <w:tr w:rsidR="008017F0" w:rsidRPr="008017F0" w14:paraId="48B213F9"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43D68D88"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LAZ</w:t>
            </w:r>
          </w:p>
        </w:tc>
        <w:tc>
          <w:tcPr>
            <w:tcW w:w="263" w:type="pct"/>
            <w:tcBorders>
              <w:top w:val="nil"/>
              <w:left w:val="nil"/>
              <w:bottom w:val="single" w:sz="4" w:space="0" w:color="auto"/>
              <w:right w:val="single" w:sz="4" w:space="0" w:color="auto"/>
            </w:tcBorders>
            <w:noWrap/>
            <w:vAlign w:val="center"/>
            <w:hideMark/>
          </w:tcPr>
          <w:p w14:paraId="190069F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3FEE984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3F54AA5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2E16CD0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3BC54D9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1B3E092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35F1BD3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15F59D1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0A990DB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2CB1124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201823D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592398F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45B1105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34CD42D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418AB68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018A4E1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31E370E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w:t>
            </w:r>
          </w:p>
        </w:tc>
        <w:tc>
          <w:tcPr>
            <w:tcW w:w="263" w:type="pct"/>
            <w:tcBorders>
              <w:top w:val="nil"/>
              <w:left w:val="nil"/>
              <w:bottom w:val="single" w:sz="4" w:space="0" w:color="auto"/>
              <w:right w:val="single" w:sz="4" w:space="0" w:color="auto"/>
            </w:tcBorders>
            <w:noWrap/>
            <w:vAlign w:val="center"/>
            <w:hideMark/>
          </w:tcPr>
          <w:p w14:paraId="7D6FE50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r>
      <w:tr w:rsidR="008017F0" w:rsidRPr="008017F0" w14:paraId="65324C62"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72B51231"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CAM</w:t>
            </w:r>
          </w:p>
        </w:tc>
        <w:tc>
          <w:tcPr>
            <w:tcW w:w="263" w:type="pct"/>
            <w:tcBorders>
              <w:top w:val="nil"/>
              <w:left w:val="nil"/>
              <w:bottom w:val="single" w:sz="4" w:space="0" w:color="auto"/>
              <w:right w:val="single" w:sz="4" w:space="0" w:color="auto"/>
            </w:tcBorders>
            <w:noWrap/>
            <w:vAlign w:val="center"/>
            <w:hideMark/>
          </w:tcPr>
          <w:p w14:paraId="2787E0B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22C5343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0271B48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5F271A2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A23EB3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4F04918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7D4FA00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2BA873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8E2AAB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2ABCF97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2EBA235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35EB934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297E0B9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638FA94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195DC13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3CCA2C3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330E9CD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52A37E5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r>
      <w:tr w:rsidR="008017F0" w:rsidRPr="008017F0" w14:paraId="5EA403F2"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55A92CB5"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ABR</w:t>
            </w:r>
          </w:p>
        </w:tc>
        <w:tc>
          <w:tcPr>
            <w:tcW w:w="263" w:type="pct"/>
            <w:tcBorders>
              <w:top w:val="nil"/>
              <w:left w:val="nil"/>
              <w:bottom w:val="single" w:sz="4" w:space="0" w:color="auto"/>
              <w:right w:val="single" w:sz="4" w:space="0" w:color="auto"/>
            </w:tcBorders>
            <w:noWrap/>
            <w:vAlign w:val="center"/>
            <w:hideMark/>
          </w:tcPr>
          <w:p w14:paraId="5625052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65447EF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0FC8A27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1F0DF1B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74FFF48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1A554F4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55CEA43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737EBAE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5FD42EF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6A1AA2D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1AE67F5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17AF963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462216D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24D2262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2D0F1C1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37B5310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3D2622B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7B0DE20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r>
      <w:tr w:rsidR="008017F0" w:rsidRPr="008017F0" w14:paraId="0C7471D4"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553854F9"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MOL</w:t>
            </w:r>
          </w:p>
        </w:tc>
        <w:tc>
          <w:tcPr>
            <w:tcW w:w="263" w:type="pct"/>
            <w:tcBorders>
              <w:top w:val="nil"/>
              <w:left w:val="nil"/>
              <w:bottom w:val="single" w:sz="4" w:space="0" w:color="auto"/>
              <w:right w:val="single" w:sz="4" w:space="0" w:color="auto"/>
            </w:tcBorders>
            <w:noWrap/>
            <w:vAlign w:val="center"/>
            <w:hideMark/>
          </w:tcPr>
          <w:p w14:paraId="6D20AA2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192D526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7ABEC2A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033DA7C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6F5B535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1D9911B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1449737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60DFA23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7E5E760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08E32C9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0E33216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5A9475B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0C756B9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0FAC4AF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5FC5469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2E31ECA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4C511F7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5F3196D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r>
      <w:tr w:rsidR="008017F0" w:rsidRPr="008017F0" w14:paraId="0A48AEB5"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6A3F7C93"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PUG</w:t>
            </w:r>
          </w:p>
        </w:tc>
        <w:tc>
          <w:tcPr>
            <w:tcW w:w="263" w:type="pct"/>
            <w:tcBorders>
              <w:top w:val="nil"/>
              <w:left w:val="nil"/>
              <w:bottom w:val="single" w:sz="4" w:space="0" w:color="auto"/>
              <w:right w:val="single" w:sz="4" w:space="0" w:color="auto"/>
            </w:tcBorders>
            <w:noWrap/>
            <w:vAlign w:val="center"/>
            <w:hideMark/>
          </w:tcPr>
          <w:p w14:paraId="209AF3D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38929D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015FEE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c>
          <w:tcPr>
            <w:tcW w:w="263" w:type="pct"/>
            <w:tcBorders>
              <w:top w:val="nil"/>
              <w:left w:val="nil"/>
              <w:bottom w:val="single" w:sz="4" w:space="0" w:color="auto"/>
              <w:right w:val="single" w:sz="4" w:space="0" w:color="auto"/>
            </w:tcBorders>
            <w:noWrap/>
            <w:vAlign w:val="center"/>
            <w:hideMark/>
          </w:tcPr>
          <w:p w14:paraId="16E1DFB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7250D8B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229768E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25A15AF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3A2C5E4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532A60E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1BD448D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39FB78E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F595DF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22762A0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2A3797B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31C4891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5BCC455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468D22D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2F7DDB0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r>
      <w:tr w:rsidR="008017F0" w:rsidRPr="008017F0" w14:paraId="2A3EDEC9"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2162FF57"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BAS</w:t>
            </w:r>
          </w:p>
        </w:tc>
        <w:tc>
          <w:tcPr>
            <w:tcW w:w="263" w:type="pct"/>
            <w:tcBorders>
              <w:top w:val="nil"/>
              <w:left w:val="nil"/>
              <w:bottom w:val="single" w:sz="4" w:space="0" w:color="auto"/>
              <w:right w:val="single" w:sz="4" w:space="0" w:color="auto"/>
            </w:tcBorders>
            <w:noWrap/>
            <w:vAlign w:val="center"/>
            <w:hideMark/>
          </w:tcPr>
          <w:p w14:paraId="6DEA7F2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581DC1A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19</w:t>
            </w:r>
          </w:p>
        </w:tc>
        <w:tc>
          <w:tcPr>
            <w:tcW w:w="263" w:type="pct"/>
            <w:tcBorders>
              <w:top w:val="nil"/>
              <w:left w:val="nil"/>
              <w:bottom w:val="single" w:sz="4" w:space="0" w:color="auto"/>
              <w:right w:val="single" w:sz="4" w:space="0" w:color="auto"/>
            </w:tcBorders>
            <w:noWrap/>
            <w:vAlign w:val="center"/>
            <w:hideMark/>
          </w:tcPr>
          <w:p w14:paraId="089A271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1CD9680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5B78BEDD"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423F1AD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09F4D1C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1020202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3B7D2FE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4CA2DD2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1F0AD1C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7D1F548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35FA9B9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6A2F633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36FD344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2ACA793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20</w:t>
            </w:r>
          </w:p>
        </w:tc>
        <w:tc>
          <w:tcPr>
            <w:tcW w:w="263" w:type="pct"/>
            <w:tcBorders>
              <w:top w:val="nil"/>
              <w:left w:val="nil"/>
              <w:bottom w:val="single" w:sz="4" w:space="0" w:color="auto"/>
              <w:right w:val="single" w:sz="4" w:space="0" w:color="auto"/>
            </w:tcBorders>
            <w:noWrap/>
            <w:vAlign w:val="center"/>
            <w:hideMark/>
          </w:tcPr>
          <w:p w14:paraId="3498A6B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c>
          <w:tcPr>
            <w:tcW w:w="263" w:type="pct"/>
            <w:tcBorders>
              <w:top w:val="nil"/>
              <w:left w:val="nil"/>
              <w:bottom w:val="single" w:sz="4" w:space="0" w:color="auto"/>
              <w:right w:val="single" w:sz="4" w:space="0" w:color="auto"/>
            </w:tcBorders>
            <w:noWrap/>
            <w:vAlign w:val="center"/>
            <w:hideMark/>
          </w:tcPr>
          <w:p w14:paraId="5F3FB63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18</w:t>
            </w:r>
          </w:p>
        </w:tc>
      </w:tr>
      <w:tr w:rsidR="008017F0" w:rsidRPr="008017F0" w14:paraId="32B6BFB5"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48F58755"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CAL</w:t>
            </w:r>
          </w:p>
        </w:tc>
        <w:tc>
          <w:tcPr>
            <w:tcW w:w="263" w:type="pct"/>
            <w:tcBorders>
              <w:top w:val="nil"/>
              <w:left w:val="nil"/>
              <w:bottom w:val="single" w:sz="4" w:space="0" w:color="auto"/>
              <w:right w:val="single" w:sz="4" w:space="0" w:color="auto"/>
            </w:tcBorders>
            <w:noWrap/>
            <w:vAlign w:val="center"/>
            <w:hideMark/>
          </w:tcPr>
          <w:p w14:paraId="0E55983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04BCD1F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5ACED63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4BFD5A7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5183860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3DBA9B3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3AE1FF9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0B17704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1D3AB8D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70D11B2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210B1F8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42C543A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24C12DB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2202B8D8"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5D79EC4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16</w:t>
            </w:r>
          </w:p>
        </w:tc>
        <w:tc>
          <w:tcPr>
            <w:tcW w:w="263" w:type="pct"/>
            <w:tcBorders>
              <w:top w:val="nil"/>
              <w:left w:val="nil"/>
              <w:bottom w:val="single" w:sz="4" w:space="0" w:color="auto"/>
              <w:right w:val="single" w:sz="4" w:space="0" w:color="auto"/>
            </w:tcBorders>
            <w:noWrap/>
            <w:vAlign w:val="center"/>
            <w:hideMark/>
          </w:tcPr>
          <w:p w14:paraId="2969D69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17</w:t>
            </w:r>
          </w:p>
        </w:tc>
        <w:tc>
          <w:tcPr>
            <w:tcW w:w="263" w:type="pct"/>
            <w:tcBorders>
              <w:top w:val="nil"/>
              <w:left w:val="nil"/>
              <w:bottom w:val="single" w:sz="4" w:space="0" w:color="auto"/>
              <w:right w:val="single" w:sz="4" w:space="0" w:color="auto"/>
            </w:tcBorders>
            <w:noWrap/>
            <w:vAlign w:val="center"/>
            <w:hideMark/>
          </w:tcPr>
          <w:p w14:paraId="5C59B87E"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7907939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r>
      <w:tr w:rsidR="008017F0" w:rsidRPr="008017F0" w14:paraId="2B6B2906"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27E55C25"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SIC</w:t>
            </w:r>
          </w:p>
        </w:tc>
        <w:tc>
          <w:tcPr>
            <w:tcW w:w="263" w:type="pct"/>
            <w:tcBorders>
              <w:top w:val="nil"/>
              <w:left w:val="nil"/>
              <w:bottom w:val="single" w:sz="4" w:space="0" w:color="auto"/>
              <w:right w:val="single" w:sz="4" w:space="0" w:color="auto"/>
            </w:tcBorders>
            <w:noWrap/>
            <w:vAlign w:val="center"/>
            <w:hideMark/>
          </w:tcPr>
          <w:p w14:paraId="250CC5A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7607FCD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2B7CE95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7211029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119CBC4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5</w:t>
            </w:r>
          </w:p>
        </w:tc>
        <w:tc>
          <w:tcPr>
            <w:tcW w:w="263" w:type="pct"/>
            <w:tcBorders>
              <w:top w:val="nil"/>
              <w:left w:val="nil"/>
              <w:bottom w:val="single" w:sz="4" w:space="0" w:color="auto"/>
              <w:right w:val="single" w:sz="4" w:space="0" w:color="auto"/>
            </w:tcBorders>
            <w:noWrap/>
            <w:vAlign w:val="center"/>
            <w:hideMark/>
          </w:tcPr>
          <w:p w14:paraId="44F0122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48F5A05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1214DD3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4578000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27A6772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w:t>
            </w:r>
          </w:p>
        </w:tc>
        <w:tc>
          <w:tcPr>
            <w:tcW w:w="263" w:type="pct"/>
            <w:tcBorders>
              <w:top w:val="nil"/>
              <w:left w:val="nil"/>
              <w:bottom w:val="single" w:sz="4" w:space="0" w:color="auto"/>
              <w:right w:val="single" w:sz="4" w:space="0" w:color="auto"/>
            </w:tcBorders>
            <w:noWrap/>
            <w:vAlign w:val="center"/>
            <w:hideMark/>
          </w:tcPr>
          <w:p w14:paraId="3835956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3</w:t>
            </w:r>
          </w:p>
        </w:tc>
        <w:tc>
          <w:tcPr>
            <w:tcW w:w="263" w:type="pct"/>
            <w:tcBorders>
              <w:top w:val="nil"/>
              <w:left w:val="nil"/>
              <w:bottom w:val="single" w:sz="4" w:space="0" w:color="auto"/>
              <w:right w:val="single" w:sz="4" w:space="0" w:color="auto"/>
            </w:tcBorders>
            <w:noWrap/>
            <w:vAlign w:val="center"/>
            <w:hideMark/>
          </w:tcPr>
          <w:p w14:paraId="7AB1EE94"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6</w:t>
            </w:r>
          </w:p>
        </w:tc>
        <w:tc>
          <w:tcPr>
            <w:tcW w:w="263" w:type="pct"/>
            <w:tcBorders>
              <w:top w:val="nil"/>
              <w:left w:val="nil"/>
              <w:bottom w:val="single" w:sz="4" w:space="0" w:color="auto"/>
              <w:right w:val="single" w:sz="4" w:space="0" w:color="auto"/>
            </w:tcBorders>
            <w:noWrap/>
            <w:vAlign w:val="center"/>
            <w:hideMark/>
          </w:tcPr>
          <w:p w14:paraId="171A9343"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71902F9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437F24F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7FBA523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29F158E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4</w:t>
            </w:r>
          </w:p>
        </w:tc>
        <w:tc>
          <w:tcPr>
            <w:tcW w:w="263" w:type="pct"/>
            <w:tcBorders>
              <w:top w:val="nil"/>
              <w:left w:val="nil"/>
              <w:bottom w:val="single" w:sz="4" w:space="0" w:color="auto"/>
              <w:right w:val="single" w:sz="4" w:space="0" w:color="auto"/>
            </w:tcBorders>
            <w:noWrap/>
            <w:vAlign w:val="center"/>
            <w:hideMark/>
          </w:tcPr>
          <w:p w14:paraId="2AEB997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7</w:t>
            </w:r>
          </w:p>
        </w:tc>
      </w:tr>
      <w:tr w:rsidR="008017F0" w:rsidRPr="008017F0" w14:paraId="3EF29A51" w14:textId="77777777" w:rsidTr="0027454A">
        <w:trPr>
          <w:trHeight w:val="20"/>
        </w:trPr>
        <w:tc>
          <w:tcPr>
            <w:tcW w:w="268" w:type="pct"/>
            <w:tcBorders>
              <w:top w:val="nil"/>
              <w:left w:val="single" w:sz="4" w:space="0" w:color="auto"/>
              <w:bottom w:val="single" w:sz="4" w:space="0" w:color="auto"/>
              <w:right w:val="single" w:sz="4" w:space="0" w:color="auto"/>
            </w:tcBorders>
            <w:noWrap/>
            <w:vAlign w:val="center"/>
            <w:hideMark/>
          </w:tcPr>
          <w:p w14:paraId="491186E6" w14:textId="77777777" w:rsidR="008017F0" w:rsidRPr="008017F0" w:rsidRDefault="008017F0" w:rsidP="0027454A">
            <w:pPr>
              <w:spacing w:after="0" w:line="240" w:lineRule="auto"/>
              <w:jc w:val="center"/>
              <w:rPr>
                <w:rFonts w:ascii="Calibri" w:eastAsia="Times New Roman" w:hAnsi="Calibri" w:cs="Calibri"/>
                <w:b/>
                <w:bCs/>
                <w:sz w:val="16"/>
                <w:szCs w:val="16"/>
                <w:lang w:val="en-GB" w:eastAsia="it-IT"/>
              </w:rPr>
            </w:pPr>
            <w:r w:rsidRPr="008017F0">
              <w:rPr>
                <w:rFonts w:ascii="Calibri" w:eastAsia="Times New Roman" w:hAnsi="Calibri" w:cs="Calibri"/>
                <w:b/>
                <w:bCs/>
                <w:sz w:val="16"/>
                <w:szCs w:val="16"/>
                <w:lang w:val="en-GB" w:eastAsia="it-IT"/>
              </w:rPr>
              <w:t>SAR</w:t>
            </w:r>
          </w:p>
        </w:tc>
        <w:tc>
          <w:tcPr>
            <w:tcW w:w="263" w:type="pct"/>
            <w:tcBorders>
              <w:top w:val="nil"/>
              <w:left w:val="nil"/>
              <w:bottom w:val="single" w:sz="4" w:space="0" w:color="auto"/>
              <w:right w:val="single" w:sz="4" w:space="0" w:color="auto"/>
            </w:tcBorders>
            <w:noWrap/>
            <w:vAlign w:val="center"/>
            <w:hideMark/>
          </w:tcPr>
          <w:p w14:paraId="4070F67A"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48AC86C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1DBA6B3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13AED87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35B2563F"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c>
          <w:tcPr>
            <w:tcW w:w="263" w:type="pct"/>
            <w:tcBorders>
              <w:top w:val="nil"/>
              <w:left w:val="nil"/>
              <w:bottom w:val="single" w:sz="4" w:space="0" w:color="auto"/>
              <w:right w:val="single" w:sz="4" w:space="0" w:color="auto"/>
            </w:tcBorders>
            <w:noWrap/>
            <w:vAlign w:val="center"/>
            <w:hideMark/>
          </w:tcPr>
          <w:p w14:paraId="15A377A5"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3B31B6BB"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7D3BE9D7"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7E86C90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9</w:t>
            </w:r>
          </w:p>
        </w:tc>
        <w:tc>
          <w:tcPr>
            <w:tcW w:w="263" w:type="pct"/>
            <w:tcBorders>
              <w:top w:val="nil"/>
              <w:left w:val="nil"/>
              <w:bottom w:val="single" w:sz="4" w:space="0" w:color="auto"/>
              <w:right w:val="single" w:sz="4" w:space="0" w:color="auto"/>
            </w:tcBorders>
            <w:noWrap/>
            <w:vAlign w:val="center"/>
            <w:hideMark/>
          </w:tcPr>
          <w:p w14:paraId="13D9F46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8</w:t>
            </w:r>
          </w:p>
        </w:tc>
        <w:tc>
          <w:tcPr>
            <w:tcW w:w="263" w:type="pct"/>
            <w:tcBorders>
              <w:top w:val="nil"/>
              <w:left w:val="nil"/>
              <w:bottom w:val="single" w:sz="4" w:space="0" w:color="auto"/>
              <w:right w:val="single" w:sz="4" w:space="0" w:color="auto"/>
            </w:tcBorders>
            <w:noWrap/>
            <w:vAlign w:val="center"/>
            <w:hideMark/>
          </w:tcPr>
          <w:p w14:paraId="2B828A9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4A0C3F10"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13</w:t>
            </w:r>
          </w:p>
        </w:tc>
        <w:tc>
          <w:tcPr>
            <w:tcW w:w="263" w:type="pct"/>
            <w:tcBorders>
              <w:top w:val="nil"/>
              <w:left w:val="nil"/>
              <w:bottom w:val="single" w:sz="4" w:space="0" w:color="auto"/>
              <w:right w:val="single" w:sz="4" w:space="0" w:color="auto"/>
            </w:tcBorders>
            <w:noWrap/>
            <w:vAlign w:val="center"/>
            <w:hideMark/>
          </w:tcPr>
          <w:p w14:paraId="52DC3216"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15</w:t>
            </w:r>
          </w:p>
        </w:tc>
        <w:tc>
          <w:tcPr>
            <w:tcW w:w="263" w:type="pct"/>
            <w:tcBorders>
              <w:top w:val="nil"/>
              <w:left w:val="nil"/>
              <w:bottom w:val="single" w:sz="4" w:space="0" w:color="auto"/>
              <w:right w:val="single" w:sz="4" w:space="0" w:color="auto"/>
            </w:tcBorders>
            <w:noWrap/>
            <w:vAlign w:val="center"/>
            <w:hideMark/>
          </w:tcPr>
          <w:p w14:paraId="647A57B2"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4483427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11</w:t>
            </w:r>
          </w:p>
        </w:tc>
        <w:tc>
          <w:tcPr>
            <w:tcW w:w="263" w:type="pct"/>
            <w:tcBorders>
              <w:top w:val="nil"/>
              <w:left w:val="nil"/>
              <w:bottom w:val="single" w:sz="4" w:space="0" w:color="auto"/>
              <w:right w:val="single" w:sz="4" w:space="0" w:color="auto"/>
            </w:tcBorders>
            <w:noWrap/>
            <w:vAlign w:val="center"/>
            <w:hideMark/>
          </w:tcPr>
          <w:p w14:paraId="7A99EAA1"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10</w:t>
            </w:r>
          </w:p>
        </w:tc>
        <w:tc>
          <w:tcPr>
            <w:tcW w:w="263" w:type="pct"/>
            <w:tcBorders>
              <w:top w:val="nil"/>
              <w:left w:val="nil"/>
              <w:bottom w:val="single" w:sz="4" w:space="0" w:color="auto"/>
              <w:right w:val="single" w:sz="4" w:space="0" w:color="auto"/>
            </w:tcBorders>
            <w:noWrap/>
            <w:vAlign w:val="center"/>
            <w:hideMark/>
          </w:tcPr>
          <w:p w14:paraId="7DCB180C"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12</w:t>
            </w:r>
          </w:p>
        </w:tc>
        <w:tc>
          <w:tcPr>
            <w:tcW w:w="263" w:type="pct"/>
            <w:tcBorders>
              <w:top w:val="nil"/>
              <w:left w:val="nil"/>
              <w:bottom w:val="single" w:sz="4" w:space="0" w:color="auto"/>
              <w:right w:val="single" w:sz="4" w:space="0" w:color="auto"/>
            </w:tcBorders>
            <w:noWrap/>
            <w:vAlign w:val="center"/>
            <w:hideMark/>
          </w:tcPr>
          <w:p w14:paraId="73668469" w14:textId="77777777" w:rsidR="008017F0" w:rsidRPr="008017F0" w:rsidRDefault="008017F0" w:rsidP="0027454A">
            <w:pPr>
              <w:spacing w:after="0" w:line="240" w:lineRule="auto"/>
              <w:jc w:val="center"/>
              <w:rPr>
                <w:rFonts w:ascii="Calibri" w:eastAsia="Times New Roman" w:hAnsi="Calibri" w:cs="Calibri"/>
                <w:sz w:val="16"/>
                <w:szCs w:val="16"/>
                <w:lang w:val="en-GB" w:eastAsia="it-IT"/>
              </w:rPr>
            </w:pPr>
            <w:r w:rsidRPr="008017F0">
              <w:rPr>
                <w:rFonts w:ascii="Calibri" w:eastAsia="Times New Roman" w:hAnsi="Calibri" w:cs="Calibri"/>
                <w:sz w:val="16"/>
                <w:szCs w:val="16"/>
                <w:lang w:val="en-GB" w:eastAsia="it-IT"/>
              </w:rPr>
              <w:t>14</w:t>
            </w:r>
          </w:p>
        </w:tc>
      </w:tr>
    </w:tbl>
    <w:p w14:paraId="7C16FE19" w14:textId="77777777" w:rsidR="008017F0" w:rsidRPr="008017F0" w:rsidRDefault="008017F0" w:rsidP="008017F0">
      <w:pPr>
        <w:spacing w:after="0" w:line="240" w:lineRule="auto"/>
        <w:rPr>
          <w:rFonts w:ascii="Times New Roman" w:hAnsi="Times New Roman" w:cs="Times New Roman"/>
          <w:i/>
          <w:iCs/>
          <w:sz w:val="20"/>
          <w:szCs w:val="20"/>
          <w:lang w:val="en-GB"/>
        </w:rPr>
      </w:pPr>
      <w:r w:rsidRPr="008017F0">
        <w:rPr>
          <w:rFonts w:ascii="Times New Roman" w:hAnsi="Times New Roman" w:cs="Times New Roman"/>
          <w:i/>
          <w:iCs/>
          <w:sz w:val="20"/>
          <w:szCs w:val="20"/>
          <w:lang w:val="en-GB"/>
        </w:rPr>
        <w:t>Source: Own elaboration on data specified in Table A6</w:t>
      </w:r>
    </w:p>
    <w:p w14:paraId="191EFBC5" w14:textId="77777777" w:rsidR="008017F0" w:rsidRPr="008017F0" w:rsidRDefault="008017F0" w:rsidP="008017F0">
      <w:pPr>
        <w:widowControl w:val="0"/>
        <w:spacing w:after="0" w:line="240" w:lineRule="auto"/>
        <w:jc w:val="both"/>
        <w:rPr>
          <w:rFonts w:ascii="Times New Roman" w:hAnsi="Times New Roman" w:cs="Times New Roman"/>
          <w:i/>
          <w:iCs/>
          <w:sz w:val="20"/>
          <w:szCs w:val="20"/>
          <w:lang w:val="en-GB"/>
        </w:rPr>
      </w:pPr>
      <w:r w:rsidRPr="008017F0">
        <w:rPr>
          <w:rFonts w:ascii="Times New Roman" w:hAnsi="Times New Roman" w:cs="Times New Roman"/>
          <w:i/>
          <w:iCs/>
          <w:sz w:val="20"/>
          <w:szCs w:val="20"/>
          <w:lang w:val="en-GB"/>
        </w:rPr>
        <w:t>Note: A lower figure corresponds to a higher infrastructure index</w:t>
      </w:r>
    </w:p>
    <w:p w14:paraId="5408D67B" w14:textId="77777777" w:rsidR="008017F0" w:rsidRPr="008017F0" w:rsidRDefault="008017F0" w:rsidP="009C792C">
      <w:pPr>
        <w:spacing w:line="360" w:lineRule="auto"/>
        <w:jc w:val="both"/>
        <w:rPr>
          <w:rFonts w:ascii="Times New Roman" w:hAnsi="Times New Roman" w:cs="Times New Roman"/>
          <w:sz w:val="24"/>
          <w:szCs w:val="24"/>
          <w:lang w:val="en-GB"/>
        </w:rPr>
      </w:pPr>
    </w:p>
    <w:p w14:paraId="7DB23800" w14:textId="77777777" w:rsidR="00D97F66" w:rsidRPr="008017F0" w:rsidRDefault="00D97F66" w:rsidP="009C792C">
      <w:pPr>
        <w:spacing w:after="0" w:line="240" w:lineRule="auto"/>
        <w:ind w:left="360"/>
        <w:jc w:val="center"/>
        <w:rPr>
          <w:rFonts w:ascii="Times New Roman" w:hAnsi="Times New Roman" w:cs="Times New Roman"/>
          <w:lang w:val="en-GB"/>
        </w:rPr>
      </w:pPr>
    </w:p>
    <w:p w14:paraId="49404E07" w14:textId="77777777" w:rsidR="0083510A" w:rsidRPr="008017F0" w:rsidRDefault="0083510A" w:rsidP="009C792C">
      <w:pPr>
        <w:spacing w:after="0" w:line="240" w:lineRule="auto"/>
        <w:ind w:left="360"/>
        <w:jc w:val="center"/>
        <w:rPr>
          <w:rFonts w:ascii="Times New Roman" w:hAnsi="Times New Roman" w:cs="Times New Roman"/>
          <w:lang w:val="en-GB"/>
        </w:rPr>
        <w:sectPr w:rsidR="0083510A" w:rsidRPr="008017F0" w:rsidSect="005D02F6">
          <w:pgSz w:w="11906" w:h="16838"/>
          <w:pgMar w:top="1417" w:right="1134" w:bottom="1134" w:left="1134" w:header="708" w:footer="708" w:gutter="0"/>
          <w:cols w:space="708"/>
          <w:docGrid w:linePitch="360"/>
        </w:sectPr>
      </w:pPr>
    </w:p>
    <w:p w14:paraId="04EB2287" w14:textId="0CE85C4F" w:rsidR="005D02F6" w:rsidRPr="008017F0" w:rsidRDefault="005D02F6" w:rsidP="003F2503">
      <w:pPr>
        <w:keepNext/>
        <w:keepLines/>
        <w:widowControl w:val="0"/>
        <w:spacing w:after="0" w:line="240" w:lineRule="auto"/>
        <w:jc w:val="both"/>
        <w:rPr>
          <w:rFonts w:ascii="Times New Roman" w:hAnsi="Times New Roman" w:cs="Times New Roman"/>
          <w:lang w:val="en-GB"/>
        </w:rPr>
      </w:pPr>
      <w:r w:rsidRPr="008017F0">
        <w:rPr>
          <w:rFonts w:ascii="Times New Roman" w:hAnsi="Times New Roman" w:cs="Times New Roman"/>
          <w:lang w:val="en-GB"/>
        </w:rPr>
        <w:lastRenderedPageBreak/>
        <w:t>Map A</w:t>
      </w:r>
      <w:r w:rsidR="008F4BDB" w:rsidRPr="008017F0">
        <w:rPr>
          <w:rFonts w:ascii="Times New Roman" w:hAnsi="Times New Roman" w:cs="Times New Roman"/>
          <w:lang w:val="en-GB"/>
        </w:rPr>
        <w:t>2</w:t>
      </w:r>
      <w:r w:rsidRPr="008017F0">
        <w:rPr>
          <w:rFonts w:ascii="Times New Roman" w:hAnsi="Times New Roman" w:cs="Times New Roman"/>
          <w:lang w:val="en-GB"/>
        </w:rPr>
        <w:t>. The new infrastructure index. Regional endowment rankings (1989, 2019)</w:t>
      </w:r>
    </w:p>
    <w:p w14:paraId="4B985B40" w14:textId="77777777" w:rsidR="005D02F6" w:rsidRPr="008017F0" w:rsidRDefault="005D02F6" w:rsidP="003F2503">
      <w:pPr>
        <w:keepNext/>
        <w:keepLines/>
        <w:widowControl w:val="0"/>
        <w:spacing w:after="0" w:line="240" w:lineRule="auto"/>
        <w:jc w:val="center"/>
        <w:rPr>
          <w:rFonts w:ascii="Times New Roman" w:hAnsi="Times New Roman" w:cs="Times New Roman"/>
          <w:lang w:val="en-GB"/>
        </w:rPr>
      </w:pPr>
      <w:r w:rsidRPr="008017F0">
        <w:rPr>
          <w:rFonts w:ascii="Times New Roman" w:hAnsi="Times New Roman" w:cs="Times New Roman"/>
          <w:lang w:val="en-GB"/>
        </w:rPr>
        <w:t>1989</w:t>
      </w:r>
    </w:p>
    <w:p w14:paraId="02EE16F8" w14:textId="1F6EAB54" w:rsidR="005D02F6" w:rsidRPr="008017F0" w:rsidRDefault="005D02F6" w:rsidP="003F2503">
      <w:pPr>
        <w:keepNext/>
        <w:keepLines/>
        <w:widowControl w:val="0"/>
        <w:spacing w:after="0" w:line="240" w:lineRule="auto"/>
        <w:jc w:val="center"/>
        <w:rPr>
          <w:rFonts w:ascii="Times New Roman" w:hAnsi="Times New Roman" w:cs="Times New Roman"/>
          <w:lang w:val="en-GB"/>
        </w:rPr>
      </w:pPr>
      <w:r w:rsidRPr="008017F0">
        <w:rPr>
          <w:rFonts w:ascii="Times New Roman" w:hAnsi="Times New Roman" w:cs="Times New Roman"/>
          <w:noProof/>
          <w:lang w:val="en-GB"/>
        </w:rPr>
        <w:drawing>
          <wp:inline distT="0" distB="0" distL="0" distR="0" wp14:anchorId="41E9E3A3" wp14:editId="44CEBDC1">
            <wp:extent cx="1685925" cy="2172092"/>
            <wp:effectExtent l="0" t="0" r="0" b="0"/>
            <wp:docPr id="130969807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3679" cy="218208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4A527146" wp14:editId="57D0744D">
            <wp:extent cx="1666875" cy="2147549"/>
            <wp:effectExtent l="0" t="0" r="0" b="5715"/>
            <wp:docPr id="209693481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76521" cy="2159977"/>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730AA10F" wp14:editId="79D1BCA6">
            <wp:extent cx="1685621" cy="2171700"/>
            <wp:effectExtent l="0" t="0" r="0" b="0"/>
            <wp:docPr id="199378008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08632" cy="2201346"/>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7E3F2469" wp14:editId="5764D6F0">
            <wp:extent cx="1666875" cy="2147549"/>
            <wp:effectExtent l="0" t="0" r="0" b="5715"/>
            <wp:docPr id="66829116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85427" cy="2171451"/>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296ACB3" wp14:editId="796C1E00">
            <wp:extent cx="1676400" cy="2159820"/>
            <wp:effectExtent l="0" t="0" r="0" b="0"/>
            <wp:docPr id="54490469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88969" cy="2176013"/>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43C7D113" wp14:editId="7ACA4EB4">
            <wp:extent cx="1670506" cy="2152225"/>
            <wp:effectExtent l="0" t="0" r="6350" b="635"/>
            <wp:docPr id="401263827"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88592" cy="2175526"/>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6DFAEA67" wp14:editId="4DFF6B53">
            <wp:extent cx="1790700" cy="2307082"/>
            <wp:effectExtent l="0" t="0" r="0" b="0"/>
            <wp:docPr id="1590881762"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7388" cy="232858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AC53D5F" wp14:editId="5BD046C4">
            <wp:extent cx="1789124" cy="2305050"/>
            <wp:effectExtent l="0" t="0" r="1905" b="0"/>
            <wp:docPr id="379719768"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98657" cy="2317332"/>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6037C490" wp14:editId="567CAFB6">
            <wp:extent cx="1796517" cy="2314575"/>
            <wp:effectExtent l="0" t="0" r="0" b="0"/>
            <wp:docPr id="212611188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11131" cy="2333403"/>
                    </a:xfrm>
                    <a:prstGeom prst="rect">
                      <a:avLst/>
                    </a:prstGeom>
                    <a:noFill/>
                  </pic:spPr>
                </pic:pic>
              </a:graphicData>
            </a:graphic>
          </wp:inline>
        </w:drawing>
      </w:r>
    </w:p>
    <w:p w14:paraId="61075888" w14:textId="77777777" w:rsidR="005D02F6" w:rsidRPr="008017F0" w:rsidRDefault="005D02F6" w:rsidP="003F2503">
      <w:pPr>
        <w:keepNext/>
        <w:keepLines/>
        <w:widowControl w:val="0"/>
        <w:spacing w:after="0" w:line="240" w:lineRule="auto"/>
        <w:jc w:val="both"/>
        <w:rPr>
          <w:rFonts w:ascii="Times New Roman" w:hAnsi="Times New Roman" w:cs="Times New Roman"/>
          <w:lang w:val="en-GB"/>
        </w:rPr>
      </w:pPr>
    </w:p>
    <w:p w14:paraId="71DC31BD" w14:textId="77777777" w:rsidR="005D02F6" w:rsidRPr="008017F0" w:rsidRDefault="005D02F6" w:rsidP="003F2503">
      <w:pPr>
        <w:keepNext/>
        <w:keepLines/>
        <w:widowControl w:val="0"/>
        <w:spacing w:line="240" w:lineRule="auto"/>
        <w:jc w:val="center"/>
        <w:rPr>
          <w:rFonts w:ascii="Times New Roman" w:hAnsi="Times New Roman" w:cs="Times New Roman"/>
          <w:lang w:val="en-GB"/>
        </w:rPr>
      </w:pPr>
      <w:r w:rsidRPr="008017F0">
        <w:rPr>
          <w:rFonts w:ascii="Times New Roman" w:hAnsi="Times New Roman" w:cs="Times New Roman"/>
          <w:lang w:val="en-GB"/>
        </w:rPr>
        <w:t>2019</w:t>
      </w:r>
    </w:p>
    <w:p w14:paraId="276D1E24" w14:textId="77777777" w:rsidR="005D02F6" w:rsidRPr="008017F0" w:rsidRDefault="005D02F6" w:rsidP="003F2503">
      <w:pPr>
        <w:keepNext/>
        <w:keepLines/>
        <w:widowControl w:val="0"/>
        <w:spacing w:line="240" w:lineRule="auto"/>
        <w:jc w:val="center"/>
        <w:rPr>
          <w:rFonts w:ascii="Times New Roman" w:hAnsi="Times New Roman" w:cs="Times New Roman"/>
          <w:lang w:val="en-GB"/>
        </w:rPr>
      </w:pPr>
      <w:r w:rsidRPr="008017F0">
        <w:rPr>
          <w:rFonts w:ascii="Times New Roman" w:hAnsi="Times New Roman" w:cs="Times New Roman"/>
          <w:noProof/>
          <w:lang w:val="en-GB"/>
        </w:rPr>
        <w:lastRenderedPageBreak/>
        <w:drawing>
          <wp:inline distT="0" distB="0" distL="0" distR="0" wp14:anchorId="323A2356" wp14:editId="7B6A7594">
            <wp:extent cx="1781175" cy="2294810"/>
            <wp:effectExtent l="0" t="0" r="0" b="0"/>
            <wp:docPr id="89574114"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95498" cy="2313263"/>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3E2D98B7" wp14:editId="76487852">
            <wp:extent cx="1781175" cy="2294809"/>
            <wp:effectExtent l="0" t="0" r="0" b="0"/>
            <wp:docPr id="222469869"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88405" cy="2304124"/>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53CEBCE" wp14:editId="1D2F2E28">
            <wp:extent cx="1762125" cy="2270266"/>
            <wp:effectExtent l="0" t="0" r="0" b="0"/>
            <wp:docPr id="2037398413"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68886" cy="2278977"/>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360A72B9" wp14:editId="49DFF3E8">
            <wp:extent cx="1771650" cy="2282537"/>
            <wp:effectExtent l="0" t="0" r="0" b="3810"/>
            <wp:docPr id="1006539786"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81393" cy="2295090"/>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2F9CD6CF" wp14:editId="2EE9A0A3">
            <wp:extent cx="1766944" cy="2276475"/>
            <wp:effectExtent l="0" t="0" r="5080" b="0"/>
            <wp:docPr id="1919338509"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82027" cy="2295908"/>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53C45419" wp14:editId="5405BA56">
            <wp:extent cx="1783209" cy="2297430"/>
            <wp:effectExtent l="0" t="0" r="7620" b="7620"/>
            <wp:docPr id="1290072096"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91147" cy="2307657"/>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48FA2687" wp14:editId="25A55DA1">
            <wp:extent cx="1787073" cy="2302408"/>
            <wp:effectExtent l="0" t="0" r="3810" b="3175"/>
            <wp:docPr id="1255973483"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00844" cy="2320150"/>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34EE3AC6" wp14:editId="7A4E371D">
            <wp:extent cx="1766945" cy="2276475"/>
            <wp:effectExtent l="0" t="0" r="5080" b="0"/>
            <wp:docPr id="1396726906"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76089" cy="2288256"/>
                    </a:xfrm>
                    <a:prstGeom prst="rect">
                      <a:avLst/>
                    </a:prstGeom>
                    <a:noFill/>
                  </pic:spPr>
                </pic:pic>
              </a:graphicData>
            </a:graphic>
          </wp:inline>
        </w:drawing>
      </w:r>
      <w:r w:rsidRPr="008017F0">
        <w:rPr>
          <w:rFonts w:ascii="Times New Roman" w:hAnsi="Times New Roman" w:cs="Times New Roman"/>
          <w:noProof/>
          <w:lang w:val="en-GB"/>
        </w:rPr>
        <w:drawing>
          <wp:inline distT="0" distB="0" distL="0" distR="0" wp14:anchorId="7C809188" wp14:editId="31F760ED">
            <wp:extent cx="1752159" cy="2257425"/>
            <wp:effectExtent l="0" t="0" r="635" b="0"/>
            <wp:docPr id="1580845307"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64569" cy="2273414"/>
                    </a:xfrm>
                    <a:prstGeom prst="rect">
                      <a:avLst/>
                    </a:prstGeom>
                    <a:noFill/>
                  </pic:spPr>
                </pic:pic>
              </a:graphicData>
            </a:graphic>
          </wp:inline>
        </w:drawing>
      </w:r>
    </w:p>
    <w:p w14:paraId="099836E9" w14:textId="2BDBFF81" w:rsidR="005D02F6" w:rsidRPr="008017F0" w:rsidRDefault="005D02F6" w:rsidP="005D02F6">
      <w:pPr>
        <w:widowControl w:val="0"/>
        <w:spacing w:after="0" w:line="240" w:lineRule="auto"/>
        <w:jc w:val="both"/>
        <w:rPr>
          <w:rFonts w:ascii="Times New Roman" w:hAnsi="Times New Roman" w:cs="Times New Roman"/>
          <w:bCs/>
          <w:i/>
          <w:iCs/>
          <w:sz w:val="20"/>
          <w:szCs w:val="20"/>
          <w:lang w:val="en-GB"/>
        </w:rPr>
      </w:pPr>
      <w:r w:rsidRPr="008017F0">
        <w:rPr>
          <w:rFonts w:ascii="Times New Roman" w:hAnsi="Times New Roman" w:cs="Times New Roman"/>
          <w:bCs/>
          <w:i/>
          <w:iCs/>
          <w:sz w:val="20"/>
          <w:szCs w:val="20"/>
          <w:lang w:val="en-GB"/>
        </w:rPr>
        <w:t>Note: Higher ranking corresponds to darker blue regions and to higher infrastructure index.</w:t>
      </w:r>
    </w:p>
    <w:p w14:paraId="2F7F4E41" w14:textId="77777777" w:rsidR="005D02F6" w:rsidRPr="008017F0" w:rsidRDefault="005D02F6" w:rsidP="005D02F6">
      <w:pPr>
        <w:rPr>
          <w:rFonts w:ascii="Times New Roman" w:hAnsi="Times New Roman" w:cs="Times New Roman"/>
          <w:lang w:val="en-GB"/>
        </w:rPr>
      </w:pPr>
      <w:r w:rsidRPr="008017F0">
        <w:rPr>
          <w:rFonts w:ascii="Times New Roman" w:hAnsi="Times New Roman" w:cs="Times New Roman"/>
          <w:lang w:val="en-GB"/>
        </w:rPr>
        <w:br w:type="page"/>
      </w:r>
    </w:p>
    <w:p w14:paraId="212874DB" w14:textId="77777777" w:rsidR="009C792C" w:rsidRPr="008017F0" w:rsidRDefault="009C792C" w:rsidP="009C792C">
      <w:pPr>
        <w:spacing w:after="0" w:line="360" w:lineRule="auto"/>
        <w:ind w:left="360"/>
        <w:jc w:val="center"/>
        <w:rPr>
          <w:rFonts w:ascii="Times New Roman" w:hAnsi="Times New Roman" w:cs="Times New Roman"/>
          <w:sz w:val="24"/>
          <w:szCs w:val="24"/>
          <w:lang w:val="en-GB"/>
        </w:rPr>
      </w:pPr>
    </w:p>
    <w:p w14:paraId="7B23DEAF" w14:textId="46E0174D" w:rsidR="00B27CB3" w:rsidRPr="008017F0" w:rsidRDefault="00B11595" w:rsidP="00B27CB3">
      <w:pPr>
        <w:pStyle w:val="RSEGTIT"/>
        <w:numPr>
          <w:ilvl w:val="0"/>
          <w:numId w:val="0"/>
        </w:numPr>
      </w:pPr>
      <w:r w:rsidRPr="008017F0">
        <w:t xml:space="preserve">Appendix 3. </w:t>
      </w:r>
      <w:r w:rsidR="00B27CB3" w:rsidRPr="008017F0">
        <w:t>The public spending productivity</w:t>
      </w:r>
      <w:r w:rsidR="0055329C" w:rsidRPr="008017F0">
        <w:t xml:space="preserve"> (PSP) index. Supplementary information</w:t>
      </w:r>
    </w:p>
    <w:p w14:paraId="773C0140" w14:textId="0ED4D788" w:rsidR="00B27CB3" w:rsidRPr="008017F0" w:rsidRDefault="00B27CB3" w:rsidP="00B27CB3">
      <w:pPr>
        <w:pStyle w:val="RSEGTITOLO2"/>
      </w:pPr>
      <w:bookmarkStart w:id="3" w:name="_Toc76365088"/>
      <w:r w:rsidRPr="008017F0">
        <w:t>The</w:t>
      </w:r>
      <w:r w:rsidR="00820207" w:rsidRPr="008017F0">
        <w:t xml:space="preserve"> econometric</w:t>
      </w:r>
      <w:r w:rsidRPr="008017F0">
        <w:t xml:space="preserve"> model</w:t>
      </w:r>
      <w:bookmarkEnd w:id="3"/>
    </w:p>
    <w:p w14:paraId="50CA66B7" w14:textId="45DAD0EC" w:rsidR="008017F0" w:rsidRPr="008017F0" w:rsidRDefault="00A6145A" w:rsidP="00A6145A">
      <w:pPr>
        <w:pStyle w:val="RSEG"/>
      </w:pPr>
      <w:r w:rsidRPr="008017F0">
        <w:t xml:space="preserve">Since Italian regions are highly integrated, variables in one region may be influenced by variables in other regions, leading to their cross-section dependence. To assess whether this is the case, we adopt the cross-section dependence test from </w:t>
      </w:r>
      <w:proofErr w:type="spellStart"/>
      <w:r w:rsidRPr="008017F0">
        <w:t>Pesaran</w:t>
      </w:r>
      <w:proofErr w:type="spellEnd"/>
      <w:r w:rsidRPr="008017F0">
        <w:t xml:space="preserve"> (2015). The results, shown in </w:t>
      </w:r>
      <w:r w:rsidR="00542420" w:rsidRPr="008017F0">
        <w:t xml:space="preserve">the first column of </w:t>
      </w:r>
      <w:r w:rsidRPr="008017F0">
        <w:t xml:space="preserve">Table </w:t>
      </w:r>
      <w:r w:rsidR="00866699" w:rsidRPr="008017F0">
        <w:t>A</w:t>
      </w:r>
      <w:r w:rsidR="009E7DBA" w:rsidRPr="008017F0">
        <w:t>9.A</w:t>
      </w:r>
      <w:r w:rsidRPr="008017F0">
        <w:t>, indicate that the null hypothesis of no cross-section dependence between regions is rejected for all the variables used in the construction of the public spending productivity index.</w:t>
      </w:r>
    </w:p>
    <w:p w14:paraId="768DBC08" w14:textId="77777777" w:rsidR="008017F0" w:rsidRPr="008017F0" w:rsidRDefault="008017F0">
      <w:pPr>
        <w:spacing w:after="160" w:line="259" w:lineRule="auto"/>
        <w:rPr>
          <w:rFonts w:ascii="Times New Roman" w:hAnsi="Times New Roman" w:cs="Times New Roman"/>
          <w:sz w:val="24"/>
          <w:szCs w:val="24"/>
          <w:lang w:val="en-GB"/>
        </w:rPr>
      </w:pPr>
      <w:r w:rsidRPr="008017F0">
        <w:br w:type="page"/>
      </w:r>
    </w:p>
    <w:p w14:paraId="0F803E18" w14:textId="77777777" w:rsidR="00A6145A" w:rsidRPr="008017F0" w:rsidRDefault="00A6145A" w:rsidP="00A6145A">
      <w:pPr>
        <w:pStyle w:val="RSEG"/>
      </w:pPr>
    </w:p>
    <w:p w14:paraId="43AAF20E" w14:textId="34978890" w:rsidR="00866699" w:rsidRPr="008017F0" w:rsidRDefault="00866699" w:rsidP="00866699">
      <w:pPr>
        <w:spacing w:after="120" w:line="240" w:lineRule="auto"/>
        <w:rPr>
          <w:rFonts w:ascii="Times New Roman" w:hAnsi="Times New Roman" w:cs="Times New Roman"/>
          <w:bCs/>
          <w:lang w:val="en-GB"/>
        </w:rPr>
      </w:pPr>
      <w:r w:rsidRPr="008017F0">
        <w:rPr>
          <w:rFonts w:ascii="Times New Roman" w:hAnsi="Times New Roman" w:cs="Times New Roman"/>
          <w:bCs/>
          <w:lang w:val="en-GB"/>
        </w:rPr>
        <w:t>Table A</w:t>
      </w:r>
      <w:r w:rsidR="009E7DBA" w:rsidRPr="008017F0">
        <w:rPr>
          <w:rFonts w:ascii="Times New Roman" w:hAnsi="Times New Roman" w:cs="Times New Roman"/>
          <w:bCs/>
          <w:lang w:val="en-GB"/>
        </w:rPr>
        <w:t>9</w:t>
      </w:r>
      <w:r w:rsidRPr="008017F0">
        <w:rPr>
          <w:rFonts w:ascii="Times New Roman" w:hAnsi="Times New Roman" w:cs="Times New Roman"/>
          <w:bCs/>
          <w:lang w:val="en-GB"/>
        </w:rPr>
        <w:t xml:space="preserve">. Cross-section dependence and stationarity properties </w:t>
      </w:r>
    </w:p>
    <w:tbl>
      <w:tblPr>
        <w:tblW w:w="9438" w:type="dxa"/>
        <w:tblLayout w:type="fixed"/>
        <w:tblCellMar>
          <w:left w:w="70" w:type="dxa"/>
          <w:right w:w="70" w:type="dxa"/>
        </w:tblCellMar>
        <w:tblLook w:val="04A0" w:firstRow="1" w:lastRow="0" w:firstColumn="1" w:lastColumn="0" w:noHBand="0" w:noVBand="1"/>
      </w:tblPr>
      <w:tblGrid>
        <w:gridCol w:w="4536"/>
        <w:gridCol w:w="1171"/>
        <w:gridCol w:w="1379"/>
        <w:gridCol w:w="720"/>
        <w:gridCol w:w="452"/>
        <w:gridCol w:w="1180"/>
      </w:tblGrid>
      <w:tr w:rsidR="00866699" w:rsidRPr="008017F0" w14:paraId="0B2744E0" w14:textId="77777777" w:rsidTr="008C3712">
        <w:trPr>
          <w:gridAfter w:val="2"/>
          <w:wAfter w:w="1632" w:type="dxa"/>
          <w:trHeight w:val="227"/>
        </w:trPr>
        <w:tc>
          <w:tcPr>
            <w:tcW w:w="7806" w:type="dxa"/>
            <w:gridSpan w:val="4"/>
            <w:tcBorders>
              <w:top w:val="nil"/>
              <w:left w:val="nil"/>
              <w:bottom w:val="nil"/>
            </w:tcBorders>
            <w:noWrap/>
            <w:vAlign w:val="bottom"/>
          </w:tcPr>
          <w:p w14:paraId="1014DB21" w14:textId="77777777" w:rsidR="00866699" w:rsidRPr="008017F0" w:rsidRDefault="00866699" w:rsidP="008C3712">
            <w:pPr>
              <w:spacing w:after="0" w:line="240" w:lineRule="auto"/>
              <w:jc w:val="center"/>
              <w:rPr>
                <w:rFonts w:ascii="Times New Roman" w:hAnsi="Times New Roman" w:cs="Times New Roman"/>
                <w:bCs/>
                <w:sz w:val="18"/>
                <w:szCs w:val="18"/>
                <w:lang w:val="en-GB"/>
              </w:rPr>
            </w:pPr>
            <w:r w:rsidRPr="008017F0">
              <w:rPr>
                <w:rFonts w:ascii="Times New Roman" w:hAnsi="Times New Roman" w:cs="Times New Roman"/>
                <w:bCs/>
                <w:sz w:val="18"/>
                <w:szCs w:val="18"/>
                <w:lang w:val="en-GB"/>
              </w:rPr>
              <w:t>Panel A). Variables used in the construction of the public spending productivity index</w:t>
            </w:r>
          </w:p>
        </w:tc>
      </w:tr>
      <w:tr w:rsidR="00866699" w:rsidRPr="008017F0" w14:paraId="1F6A42AA" w14:textId="77777777" w:rsidTr="008C3712">
        <w:trPr>
          <w:trHeight w:val="227"/>
        </w:trPr>
        <w:tc>
          <w:tcPr>
            <w:tcW w:w="4536" w:type="dxa"/>
            <w:tcBorders>
              <w:top w:val="single" w:sz="4" w:space="0" w:color="auto"/>
              <w:left w:val="single" w:sz="4" w:space="0" w:color="auto"/>
              <w:bottom w:val="single" w:sz="4" w:space="0" w:color="auto"/>
              <w:right w:val="single" w:sz="4" w:space="0" w:color="auto"/>
            </w:tcBorders>
            <w:noWrap/>
            <w:vAlign w:val="bottom"/>
          </w:tcPr>
          <w:p w14:paraId="7C8A0E94" w14:textId="77777777" w:rsidR="00866699" w:rsidRPr="008017F0" w:rsidRDefault="00866699" w:rsidP="008C3712">
            <w:pPr>
              <w:spacing w:after="0" w:line="240" w:lineRule="auto"/>
              <w:jc w:val="center"/>
              <w:rPr>
                <w:rFonts w:ascii="Times New Roman" w:hAnsi="Times New Roman" w:cs="Times New Roman"/>
                <w:b/>
                <w:bCs/>
                <w:sz w:val="18"/>
                <w:szCs w:val="18"/>
                <w:lang w:val="en-GB"/>
              </w:rPr>
            </w:pPr>
            <w:r w:rsidRPr="008017F0">
              <w:rPr>
                <w:rFonts w:ascii="Times New Roman" w:hAnsi="Times New Roman" w:cs="Times New Roman"/>
                <w:b/>
                <w:bCs/>
                <w:sz w:val="18"/>
                <w:szCs w:val="18"/>
                <w:lang w:val="en-GB"/>
              </w:rPr>
              <w:t>Variable</w:t>
            </w:r>
          </w:p>
        </w:tc>
        <w:tc>
          <w:tcPr>
            <w:tcW w:w="2550" w:type="dxa"/>
            <w:gridSpan w:val="2"/>
            <w:tcBorders>
              <w:top w:val="single" w:sz="4" w:space="0" w:color="auto"/>
              <w:left w:val="single" w:sz="4" w:space="0" w:color="auto"/>
              <w:bottom w:val="single" w:sz="4" w:space="0" w:color="auto"/>
              <w:right w:val="single" w:sz="4" w:space="0" w:color="auto"/>
            </w:tcBorders>
            <w:noWrap/>
            <w:vAlign w:val="bottom"/>
          </w:tcPr>
          <w:p w14:paraId="575E2F5D" w14:textId="77777777" w:rsidR="00866699" w:rsidRPr="008017F0" w:rsidRDefault="00866699" w:rsidP="008C3712">
            <w:pPr>
              <w:spacing w:after="0" w:line="240" w:lineRule="auto"/>
              <w:ind w:right="-77"/>
              <w:jc w:val="center"/>
              <w:rPr>
                <w:rFonts w:ascii="Times New Roman" w:hAnsi="Times New Roman" w:cs="Times New Roman"/>
                <w:b/>
                <w:bCs/>
                <w:sz w:val="18"/>
                <w:szCs w:val="18"/>
                <w:lang w:val="en-GB"/>
              </w:rPr>
            </w:pPr>
            <w:r w:rsidRPr="008017F0">
              <w:rPr>
                <w:rFonts w:ascii="Times New Roman" w:hAnsi="Times New Roman" w:cs="Times New Roman"/>
                <w:b/>
                <w:bCs/>
                <w:sz w:val="18"/>
                <w:szCs w:val="18"/>
                <w:lang w:val="en-GB"/>
              </w:rPr>
              <w:t>Cross-section dependence test</w:t>
            </w:r>
          </w:p>
        </w:tc>
        <w:tc>
          <w:tcPr>
            <w:tcW w:w="2352" w:type="dxa"/>
            <w:gridSpan w:val="3"/>
            <w:tcBorders>
              <w:top w:val="single" w:sz="4" w:space="0" w:color="auto"/>
              <w:left w:val="single" w:sz="4" w:space="0" w:color="auto"/>
              <w:bottom w:val="single" w:sz="4" w:space="0" w:color="auto"/>
              <w:right w:val="single" w:sz="4" w:space="0" w:color="auto"/>
            </w:tcBorders>
            <w:vAlign w:val="bottom"/>
          </w:tcPr>
          <w:p w14:paraId="534BD654" w14:textId="77777777" w:rsidR="00866699" w:rsidRPr="008017F0" w:rsidRDefault="00866699" w:rsidP="008C3712">
            <w:pPr>
              <w:spacing w:after="0" w:line="240" w:lineRule="auto"/>
              <w:ind w:right="-275"/>
              <w:jc w:val="center"/>
              <w:rPr>
                <w:rFonts w:ascii="Times New Roman" w:hAnsi="Times New Roman" w:cs="Times New Roman"/>
                <w:b/>
                <w:bCs/>
                <w:sz w:val="18"/>
                <w:szCs w:val="18"/>
                <w:lang w:val="en-GB"/>
              </w:rPr>
            </w:pPr>
            <w:r w:rsidRPr="008017F0">
              <w:rPr>
                <w:rFonts w:ascii="Times New Roman" w:hAnsi="Times New Roman" w:cs="Times New Roman"/>
                <w:b/>
                <w:bCs/>
                <w:sz w:val="18"/>
                <w:szCs w:val="18"/>
                <w:lang w:val="en-GB"/>
              </w:rPr>
              <w:t>Panel unit root test</w:t>
            </w:r>
          </w:p>
        </w:tc>
      </w:tr>
      <w:tr w:rsidR="00866699" w:rsidRPr="008017F0" w14:paraId="556052E1" w14:textId="77777777" w:rsidTr="008C3712">
        <w:trPr>
          <w:trHeight w:val="227"/>
        </w:trPr>
        <w:tc>
          <w:tcPr>
            <w:tcW w:w="4536" w:type="dxa"/>
            <w:tcBorders>
              <w:top w:val="single" w:sz="4" w:space="0" w:color="auto"/>
              <w:left w:val="single" w:sz="4" w:space="0" w:color="auto"/>
              <w:bottom w:val="nil"/>
              <w:right w:val="single" w:sz="4" w:space="0" w:color="auto"/>
            </w:tcBorders>
            <w:noWrap/>
            <w:vAlign w:val="bottom"/>
          </w:tcPr>
          <w:p w14:paraId="4A8C27AF" w14:textId="77777777" w:rsidR="00866699" w:rsidRPr="008017F0" w:rsidRDefault="00866699" w:rsidP="008C3712">
            <w:pPr>
              <w:spacing w:after="0" w:line="240" w:lineRule="auto"/>
              <w:jc w:val="center"/>
              <w:rPr>
                <w:rFonts w:ascii="Times New Roman" w:hAnsi="Times New Roman" w:cs="Times New Roman"/>
                <w:sz w:val="18"/>
                <w:szCs w:val="18"/>
                <w:lang w:val="en-GB"/>
              </w:rPr>
            </w:pPr>
          </w:p>
        </w:tc>
        <w:tc>
          <w:tcPr>
            <w:tcW w:w="1171" w:type="dxa"/>
            <w:tcBorders>
              <w:top w:val="single" w:sz="4" w:space="0" w:color="auto"/>
              <w:left w:val="single" w:sz="4" w:space="0" w:color="auto"/>
              <w:bottom w:val="nil"/>
              <w:right w:val="nil"/>
            </w:tcBorders>
            <w:noWrap/>
            <w:vAlign w:val="bottom"/>
          </w:tcPr>
          <w:p w14:paraId="7DDB39B0" w14:textId="77777777" w:rsidR="00866699" w:rsidRPr="008017F0" w:rsidRDefault="00866699" w:rsidP="008C3712">
            <w:pPr>
              <w:spacing w:after="0" w:line="240" w:lineRule="auto"/>
              <w:ind w:right="-275"/>
              <w:jc w:val="right"/>
              <w:rPr>
                <w:rFonts w:ascii="Times New Roman" w:hAnsi="Times New Roman" w:cs="Times New Roman"/>
                <w:sz w:val="18"/>
                <w:szCs w:val="18"/>
                <w:lang w:val="en-GB"/>
              </w:rPr>
            </w:pPr>
          </w:p>
        </w:tc>
        <w:tc>
          <w:tcPr>
            <w:tcW w:w="1379" w:type="dxa"/>
            <w:tcBorders>
              <w:top w:val="single" w:sz="4" w:space="0" w:color="auto"/>
              <w:left w:val="nil"/>
              <w:bottom w:val="nil"/>
              <w:right w:val="single" w:sz="4" w:space="0" w:color="auto"/>
            </w:tcBorders>
            <w:noWrap/>
            <w:vAlign w:val="bottom"/>
          </w:tcPr>
          <w:p w14:paraId="5E412253" w14:textId="77777777" w:rsidR="00866699" w:rsidRPr="008017F0" w:rsidRDefault="00866699" w:rsidP="008C3712">
            <w:pPr>
              <w:spacing w:after="0" w:line="240" w:lineRule="auto"/>
              <w:ind w:right="-275"/>
              <w:rPr>
                <w:rFonts w:ascii="Times New Roman" w:hAnsi="Times New Roman" w:cs="Times New Roman"/>
                <w:sz w:val="18"/>
                <w:szCs w:val="18"/>
                <w:lang w:val="en-GB"/>
              </w:rPr>
            </w:pPr>
          </w:p>
        </w:tc>
        <w:tc>
          <w:tcPr>
            <w:tcW w:w="1172" w:type="dxa"/>
            <w:gridSpan w:val="2"/>
            <w:tcBorders>
              <w:top w:val="single" w:sz="4" w:space="0" w:color="auto"/>
              <w:left w:val="single" w:sz="4" w:space="0" w:color="auto"/>
            </w:tcBorders>
            <w:vAlign w:val="bottom"/>
          </w:tcPr>
          <w:p w14:paraId="03CEC111" w14:textId="77777777" w:rsidR="00866699" w:rsidRPr="008017F0" w:rsidRDefault="00866699" w:rsidP="008C3712">
            <w:pPr>
              <w:spacing w:after="0" w:line="240" w:lineRule="auto"/>
              <w:ind w:right="-275"/>
              <w:jc w:val="right"/>
              <w:rPr>
                <w:rFonts w:ascii="Times New Roman" w:hAnsi="Times New Roman" w:cs="Times New Roman"/>
                <w:sz w:val="18"/>
                <w:szCs w:val="18"/>
                <w:lang w:val="en-GB"/>
              </w:rPr>
            </w:pPr>
          </w:p>
        </w:tc>
        <w:tc>
          <w:tcPr>
            <w:tcW w:w="1180" w:type="dxa"/>
            <w:tcBorders>
              <w:top w:val="single" w:sz="4" w:space="0" w:color="auto"/>
              <w:right w:val="single" w:sz="4" w:space="0" w:color="auto"/>
            </w:tcBorders>
            <w:vAlign w:val="bottom"/>
          </w:tcPr>
          <w:p w14:paraId="2DD166C5" w14:textId="77777777" w:rsidR="00866699" w:rsidRPr="008017F0" w:rsidRDefault="00866699" w:rsidP="008C3712">
            <w:pPr>
              <w:spacing w:after="0" w:line="240" w:lineRule="auto"/>
              <w:ind w:right="-275"/>
              <w:jc w:val="both"/>
              <w:rPr>
                <w:rFonts w:ascii="Times New Roman" w:hAnsi="Times New Roman" w:cs="Times New Roman"/>
                <w:sz w:val="18"/>
                <w:szCs w:val="18"/>
                <w:lang w:val="en-GB"/>
              </w:rPr>
            </w:pPr>
          </w:p>
        </w:tc>
      </w:tr>
      <w:tr w:rsidR="00866699" w:rsidRPr="008017F0" w14:paraId="62C4D0ED"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6B586E3B"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total</w:t>
            </w:r>
          </w:p>
        </w:tc>
        <w:tc>
          <w:tcPr>
            <w:tcW w:w="1171" w:type="dxa"/>
            <w:tcBorders>
              <w:top w:val="nil"/>
              <w:left w:val="single" w:sz="4" w:space="0" w:color="auto"/>
              <w:bottom w:val="nil"/>
              <w:right w:val="nil"/>
            </w:tcBorders>
            <w:noWrap/>
            <w:vAlign w:val="bottom"/>
            <w:hideMark/>
          </w:tcPr>
          <w:p w14:paraId="3A89CE3C"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51.099</w:t>
            </w:r>
          </w:p>
        </w:tc>
        <w:tc>
          <w:tcPr>
            <w:tcW w:w="1379" w:type="dxa"/>
            <w:tcBorders>
              <w:top w:val="nil"/>
              <w:left w:val="nil"/>
              <w:bottom w:val="nil"/>
              <w:right w:val="single" w:sz="4" w:space="0" w:color="auto"/>
            </w:tcBorders>
            <w:noWrap/>
            <w:vAlign w:val="bottom"/>
            <w:hideMark/>
          </w:tcPr>
          <w:p w14:paraId="53B9B6ED"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16AB87DA"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-2.143</w:t>
            </w:r>
          </w:p>
        </w:tc>
        <w:tc>
          <w:tcPr>
            <w:tcW w:w="1180" w:type="dxa"/>
            <w:tcBorders>
              <w:right w:val="single" w:sz="4" w:space="0" w:color="auto"/>
            </w:tcBorders>
            <w:vAlign w:val="bottom"/>
          </w:tcPr>
          <w:p w14:paraId="4D87834C"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2898F038"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338FF787"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total (c)</w:t>
            </w:r>
          </w:p>
        </w:tc>
        <w:tc>
          <w:tcPr>
            <w:tcW w:w="1171" w:type="dxa"/>
            <w:tcBorders>
              <w:top w:val="nil"/>
              <w:left w:val="single" w:sz="4" w:space="0" w:color="auto"/>
              <w:bottom w:val="nil"/>
              <w:right w:val="nil"/>
            </w:tcBorders>
            <w:noWrap/>
            <w:vAlign w:val="bottom"/>
            <w:hideMark/>
          </w:tcPr>
          <w:p w14:paraId="3517D14E"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32.425</w:t>
            </w:r>
          </w:p>
        </w:tc>
        <w:tc>
          <w:tcPr>
            <w:tcW w:w="1379" w:type="dxa"/>
            <w:tcBorders>
              <w:top w:val="nil"/>
              <w:left w:val="nil"/>
              <w:bottom w:val="nil"/>
              <w:right w:val="single" w:sz="4" w:space="0" w:color="auto"/>
            </w:tcBorders>
            <w:noWrap/>
            <w:vAlign w:val="bottom"/>
            <w:hideMark/>
          </w:tcPr>
          <w:p w14:paraId="6DC58050"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4CD87B3E"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-1.645</w:t>
            </w:r>
          </w:p>
        </w:tc>
        <w:tc>
          <w:tcPr>
            <w:tcW w:w="1180" w:type="dxa"/>
            <w:tcBorders>
              <w:right w:val="single" w:sz="4" w:space="0" w:color="auto"/>
            </w:tcBorders>
            <w:vAlign w:val="bottom"/>
          </w:tcPr>
          <w:p w14:paraId="27FCCEDE"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1101198B"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0E445875"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core</w:t>
            </w:r>
          </w:p>
        </w:tc>
        <w:tc>
          <w:tcPr>
            <w:tcW w:w="1171" w:type="dxa"/>
            <w:tcBorders>
              <w:top w:val="nil"/>
              <w:left w:val="single" w:sz="4" w:space="0" w:color="auto"/>
              <w:bottom w:val="nil"/>
              <w:right w:val="nil"/>
            </w:tcBorders>
            <w:noWrap/>
            <w:vAlign w:val="bottom"/>
            <w:hideMark/>
          </w:tcPr>
          <w:p w14:paraId="6F02383F"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60.35</w:t>
            </w:r>
          </w:p>
        </w:tc>
        <w:tc>
          <w:tcPr>
            <w:tcW w:w="1379" w:type="dxa"/>
            <w:tcBorders>
              <w:top w:val="nil"/>
              <w:left w:val="nil"/>
              <w:bottom w:val="nil"/>
              <w:right w:val="single" w:sz="4" w:space="0" w:color="auto"/>
            </w:tcBorders>
            <w:noWrap/>
            <w:vAlign w:val="bottom"/>
            <w:hideMark/>
          </w:tcPr>
          <w:p w14:paraId="4334CE7C"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5BE23FCA"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-2.080</w:t>
            </w:r>
          </w:p>
        </w:tc>
        <w:tc>
          <w:tcPr>
            <w:tcW w:w="1180" w:type="dxa"/>
            <w:tcBorders>
              <w:right w:val="single" w:sz="4" w:space="0" w:color="auto"/>
            </w:tcBorders>
            <w:vAlign w:val="bottom"/>
          </w:tcPr>
          <w:p w14:paraId="11B612EF"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1C01E537"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723D9E3E"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core</w:t>
            </w:r>
          </w:p>
        </w:tc>
        <w:tc>
          <w:tcPr>
            <w:tcW w:w="1171" w:type="dxa"/>
            <w:tcBorders>
              <w:top w:val="nil"/>
              <w:left w:val="single" w:sz="4" w:space="0" w:color="auto"/>
              <w:bottom w:val="nil"/>
              <w:right w:val="nil"/>
            </w:tcBorders>
            <w:noWrap/>
            <w:vAlign w:val="bottom"/>
            <w:hideMark/>
          </w:tcPr>
          <w:p w14:paraId="40ECABEE"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7.568</w:t>
            </w:r>
          </w:p>
        </w:tc>
        <w:tc>
          <w:tcPr>
            <w:tcW w:w="1379" w:type="dxa"/>
            <w:tcBorders>
              <w:top w:val="nil"/>
              <w:left w:val="nil"/>
              <w:bottom w:val="nil"/>
              <w:right w:val="single" w:sz="4" w:space="0" w:color="auto"/>
            </w:tcBorders>
            <w:noWrap/>
            <w:vAlign w:val="bottom"/>
            <w:hideMark/>
          </w:tcPr>
          <w:p w14:paraId="528CA998"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795307C7"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-1.003</w:t>
            </w:r>
          </w:p>
        </w:tc>
        <w:tc>
          <w:tcPr>
            <w:tcW w:w="1180" w:type="dxa"/>
            <w:tcBorders>
              <w:right w:val="single" w:sz="4" w:space="0" w:color="auto"/>
            </w:tcBorders>
            <w:vAlign w:val="bottom"/>
          </w:tcPr>
          <w:p w14:paraId="015E5C27"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22508F8F"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0FC3266F"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noncore</w:t>
            </w:r>
          </w:p>
        </w:tc>
        <w:tc>
          <w:tcPr>
            <w:tcW w:w="1171" w:type="dxa"/>
            <w:tcBorders>
              <w:top w:val="nil"/>
              <w:left w:val="single" w:sz="4" w:space="0" w:color="auto"/>
              <w:bottom w:val="nil"/>
              <w:right w:val="nil"/>
            </w:tcBorders>
            <w:noWrap/>
            <w:vAlign w:val="bottom"/>
            <w:hideMark/>
          </w:tcPr>
          <w:p w14:paraId="4CA618D3"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29.407</w:t>
            </w:r>
          </w:p>
        </w:tc>
        <w:tc>
          <w:tcPr>
            <w:tcW w:w="1379" w:type="dxa"/>
            <w:tcBorders>
              <w:top w:val="nil"/>
              <w:left w:val="nil"/>
              <w:bottom w:val="nil"/>
              <w:right w:val="single" w:sz="4" w:space="0" w:color="auto"/>
            </w:tcBorders>
            <w:noWrap/>
            <w:vAlign w:val="bottom"/>
            <w:hideMark/>
          </w:tcPr>
          <w:p w14:paraId="1B132418"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485C68D0"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-1.837</w:t>
            </w:r>
          </w:p>
        </w:tc>
        <w:tc>
          <w:tcPr>
            <w:tcW w:w="1180" w:type="dxa"/>
            <w:tcBorders>
              <w:right w:val="single" w:sz="4" w:space="0" w:color="auto"/>
            </w:tcBorders>
            <w:vAlign w:val="bottom"/>
          </w:tcPr>
          <w:p w14:paraId="1C2DC0F7"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526AAE9E"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07A033E6"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w:t>
            </w:r>
            <w:proofErr w:type="spellStart"/>
            <w:r w:rsidRPr="008017F0">
              <w:rPr>
                <w:rFonts w:cstheme="minorHAnsi"/>
                <w:sz w:val="18"/>
                <w:szCs w:val="18"/>
                <w:lang w:val="en-GB"/>
              </w:rPr>
              <w:t>nconore</w:t>
            </w:r>
            <w:proofErr w:type="spellEnd"/>
            <w:r w:rsidRPr="008017F0">
              <w:rPr>
                <w:rFonts w:cstheme="minorHAnsi"/>
                <w:sz w:val="18"/>
                <w:szCs w:val="18"/>
                <w:lang w:val="en-GB"/>
              </w:rPr>
              <w:t xml:space="preserve"> (c)</w:t>
            </w:r>
          </w:p>
        </w:tc>
        <w:tc>
          <w:tcPr>
            <w:tcW w:w="1171" w:type="dxa"/>
            <w:tcBorders>
              <w:top w:val="nil"/>
              <w:left w:val="single" w:sz="4" w:space="0" w:color="auto"/>
              <w:bottom w:val="nil"/>
              <w:right w:val="nil"/>
            </w:tcBorders>
            <w:noWrap/>
            <w:vAlign w:val="bottom"/>
            <w:hideMark/>
          </w:tcPr>
          <w:p w14:paraId="27F3B4F4"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74.813</w:t>
            </w:r>
          </w:p>
        </w:tc>
        <w:tc>
          <w:tcPr>
            <w:tcW w:w="1379" w:type="dxa"/>
            <w:tcBorders>
              <w:top w:val="nil"/>
              <w:left w:val="nil"/>
              <w:bottom w:val="nil"/>
              <w:right w:val="single" w:sz="4" w:space="0" w:color="auto"/>
            </w:tcBorders>
            <w:noWrap/>
            <w:vAlign w:val="bottom"/>
            <w:hideMark/>
          </w:tcPr>
          <w:p w14:paraId="4B71C989"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674D5EE4"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-2.699</w:t>
            </w:r>
          </w:p>
        </w:tc>
        <w:tc>
          <w:tcPr>
            <w:tcW w:w="1180" w:type="dxa"/>
            <w:tcBorders>
              <w:right w:val="single" w:sz="4" w:space="0" w:color="auto"/>
            </w:tcBorders>
            <w:vAlign w:val="bottom"/>
          </w:tcPr>
          <w:p w14:paraId="1E3E2DAB"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7727775B"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61B9D7C3"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roads</w:t>
            </w:r>
          </w:p>
        </w:tc>
        <w:tc>
          <w:tcPr>
            <w:tcW w:w="1171" w:type="dxa"/>
            <w:tcBorders>
              <w:top w:val="nil"/>
              <w:left w:val="single" w:sz="4" w:space="0" w:color="auto"/>
              <w:bottom w:val="nil"/>
              <w:right w:val="nil"/>
            </w:tcBorders>
            <w:noWrap/>
            <w:vAlign w:val="bottom"/>
            <w:hideMark/>
          </w:tcPr>
          <w:p w14:paraId="3197310D"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61.16</w:t>
            </w:r>
          </w:p>
        </w:tc>
        <w:tc>
          <w:tcPr>
            <w:tcW w:w="1379" w:type="dxa"/>
            <w:tcBorders>
              <w:top w:val="nil"/>
              <w:left w:val="nil"/>
              <w:bottom w:val="nil"/>
              <w:right w:val="single" w:sz="4" w:space="0" w:color="auto"/>
            </w:tcBorders>
            <w:noWrap/>
            <w:vAlign w:val="bottom"/>
            <w:hideMark/>
          </w:tcPr>
          <w:p w14:paraId="10419811"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3F737D92"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-1.969</w:t>
            </w:r>
          </w:p>
        </w:tc>
        <w:tc>
          <w:tcPr>
            <w:tcW w:w="1180" w:type="dxa"/>
            <w:tcBorders>
              <w:right w:val="single" w:sz="4" w:space="0" w:color="auto"/>
            </w:tcBorders>
            <w:vAlign w:val="bottom"/>
          </w:tcPr>
          <w:p w14:paraId="4CA5291F"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1FFB8DB9"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401AC9E1"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roads (c)</w:t>
            </w:r>
          </w:p>
        </w:tc>
        <w:tc>
          <w:tcPr>
            <w:tcW w:w="1171" w:type="dxa"/>
            <w:tcBorders>
              <w:top w:val="nil"/>
              <w:left w:val="single" w:sz="4" w:space="0" w:color="auto"/>
              <w:bottom w:val="nil"/>
              <w:right w:val="nil"/>
            </w:tcBorders>
            <w:noWrap/>
            <w:vAlign w:val="bottom"/>
            <w:hideMark/>
          </w:tcPr>
          <w:p w14:paraId="5EBFA543"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8.713</w:t>
            </w:r>
          </w:p>
        </w:tc>
        <w:tc>
          <w:tcPr>
            <w:tcW w:w="1379" w:type="dxa"/>
            <w:tcBorders>
              <w:top w:val="nil"/>
              <w:left w:val="nil"/>
              <w:bottom w:val="nil"/>
              <w:right w:val="single" w:sz="4" w:space="0" w:color="auto"/>
            </w:tcBorders>
            <w:noWrap/>
            <w:vAlign w:val="bottom"/>
            <w:hideMark/>
          </w:tcPr>
          <w:p w14:paraId="7933E416"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56C21DA5"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-0.174</w:t>
            </w:r>
          </w:p>
        </w:tc>
        <w:tc>
          <w:tcPr>
            <w:tcW w:w="1180" w:type="dxa"/>
            <w:tcBorders>
              <w:right w:val="single" w:sz="4" w:space="0" w:color="auto"/>
            </w:tcBorders>
            <w:vAlign w:val="bottom"/>
          </w:tcPr>
          <w:p w14:paraId="6FF8344E"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191E27E2"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1078AF94"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rails</w:t>
            </w:r>
          </w:p>
        </w:tc>
        <w:tc>
          <w:tcPr>
            <w:tcW w:w="1171" w:type="dxa"/>
            <w:tcBorders>
              <w:top w:val="nil"/>
              <w:left w:val="single" w:sz="4" w:space="0" w:color="auto"/>
              <w:bottom w:val="nil"/>
              <w:right w:val="nil"/>
            </w:tcBorders>
            <w:noWrap/>
            <w:vAlign w:val="bottom"/>
            <w:hideMark/>
          </w:tcPr>
          <w:p w14:paraId="00F46B2E"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21.702</w:t>
            </w:r>
          </w:p>
        </w:tc>
        <w:tc>
          <w:tcPr>
            <w:tcW w:w="1379" w:type="dxa"/>
            <w:tcBorders>
              <w:top w:val="nil"/>
              <w:left w:val="nil"/>
              <w:bottom w:val="nil"/>
              <w:right w:val="single" w:sz="4" w:space="0" w:color="auto"/>
            </w:tcBorders>
            <w:noWrap/>
            <w:vAlign w:val="bottom"/>
            <w:hideMark/>
          </w:tcPr>
          <w:p w14:paraId="3BC06FD8"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608F8AC8"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-1.764</w:t>
            </w:r>
          </w:p>
        </w:tc>
        <w:tc>
          <w:tcPr>
            <w:tcW w:w="1180" w:type="dxa"/>
            <w:tcBorders>
              <w:right w:val="single" w:sz="4" w:space="0" w:color="auto"/>
            </w:tcBorders>
            <w:vAlign w:val="bottom"/>
          </w:tcPr>
          <w:p w14:paraId="7DCC13BD"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2DD3C68E"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34ECC412"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rails (c)</w:t>
            </w:r>
          </w:p>
        </w:tc>
        <w:tc>
          <w:tcPr>
            <w:tcW w:w="1171" w:type="dxa"/>
            <w:tcBorders>
              <w:top w:val="nil"/>
              <w:left w:val="single" w:sz="4" w:space="0" w:color="auto"/>
              <w:bottom w:val="nil"/>
              <w:right w:val="nil"/>
            </w:tcBorders>
            <w:noWrap/>
            <w:vAlign w:val="bottom"/>
            <w:hideMark/>
          </w:tcPr>
          <w:p w14:paraId="7A2ABE80"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7.685</w:t>
            </w:r>
          </w:p>
        </w:tc>
        <w:tc>
          <w:tcPr>
            <w:tcW w:w="1379" w:type="dxa"/>
            <w:tcBorders>
              <w:top w:val="nil"/>
              <w:left w:val="nil"/>
              <w:bottom w:val="nil"/>
              <w:right w:val="single" w:sz="4" w:space="0" w:color="auto"/>
            </w:tcBorders>
            <w:noWrap/>
            <w:vAlign w:val="bottom"/>
            <w:hideMark/>
          </w:tcPr>
          <w:p w14:paraId="54DB3E24"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79EBDED7"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-1.522</w:t>
            </w:r>
          </w:p>
        </w:tc>
        <w:tc>
          <w:tcPr>
            <w:tcW w:w="1180" w:type="dxa"/>
            <w:tcBorders>
              <w:right w:val="single" w:sz="4" w:space="0" w:color="auto"/>
            </w:tcBorders>
            <w:vAlign w:val="bottom"/>
          </w:tcPr>
          <w:p w14:paraId="68D0D04B"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61B97A44"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30751259"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buildings</w:t>
            </w:r>
          </w:p>
        </w:tc>
        <w:tc>
          <w:tcPr>
            <w:tcW w:w="1171" w:type="dxa"/>
            <w:tcBorders>
              <w:top w:val="nil"/>
              <w:left w:val="single" w:sz="4" w:space="0" w:color="auto"/>
              <w:bottom w:val="nil"/>
              <w:right w:val="nil"/>
            </w:tcBorders>
            <w:noWrap/>
            <w:vAlign w:val="bottom"/>
            <w:hideMark/>
          </w:tcPr>
          <w:p w14:paraId="164DB53B"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51.253</w:t>
            </w:r>
          </w:p>
        </w:tc>
        <w:tc>
          <w:tcPr>
            <w:tcW w:w="1379" w:type="dxa"/>
            <w:tcBorders>
              <w:top w:val="nil"/>
              <w:left w:val="nil"/>
              <w:bottom w:val="nil"/>
              <w:right w:val="single" w:sz="4" w:space="0" w:color="auto"/>
            </w:tcBorders>
            <w:noWrap/>
            <w:vAlign w:val="bottom"/>
            <w:hideMark/>
          </w:tcPr>
          <w:p w14:paraId="3E2E4431"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0FFAE8A4"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-2.235</w:t>
            </w:r>
          </w:p>
        </w:tc>
        <w:tc>
          <w:tcPr>
            <w:tcW w:w="1180" w:type="dxa"/>
            <w:tcBorders>
              <w:right w:val="single" w:sz="4" w:space="0" w:color="auto"/>
            </w:tcBorders>
            <w:vAlign w:val="bottom"/>
          </w:tcPr>
          <w:p w14:paraId="27BB9114"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2D22585A"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23945FEA"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buildings (c)</w:t>
            </w:r>
          </w:p>
        </w:tc>
        <w:tc>
          <w:tcPr>
            <w:tcW w:w="1171" w:type="dxa"/>
            <w:tcBorders>
              <w:top w:val="nil"/>
              <w:left w:val="single" w:sz="4" w:space="0" w:color="auto"/>
              <w:bottom w:val="nil"/>
              <w:right w:val="nil"/>
            </w:tcBorders>
            <w:noWrap/>
            <w:vAlign w:val="bottom"/>
            <w:hideMark/>
          </w:tcPr>
          <w:p w14:paraId="0E306C5A"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73.614</w:t>
            </w:r>
          </w:p>
        </w:tc>
        <w:tc>
          <w:tcPr>
            <w:tcW w:w="1379" w:type="dxa"/>
            <w:tcBorders>
              <w:top w:val="nil"/>
              <w:left w:val="nil"/>
              <w:bottom w:val="nil"/>
              <w:right w:val="single" w:sz="4" w:space="0" w:color="auto"/>
            </w:tcBorders>
            <w:noWrap/>
            <w:vAlign w:val="bottom"/>
            <w:hideMark/>
          </w:tcPr>
          <w:p w14:paraId="72B97216"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4F5ABB70"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-3.507</w:t>
            </w:r>
          </w:p>
        </w:tc>
        <w:tc>
          <w:tcPr>
            <w:tcW w:w="1180" w:type="dxa"/>
            <w:tcBorders>
              <w:right w:val="single" w:sz="4" w:space="0" w:color="auto"/>
            </w:tcBorders>
            <w:vAlign w:val="bottom"/>
          </w:tcPr>
          <w:p w14:paraId="66D5A4DB"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39AA0CA4"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19A432AA"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health</w:t>
            </w:r>
          </w:p>
        </w:tc>
        <w:tc>
          <w:tcPr>
            <w:tcW w:w="1171" w:type="dxa"/>
            <w:tcBorders>
              <w:top w:val="nil"/>
              <w:left w:val="single" w:sz="4" w:space="0" w:color="auto"/>
              <w:bottom w:val="nil"/>
              <w:right w:val="nil"/>
            </w:tcBorders>
            <w:noWrap/>
            <w:vAlign w:val="bottom"/>
            <w:hideMark/>
          </w:tcPr>
          <w:p w14:paraId="4B385F8D"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69.174</w:t>
            </w:r>
          </w:p>
        </w:tc>
        <w:tc>
          <w:tcPr>
            <w:tcW w:w="1379" w:type="dxa"/>
            <w:tcBorders>
              <w:top w:val="nil"/>
              <w:left w:val="nil"/>
              <w:bottom w:val="nil"/>
              <w:right w:val="single" w:sz="4" w:space="0" w:color="auto"/>
            </w:tcBorders>
            <w:noWrap/>
            <w:vAlign w:val="bottom"/>
            <w:hideMark/>
          </w:tcPr>
          <w:p w14:paraId="4CB67C1D"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0FC440DA"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-1.676</w:t>
            </w:r>
          </w:p>
        </w:tc>
        <w:tc>
          <w:tcPr>
            <w:tcW w:w="1180" w:type="dxa"/>
            <w:tcBorders>
              <w:right w:val="single" w:sz="4" w:space="0" w:color="auto"/>
            </w:tcBorders>
            <w:vAlign w:val="bottom"/>
          </w:tcPr>
          <w:p w14:paraId="76F89647"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713D2403"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4BB3CA51"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health</w:t>
            </w:r>
          </w:p>
        </w:tc>
        <w:tc>
          <w:tcPr>
            <w:tcW w:w="1171" w:type="dxa"/>
            <w:tcBorders>
              <w:top w:val="nil"/>
              <w:left w:val="single" w:sz="4" w:space="0" w:color="auto"/>
              <w:bottom w:val="nil"/>
              <w:right w:val="nil"/>
            </w:tcBorders>
            <w:noWrap/>
            <w:vAlign w:val="bottom"/>
            <w:hideMark/>
          </w:tcPr>
          <w:p w14:paraId="4B655DFE"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21.216</w:t>
            </w:r>
          </w:p>
        </w:tc>
        <w:tc>
          <w:tcPr>
            <w:tcW w:w="1379" w:type="dxa"/>
            <w:tcBorders>
              <w:top w:val="nil"/>
              <w:left w:val="nil"/>
              <w:bottom w:val="nil"/>
              <w:right w:val="single" w:sz="4" w:space="0" w:color="auto"/>
            </w:tcBorders>
            <w:noWrap/>
            <w:vAlign w:val="bottom"/>
            <w:hideMark/>
          </w:tcPr>
          <w:p w14:paraId="0AD3A794"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74D0851F"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-1.859</w:t>
            </w:r>
          </w:p>
        </w:tc>
        <w:tc>
          <w:tcPr>
            <w:tcW w:w="1180" w:type="dxa"/>
            <w:tcBorders>
              <w:right w:val="single" w:sz="4" w:space="0" w:color="auto"/>
            </w:tcBorders>
            <w:vAlign w:val="bottom"/>
          </w:tcPr>
          <w:p w14:paraId="7E8FE47A"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5EB7DB0D"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519B857E"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water</w:t>
            </w:r>
          </w:p>
        </w:tc>
        <w:tc>
          <w:tcPr>
            <w:tcW w:w="1171" w:type="dxa"/>
            <w:tcBorders>
              <w:top w:val="nil"/>
              <w:left w:val="single" w:sz="4" w:space="0" w:color="auto"/>
              <w:bottom w:val="nil"/>
              <w:right w:val="nil"/>
            </w:tcBorders>
            <w:noWrap/>
            <w:vAlign w:val="bottom"/>
            <w:hideMark/>
          </w:tcPr>
          <w:p w14:paraId="565D1D18"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13.888</w:t>
            </w:r>
          </w:p>
        </w:tc>
        <w:tc>
          <w:tcPr>
            <w:tcW w:w="1379" w:type="dxa"/>
            <w:tcBorders>
              <w:top w:val="nil"/>
              <w:left w:val="nil"/>
              <w:bottom w:val="nil"/>
              <w:right w:val="single" w:sz="4" w:space="0" w:color="auto"/>
            </w:tcBorders>
            <w:noWrap/>
            <w:vAlign w:val="bottom"/>
            <w:hideMark/>
          </w:tcPr>
          <w:p w14:paraId="4D321841"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15D95D18"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-1.028</w:t>
            </w:r>
          </w:p>
        </w:tc>
        <w:tc>
          <w:tcPr>
            <w:tcW w:w="1180" w:type="dxa"/>
            <w:tcBorders>
              <w:right w:val="single" w:sz="4" w:space="0" w:color="auto"/>
            </w:tcBorders>
            <w:vAlign w:val="bottom"/>
          </w:tcPr>
          <w:p w14:paraId="4ED50F46"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041EFB96"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4E5B6DC5"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water</w:t>
            </w:r>
          </w:p>
        </w:tc>
        <w:tc>
          <w:tcPr>
            <w:tcW w:w="1171" w:type="dxa"/>
            <w:tcBorders>
              <w:top w:val="nil"/>
              <w:left w:val="single" w:sz="4" w:space="0" w:color="auto"/>
              <w:bottom w:val="nil"/>
              <w:right w:val="nil"/>
            </w:tcBorders>
            <w:noWrap/>
            <w:vAlign w:val="bottom"/>
            <w:hideMark/>
          </w:tcPr>
          <w:p w14:paraId="248EF58F"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11.587</w:t>
            </w:r>
          </w:p>
        </w:tc>
        <w:tc>
          <w:tcPr>
            <w:tcW w:w="1379" w:type="dxa"/>
            <w:tcBorders>
              <w:top w:val="nil"/>
              <w:left w:val="nil"/>
              <w:bottom w:val="nil"/>
              <w:right w:val="single" w:sz="4" w:space="0" w:color="auto"/>
            </w:tcBorders>
            <w:noWrap/>
            <w:vAlign w:val="bottom"/>
            <w:hideMark/>
          </w:tcPr>
          <w:p w14:paraId="1B6F445F"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169EA6B0"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-1.231</w:t>
            </w:r>
          </w:p>
        </w:tc>
        <w:tc>
          <w:tcPr>
            <w:tcW w:w="1180" w:type="dxa"/>
            <w:tcBorders>
              <w:right w:val="single" w:sz="4" w:space="0" w:color="auto"/>
            </w:tcBorders>
            <w:vAlign w:val="bottom"/>
          </w:tcPr>
          <w:p w14:paraId="5F6D6DED"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1532AF43" w14:textId="77777777" w:rsidTr="008C3712">
        <w:trPr>
          <w:trHeight w:val="227"/>
        </w:trPr>
        <w:tc>
          <w:tcPr>
            <w:tcW w:w="4536" w:type="dxa"/>
            <w:tcBorders>
              <w:top w:val="nil"/>
              <w:left w:val="single" w:sz="4" w:space="0" w:color="auto"/>
              <w:bottom w:val="nil"/>
              <w:right w:val="single" w:sz="4" w:space="0" w:color="auto"/>
            </w:tcBorders>
            <w:noWrap/>
            <w:vAlign w:val="bottom"/>
            <w:hideMark/>
          </w:tcPr>
          <w:p w14:paraId="33A65ED8"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f_index</w:t>
            </w:r>
            <w:proofErr w:type="spellEnd"/>
            <w:r w:rsidRPr="008017F0">
              <w:rPr>
                <w:rFonts w:cstheme="minorHAnsi"/>
                <w:sz w:val="18"/>
                <w:szCs w:val="18"/>
                <w:lang w:val="en-GB"/>
              </w:rPr>
              <w:t xml:space="preserve"> others</w:t>
            </w:r>
          </w:p>
        </w:tc>
        <w:tc>
          <w:tcPr>
            <w:tcW w:w="1171" w:type="dxa"/>
            <w:tcBorders>
              <w:top w:val="nil"/>
              <w:left w:val="single" w:sz="4" w:space="0" w:color="auto"/>
              <w:bottom w:val="nil"/>
              <w:right w:val="nil"/>
            </w:tcBorders>
            <w:noWrap/>
            <w:vAlign w:val="bottom"/>
            <w:hideMark/>
          </w:tcPr>
          <w:p w14:paraId="10914489"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67.709</w:t>
            </w:r>
          </w:p>
        </w:tc>
        <w:tc>
          <w:tcPr>
            <w:tcW w:w="1379" w:type="dxa"/>
            <w:tcBorders>
              <w:top w:val="nil"/>
              <w:left w:val="nil"/>
              <w:bottom w:val="nil"/>
              <w:right w:val="single" w:sz="4" w:space="0" w:color="auto"/>
            </w:tcBorders>
            <w:noWrap/>
            <w:vAlign w:val="bottom"/>
            <w:hideMark/>
          </w:tcPr>
          <w:p w14:paraId="2FFEFADC"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63EAA183"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-2.094</w:t>
            </w:r>
          </w:p>
        </w:tc>
        <w:tc>
          <w:tcPr>
            <w:tcW w:w="1180" w:type="dxa"/>
            <w:tcBorders>
              <w:right w:val="single" w:sz="4" w:space="0" w:color="auto"/>
            </w:tcBorders>
            <w:vAlign w:val="bottom"/>
          </w:tcPr>
          <w:p w14:paraId="3B430564"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6FB05C20" w14:textId="77777777" w:rsidTr="008C3712">
        <w:trPr>
          <w:trHeight w:val="227"/>
        </w:trPr>
        <w:tc>
          <w:tcPr>
            <w:tcW w:w="4536" w:type="dxa"/>
            <w:tcBorders>
              <w:top w:val="nil"/>
              <w:left w:val="single" w:sz="4" w:space="0" w:color="auto"/>
              <w:right w:val="single" w:sz="4" w:space="0" w:color="auto"/>
            </w:tcBorders>
            <w:noWrap/>
            <w:vAlign w:val="bottom"/>
            <w:hideMark/>
          </w:tcPr>
          <w:p w14:paraId="547A6053"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Ln </w:t>
            </w:r>
            <w:proofErr w:type="spellStart"/>
            <w:r w:rsidRPr="008017F0">
              <w:rPr>
                <w:rFonts w:cstheme="minorHAnsi"/>
                <w:sz w:val="18"/>
                <w:szCs w:val="18"/>
                <w:lang w:val="en-GB"/>
              </w:rPr>
              <w:t>m_index</w:t>
            </w:r>
            <w:proofErr w:type="spellEnd"/>
            <w:r w:rsidRPr="008017F0">
              <w:rPr>
                <w:rFonts w:cstheme="minorHAnsi"/>
                <w:sz w:val="18"/>
                <w:szCs w:val="18"/>
                <w:lang w:val="en-GB"/>
              </w:rPr>
              <w:t xml:space="preserve"> others</w:t>
            </w:r>
          </w:p>
        </w:tc>
        <w:tc>
          <w:tcPr>
            <w:tcW w:w="1171" w:type="dxa"/>
            <w:tcBorders>
              <w:top w:val="nil"/>
              <w:left w:val="single" w:sz="4" w:space="0" w:color="auto"/>
              <w:right w:val="nil"/>
            </w:tcBorders>
            <w:noWrap/>
            <w:vAlign w:val="bottom"/>
            <w:hideMark/>
          </w:tcPr>
          <w:p w14:paraId="75CE38D3"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14.901</w:t>
            </w:r>
          </w:p>
        </w:tc>
        <w:tc>
          <w:tcPr>
            <w:tcW w:w="1379" w:type="dxa"/>
            <w:tcBorders>
              <w:top w:val="nil"/>
              <w:left w:val="nil"/>
              <w:right w:val="single" w:sz="4" w:space="0" w:color="auto"/>
            </w:tcBorders>
            <w:noWrap/>
            <w:vAlign w:val="bottom"/>
            <w:hideMark/>
          </w:tcPr>
          <w:p w14:paraId="0366ED58"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1EABF1A8"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-2.655</w:t>
            </w:r>
          </w:p>
        </w:tc>
        <w:tc>
          <w:tcPr>
            <w:tcW w:w="1180" w:type="dxa"/>
            <w:tcBorders>
              <w:right w:val="single" w:sz="4" w:space="0" w:color="auto"/>
            </w:tcBorders>
            <w:vAlign w:val="bottom"/>
          </w:tcPr>
          <w:p w14:paraId="456285B5"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3295753C" w14:textId="77777777" w:rsidTr="008C3712">
        <w:trPr>
          <w:trHeight w:val="227"/>
        </w:trPr>
        <w:tc>
          <w:tcPr>
            <w:tcW w:w="4536" w:type="dxa"/>
            <w:tcBorders>
              <w:top w:val="nil"/>
              <w:left w:val="single" w:sz="4" w:space="0" w:color="auto"/>
              <w:right w:val="single" w:sz="4" w:space="0" w:color="auto"/>
            </w:tcBorders>
            <w:noWrap/>
            <w:vAlign w:val="bottom"/>
            <w:hideMark/>
          </w:tcPr>
          <w:p w14:paraId="5BCB1CA1" w14:textId="77777777" w:rsidR="00866699" w:rsidRPr="008017F0" w:rsidRDefault="00866699" w:rsidP="008C3712">
            <w:pPr>
              <w:spacing w:after="0" w:line="240" w:lineRule="auto"/>
              <w:jc w:val="center"/>
              <w:rPr>
                <w:rFonts w:cstheme="minorHAnsi"/>
                <w:sz w:val="18"/>
                <w:szCs w:val="18"/>
                <w:lang w:val="en-GB"/>
              </w:rPr>
            </w:pPr>
            <w:proofErr w:type="spellStart"/>
            <w:r w:rsidRPr="008017F0">
              <w:rPr>
                <w:rFonts w:cstheme="minorHAnsi"/>
                <w:sz w:val="18"/>
                <w:szCs w:val="18"/>
                <w:lang w:val="en-GB"/>
              </w:rPr>
              <w:t>ctr_density</w:t>
            </w:r>
            <w:proofErr w:type="spellEnd"/>
          </w:p>
        </w:tc>
        <w:tc>
          <w:tcPr>
            <w:tcW w:w="1171" w:type="dxa"/>
            <w:tcBorders>
              <w:top w:val="nil"/>
              <w:left w:val="single" w:sz="4" w:space="0" w:color="auto"/>
              <w:right w:val="nil"/>
            </w:tcBorders>
            <w:noWrap/>
            <w:vAlign w:val="bottom"/>
            <w:hideMark/>
          </w:tcPr>
          <w:p w14:paraId="1A1620A3"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-2.316</w:t>
            </w:r>
          </w:p>
        </w:tc>
        <w:tc>
          <w:tcPr>
            <w:tcW w:w="1379" w:type="dxa"/>
            <w:tcBorders>
              <w:top w:val="nil"/>
              <w:left w:val="nil"/>
              <w:right w:val="single" w:sz="4" w:space="0" w:color="auto"/>
            </w:tcBorders>
            <w:noWrap/>
            <w:vAlign w:val="bottom"/>
            <w:hideMark/>
          </w:tcPr>
          <w:p w14:paraId="5DEEC004"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2B493923" w14:textId="77777777" w:rsidR="00866699" w:rsidRPr="008017F0" w:rsidRDefault="00866699" w:rsidP="008C3712">
            <w:pPr>
              <w:spacing w:after="0" w:line="240" w:lineRule="auto"/>
              <w:jc w:val="right"/>
              <w:rPr>
                <w:rFonts w:cstheme="minorHAnsi"/>
                <w:sz w:val="18"/>
                <w:szCs w:val="18"/>
                <w:lang w:val="en-GB"/>
              </w:rPr>
            </w:pPr>
            <w:r w:rsidRPr="008017F0">
              <w:rPr>
                <w:rFonts w:cstheme="minorHAnsi"/>
                <w:sz w:val="18"/>
                <w:szCs w:val="18"/>
                <w:lang w:val="en-GB"/>
              </w:rPr>
              <w:t>-1.159</w:t>
            </w:r>
          </w:p>
        </w:tc>
        <w:tc>
          <w:tcPr>
            <w:tcW w:w="1180" w:type="dxa"/>
            <w:tcBorders>
              <w:right w:val="single" w:sz="4" w:space="0" w:color="auto"/>
            </w:tcBorders>
            <w:vAlign w:val="bottom"/>
          </w:tcPr>
          <w:p w14:paraId="3321CBD5"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40BC52D3" w14:textId="77777777" w:rsidTr="008C3712">
        <w:trPr>
          <w:trHeight w:val="227"/>
        </w:trPr>
        <w:tc>
          <w:tcPr>
            <w:tcW w:w="4536" w:type="dxa"/>
            <w:tcBorders>
              <w:left w:val="single" w:sz="4" w:space="0" w:color="auto"/>
              <w:right w:val="single" w:sz="4" w:space="0" w:color="auto"/>
            </w:tcBorders>
            <w:noWrap/>
            <w:vAlign w:val="bottom"/>
          </w:tcPr>
          <w:p w14:paraId="2ABF43E2"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(Human capital)</w:t>
            </w:r>
          </w:p>
        </w:tc>
        <w:tc>
          <w:tcPr>
            <w:tcW w:w="1171" w:type="dxa"/>
            <w:tcBorders>
              <w:left w:val="single" w:sz="4" w:space="0" w:color="auto"/>
            </w:tcBorders>
            <w:noWrap/>
            <w:vAlign w:val="bottom"/>
          </w:tcPr>
          <w:p w14:paraId="069BFAB7"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76.603</w:t>
            </w:r>
          </w:p>
        </w:tc>
        <w:tc>
          <w:tcPr>
            <w:tcW w:w="1379" w:type="dxa"/>
            <w:tcBorders>
              <w:right w:val="single" w:sz="4" w:space="0" w:color="auto"/>
            </w:tcBorders>
            <w:noWrap/>
            <w:vAlign w:val="bottom"/>
          </w:tcPr>
          <w:p w14:paraId="28EDE824"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49EF869E"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-2.895</w:t>
            </w:r>
          </w:p>
        </w:tc>
        <w:tc>
          <w:tcPr>
            <w:tcW w:w="1180" w:type="dxa"/>
            <w:tcBorders>
              <w:right w:val="single" w:sz="4" w:space="0" w:color="auto"/>
            </w:tcBorders>
            <w:vAlign w:val="bottom"/>
          </w:tcPr>
          <w:p w14:paraId="050C3790"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02C72EFA" w14:textId="77777777" w:rsidTr="008C3712">
        <w:trPr>
          <w:trHeight w:val="227"/>
        </w:trPr>
        <w:tc>
          <w:tcPr>
            <w:tcW w:w="4536" w:type="dxa"/>
            <w:tcBorders>
              <w:top w:val="nil"/>
              <w:left w:val="single" w:sz="4" w:space="0" w:color="auto"/>
              <w:right w:val="single" w:sz="4" w:space="0" w:color="auto"/>
            </w:tcBorders>
            <w:noWrap/>
            <w:vAlign w:val="bottom"/>
          </w:tcPr>
          <w:p w14:paraId="13C23562"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(Patents per capita)</w:t>
            </w:r>
          </w:p>
        </w:tc>
        <w:tc>
          <w:tcPr>
            <w:tcW w:w="1171" w:type="dxa"/>
            <w:tcBorders>
              <w:top w:val="nil"/>
              <w:left w:val="single" w:sz="4" w:space="0" w:color="auto"/>
            </w:tcBorders>
            <w:noWrap/>
            <w:vAlign w:val="bottom"/>
          </w:tcPr>
          <w:p w14:paraId="1C86A414"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66.497</w:t>
            </w:r>
          </w:p>
        </w:tc>
        <w:tc>
          <w:tcPr>
            <w:tcW w:w="1379" w:type="dxa"/>
            <w:tcBorders>
              <w:top w:val="nil"/>
              <w:right w:val="single" w:sz="4" w:space="0" w:color="auto"/>
            </w:tcBorders>
            <w:noWrap/>
            <w:vAlign w:val="bottom"/>
          </w:tcPr>
          <w:p w14:paraId="745164EF"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719A2493"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-3.944</w:t>
            </w:r>
          </w:p>
        </w:tc>
        <w:tc>
          <w:tcPr>
            <w:tcW w:w="1180" w:type="dxa"/>
            <w:tcBorders>
              <w:right w:val="single" w:sz="4" w:space="0" w:color="auto"/>
            </w:tcBorders>
            <w:vAlign w:val="bottom"/>
          </w:tcPr>
          <w:p w14:paraId="417A1011"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3E6A9842" w14:textId="77777777" w:rsidTr="008C3712">
        <w:trPr>
          <w:trHeight w:val="106"/>
        </w:trPr>
        <w:tc>
          <w:tcPr>
            <w:tcW w:w="4536" w:type="dxa"/>
            <w:tcBorders>
              <w:top w:val="nil"/>
              <w:left w:val="single" w:sz="4" w:space="0" w:color="auto"/>
              <w:right w:val="single" w:sz="4" w:space="0" w:color="auto"/>
            </w:tcBorders>
            <w:noWrap/>
            <w:vAlign w:val="bottom"/>
          </w:tcPr>
          <w:p w14:paraId="2E61D548"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Employment, Agriculture</w:t>
            </w:r>
          </w:p>
        </w:tc>
        <w:tc>
          <w:tcPr>
            <w:tcW w:w="1171" w:type="dxa"/>
            <w:tcBorders>
              <w:top w:val="nil"/>
              <w:left w:val="single" w:sz="4" w:space="0" w:color="auto"/>
            </w:tcBorders>
            <w:noWrap/>
            <w:vAlign w:val="bottom"/>
          </w:tcPr>
          <w:p w14:paraId="7A40084B"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45.050</w:t>
            </w:r>
          </w:p>
        </w:tc>
        <w:tc>
          <w:tcPr>
            <w:tcW w:w="1379" w:type="dxa"/>
            <w:tcBorders>
              <w:top w:val="nil"/>
              <w:right w:val="single" w:sz="4" w:space="0" w:color="auto"/>
            </w:tcBorders>
            <w:noWrap/>
            <w:vAlign w:val="bottom"/>
          </w:tcPr>
          <w:p w14:paraId="058B0DA0"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429667A6"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-2.380</w:t>
            </w:r>
          </w:p>
        </w:tc>
        <w:tc>
          <w:tcPr>
            <w:tcW w:w="1180" w:type="dxa"/>
            <w:tcBorders>
              <w:right w:val="single" w:sz="4" w:space="0" w:color="auto"/>
            </w:tcBorders>
            <w:vAlign w:val="bottom"/>
          </w:tcPr>
          <w:p w14:paraId="1F1331CF"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5BD1CC72" w14:textId="77777777" w:rsidTr="008C3712">
        <w:trPr>
          <w:trHeight w:val="227"/>
        </w:trPr>
        <w:tc>
          <w:tcPr>
            <w:tcW w:w="4536" w:type="dxa"/>
            <w:tcBorders>
              <w:top w:val="nil"/>
              <w:left w:val="single" w:sz="4" w:space="0" w:color="auto"/>
              <w:bottom w:val="single" w:sz="4" w:space="0" w:color="auto"/>
              <w:right w:val="single" w:sz="4" w:space="0" w:color="auto"/>
            </w:tcBorders>
            <w:noWrap/>
            <w:vAlign w:val="bottom"/>
          </w:tcPr>
          <w:p w14:paraId="1A5FEF73"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 xml:space="preserve">Employment, Manufacturing </w:t>
            </w:r>
          </w:p>
        </w:tc>
        <w:tc>
          <w:tcPr>
            <w:tcW w:w="1171" w:type="dxa"/>
            <w:tcBorders>
              <w:top w:val="nil"/>
              <w:left w:val="single" w:sz="4" w:space="0" w:color="auto"/>
              <w:bottom w:val="single" w:sz="4" w:space="0" w:color="auto"/>
            </w:tcBorders>
            <w:noWrap/>
            <w:vAlign w:val="bottom"/>
          </w:tcPr>
          <w:p w14:paraId="6D71CF96"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37.840</w:t>
            </w:r>
          </w:p>
        </w:tc>
        <w:tc>
          <w:tcPr>
            <w:tcW w:w="1379" w:type="dxa"/>
            <w:tcBorders>
              <w:top w:val="nil"/>
              <w:bottom w:val="single" w:sz="4" w:space="0" w:color="auto"/>
              <w:right w:val="single" w:sz="4" w:space="0" w:color="auto"/>
            </w:tcBorders>
            <w:noWrap/>
            <w:vAlign w:val="bottom"/>
          </w:tcPr>
          <w:p w14:paraId="4235B244"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bottom w:val="single" w:sz="4" w:space="0" w:color="auto"/>
            </w:tcBorders>
            <w:vAlign w:val="bottom"/>
          </w:tcPr>
          <w:p w14:paraId="2104AF73"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-1.861</w:t>
            </w:r>
          </w:p>
        </w:tc>
        <w:tc>
          <w:tcPr>
            <w:tcW w:w="1180" w:type="dxa"/>
            <w:tcBorders>
              <w:bottom w:val="single" w:sz="4" w:space="0" w:color="auto"/>
              <w:right w:val="single" w:sz="4" w:space="0" w:color="auto"/>
            </w:tcBorders>
            <w:vAlign w:val="bottom"/>
          </w:tcPr>
          <w:p w14:paraId="4BCB92F6"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4AFB8D97" w14:textId="77777777" w:rsidTr="008C3712">
        <w:trPr>
          <w:trHeight w:val="227"/>
        </w:trPr>
        <w:tc>
          <w:tcPr>
            <w:tcW w:w="4536" w:type="dxa"/>
            <w:tcBorders>
              <w:top w:val="single" w:sz="4" w:space="0" w:color="auto"/>
              <w:right w:val="nil"/>
            </w:tcBorders>
            <w:noWrap/>
            <w:vAlign w:val="bottom"/>
          </w:tcPr>
          <w:p w14:paraId="1A9D0C88" w14:textId="77777777" w:rsidR="00866699" w:rsidRPr="008017F0" w:rsidRDefault="00866699" w:rsidP="008C3712">
            <w:pPr>
              <w:spacing w:after="0" w:line="240" w:lineRule="auto"/>
              <w:jc w:val="center"/>
              <w:rPr>
                <w:rFonts w:ascii="Times New Roman" w:hAnsi="Times New Roman" w:cs="Times New Roman"/>
                <w:sz w:val="18"/>
                <w:szCs w:val="18"/>
                <w:lang w:val="en-GB"/>
              </w:rPr>
            </w:pPr>
          </w:p>
        </w:tc>
        <w:tc>
          <w:tcPr>
            <w:tcW w:w="1171" w:type="dxa"/>
            <w:tcBorders>
              <w:top w:val="single" w:sz="4" w:space="0" w:color="auto"/>
              <w:left w:val="nil"/>
              <w:right w:val="nil"/>
            </w:tcBorders>
            <w:noWrap/>
            <w:vAlign w:val="bottom"/>
          </w:tcPr>
          <w:p w14:paraId="15F66C17" w14:textId="77777777" w:rsidR="00866699" w:rsidRPr="008017F0" w:rsidRDefault="00866699" w:rsidP="008C3712">
            <w:pPr>
              <w:spacing w:after="0" w:line="240" w:lineRule="auto"/>
              <w:ind w:right="-275"/>
              <w:jc w:val="center"/>
              <w:rPr>
                <w:rFonts w:ascii="Times New Roman" w:hAnsi="Times New Roman" w:cs="Times New Roman"/>
                <w:sz w:val="18"/>
                <w:szCs w:val="18"/>
                <w:lang w:val="en-GB"/>
              </w:rPr>
            </w:pPr>
          </w:p>
        </w:tc>
        <w:tc>
          <w:tcPr>
            <w:tcW w:w="1379" w:type="dxa"/>
            <w:tcBorders>
              <w:top w:val="single" w:sz="4" w:space="0" w:color="auto"/>
              <w:left w:val="nil"/>
              <w:right w:val="nil"/>
            </w:tcBorders>
            <w:noWrap/>
            <w:vAlign w:val="bottom"/>
          </w:tcPr>
          <w:p w14:paraId="299D680D" w14:textId="77777777" w:rsidR="00866699" w:rsidRPr="008017F0" w:rsidRDefault="00866699" w:rsidP="008C3712">
            <w:pPr>
              <w:spacing w:after="0" w:line="240" w:lineRule="auto"/>
              <w:ind w:right="-275"/>
              <w:rPr>
                <w:rFonts w:ascii="Times New Roman" w:hAnsi="Times New Roman" w:cs="Times New Roman"/>
                <w:sz w:val="18"/>
                <w:szCs w:val="18"/>
                <w:lang w:val="en-GB"/>
              </w:rPr>
            </w:pPr>
          </w:p>
        </w:tc>
        <w:tc>
          <w:tcPr>
            <w:tcW w:w="1172" w:type="dxa"/>
            <w:gridSpan w:val="2"/>
            <w:tcBorders>
              <w:top w:val="single" w:sz="4" w:space="0" w:color="auto"/>
            </w:tcBorders>
            <w:vAlign w:val="bottom"/>
          </w:tcPr>
          <w:p w14:paraId="16AD8F52" w14:textId="77777777" w:rsidR="00866699" w:rsidRPr="008017F0" w:rsidRDefault="00866699" w:rsidP="008C3712">
            <w:pPr>
              <w:spacing w:after="0" w:line="240" w:lineRule="auto"/>
              <w:ind w:right="-275"/>
              <w:jc w:val="right"/>
              <w:rPr>
                <w:rFonts w:ascii="Times New Roman" w:hAnsi="Times New Roman" w:cs="Times New Roman"/>
                <w:sz w:val="18"/>
                <w:szCs w:val="18"/>
                <w:lang w:val="en-GB"/>
              </w:rPr>
            </w:pPr>
          </w:p>
        </w:tc>
        <w:tc>
          <w:tcPr>
            <w:tcW w:w="1180" w:type="dxa"/>
            <w:tcBorders>
              <w:top w:val="single" w:sz="4" w:space="0" w:color="auto"/>
            </w:tcBorders>
            <w:vAlign w:val="bottom"/>
          </w:tcPr>
          <w:p w14:paraId="1B5FF30A" w14:textId="77777777" w:rsidR="00866699" w:rsidRPr="008017F0" w:rsidRDefault="00866699" w:rsidP="008C3712">
            <w:pPr>
              <w:spacing w:after="0" w:line="240" w:lineRule="auto"/>
              <w:ind w:right="-275"/>
              <w:jc w:val="both"/>
              <w:rPr>
                <w:rFonts w:ascii="Times New Roman" w:hAnsi="Times New Roman" w:cs="Times New Roman"/>
                <w:sz w:val="18"/>
                <w:szCs w:val="18"/>
                <w:lang w:val="en-GB"/>
              </w:rPr>
            </w:pPr>
          </w:p>
        </w:tc>
      </w:tr>
      <w:tr w:rsidR="00866699" w:rsidRPr="008017F0" w14:paraId="04D5A46F" w14:textId="77777777" w:rsidTr="008C3712">
        <w:trPr>
          <w:trHeight w:val="227"/>
        </w:trPr>
        <w:tc>
          <w:tcPr>
            <w:tcW w:w="9438" w:type="dxa"/>
            <w:gridSpan w:val="6"/>
            <w:tcBorders>
              <w:top w:val="nil"/>
              <w:bottom w:val="nil"/>
            </w:tcBorders>
            <w:noWrap/>
            <w:vAlign w:val="bottom"/>
          </w:tcPr>
          <w:p w14:paraId="2F73B438" w14:textId="77777777" w:rsidR="00866699" w:rsidRPr="008017F0" w:rsidRDefault="00866699" w:rsidP="008C3712">
            <w:pPr>
              <w:spacing w:after="0" w:line="240" w:lineRule="auto"/>
              <w:ind w:right="-275"/>
              <w:jc w:val="center"/>
              <w:rPr>
                <w:rFonts w:ascii="Times New Roman" w:hAnsi="Times New Roman" w:cs="Times New Roman"/>
                <w:sz w:val="18"/>
                <w:szCs w:val="18"/>
                <w:lang w:val="en-GB"/>
              </w:rPr>
            </w:pPr>
            <w:r w:rsidRPr="008017F0">
              <w:rPr>
                <w:rFonts w:ascii="Times New Roman" w:hAnsi="Times New Roman" w:cs="Times New Roman"/>
                <w:sz w:val="18"/>
                <w:szCs w:val="18"/>
                <w:lang w:val="en-GB"/>
              </w:rPr>
              <w:t>Panel B). Variables used in the analysis of the impact of regional policies over GDP per capita</w:t>
            </w:r>
          </w:p>
        </w:tc>
      </w:tr>
      <w:tr w:rsidR="00866699" w:rsidRPr="008017F0" w14:paraId="1337DD24" w14:textId="77777777" w:rsidTr="008C3712">
        <w:trPr>
          <w:trHeight w:val="227"/>
        </w:trPr>
        <w:tc>
          <w:tcPr>
            <w:tcW w:w="4536" w:type="dxa"/>
            <w:tcBorders>
              <w:top w:val="single" w:sz="4" w:space="0" w:color="auto"/>
              <w:left w:val="single" w:sz="4" w:space="0" w:color="auto"/>
              <w:bottom w:val="single" w:sz="4" w:space="0" w:color="auto"/>
              <w:right w:val="single" w:sz="4" w:space="0" w:color="auto"/>
            </w:tcBorders>
            <w:noWrap/>
            <w:vAlign w:val="bottom"/>
          </w:tcPr>
          <w:p w14:paraId="1311F2DF" w14:textId="77777777" w:rsidR="00866699" w:rsidRPr="008017F0" w:rsidRDefault="00866699" w:rsidP="008C3712">
            <w:pPr>
              <w:spacing w:after="0" w:line="240" w:lineRule="auto"/>
              <w:jc w:val="center"/>
              <w:rPr>
                <w:rFonts w:ascii="Times New Roman" w:hAnsi="Times New Roman" w:cs="Times New Roman"/>
                <w:b/>
                <w:bCs/>
                <w:sz w:val="18"/>
                <w:szCs w:val="18"/>
                <w:lang w:val="en-GB"/>
              </w:rPr>
            </w:pPr>
            <w:r w:rsidRPr="008017F0">
              <w:rPr>
                <w:rFonts w:ascii="Times New Roman" w:hAnsi="Times New Roman" w:cs="Times New Roman"/>
                <w:b/>
                <w:bCs/>
                <w:sz w:val="18"/>
                <w:szCs w:val="18"/>
                <w:lang w:val="en-GB"/>
              </w:rPr>
              <w:t>Variable</w:t>
            </w:r>
          </w:p>
        </w:tc>
        <w:tc>
          <w:tcPr>
            <w:tcW w:w="2550" w:type="dxa"/>
            <w:gridSpan w:val="2"/>
            <w:tcBorders>
              <w:top w:val="single" w:sz="4" w:space="0" w:color="auto"/>
              <w:left w:val="single" w:sz="4" w:space="0" w:color="auto"/>
              <w:bottom w:val="single" w:sz="4" w:space="0" w:color="auto"/>
              <w:right w:val="single" w:sz="4" w:space="0" w:color="auto"/>
            </w:tcBorders>
            <w:noWrap/>
            <w:vAlign w:val="bottom"/>
          </w:tcPr>
          <w:p w14:paraId="329EFF7F" w14:textId="77777777" w:rsidR="00866699" w:rsidRPr="008017F0" w:rsidRDefault="00866699" w:rsidP="008C3712">
            <w:pPr>
              <w:spacing w:after="0" w:line="240" w:lineRule="auto"/>
              <w:ind w:right="-77"/>
              <w:jc w:val="center"/>
              <w:rPr>
                <w:rFonts w:ascii="Times New Roman" w:hAnsi="Times New Roman" w:cs="Times New Roman"/>
                <w:b/>
                <w:bCs/>
                <w:sz w:val="18"/>
                <w:szCs w:val="18"/>
                <w:lang w:val="en-GB"/>
              </w:rPr>
            </w:pPr>
            <w:r w:rsidRPr="008017F0">
              <w:rPr>
                <w:rFonts w:ascii="Times New Roman" w:hAnsi="Times New Roman" w:cs="Times New Roman"/>
                <w:b/>
                <w:bCs/>
                <w:sz w:val="18"/>
                <w:szCs w:val="18"/>
                <w:lang w:val="en-GB"/>
              </w:rPr>
              <w:t>Cross-section dependence test</w:t>
            </w:r>
          </w:p>
        </w:tc>
        <w:tc>
          <w:tcPr>
            <w:tcW w:w="2352" w:type="dxa"/>
            <w:gridSpan w:val="3"/>
            <w:tcBorders>
              <w:top w:val="single" w:sz="4" w:space="0" w:color="auto"/>
              <w:left w:val="single" w:sz="4" w:space="0" w:color="auto"/>
              <w:bottom w:val="single" w:sz="4" w:space="0" w:color="auto"/>
              <w:right w:val="single" w:sz="4" w:space="0" w:color="auto"/>
            </w:tcBorders>
            <w:vAlign w:val="bottom"/>
          </w:tcPr>
          <w:p w14:paraId="18BC849B" w14:textId="77777777" w:rsidR="00866699" w:rsidRPr="008017F0" w:rsidRDefault="00866699" w:rsidP="008C3712">
            <w:pPr>
              <w:spacing w:after="0" w:line="240" w:lineRule="auto"/>
              <w:ind w:right="-275"/>
              <w:jc w:val="center"/>
              <w:rPr>
                <w:rFonts w:ascii="Times New Roman" w:hAnsi="Times New Roman" w:cs="Times New Roman"/>
                <w:b/>
                <w:bCs/>
                <w:sz w:val="18"/>
                <w:szCs w:val="18"/>
                <w:lang w:val="en-GB"/>
              </w:rPr>
            </w:pPr>
            <w:r w:rsidRPr="008017F0">
              <w:rPr>
                <w:rFonts w:ascii="Times New Roman" w:hAnsi="Times New Roman" w:cs="Times New Roman"/>
                <w:b/>
                <w:bCs/>
                <w:sz w:val="18"/>
                <w:szCs w:val="18"/>
                <w:lang w:val="en-GB"/>
              </w:rPr>
              <w:t>Panel unit root test</w:t>
            </w:r>
          </w:p>
        </w:tc>
      </w:tr>
      <w:tr w:rsidR="00866699" w:rsidRPr="008017F0" w14:paraId="28C163E4" w14:textId="77777777" w:rsidTr="008C3712">
        <w:trPr>
          <w:trHeight w:val="227"/>
        </w:trPr>
        <w:tc>
          <w:tcPr>
            <w:tcW w:w="4536" w:type="dxa"/>
            <w:tcBorders>
              <w:top w:val="single" w:sz="4" w:space="0" w:color="auto"/>
              <w:left w:val="single" w:sz="4" w:space="0" w:color="auto"/>
              <w:bottom w:val="nil"/>
              <w:right w:val="single" w:sz="4" w:space="0" w:color="auto"/>
            </w:tcBorders>
            <w:noWrap/>
            <w:vAlign w:val="bottom"/>
          </w:tcPr>
          <w:p w14:paraId="612B75B5" w14:textId="77777777" w:rsidR="00866699" w:rsidRPr="008017F0" w:rsidRDefault="00866699" w:rsidP="008C3712">
            <w:pPr>
              <w:spacing w:after="0" w:line="240" w:lineRule="auto"/>
              <w:jc w:val="center"/>
              <w:rPr>
                <w:rFonts w:ascii="Times New Roman" w:hAnsi="Times New Roman" w:cs="Times New Roman"/>
                <w:sz w:val="18"/>
                <w:szCs w:val="18"/>
                <w:lang w:val="en-GB"/>
              </w:rPr>
            </w:pPr>
          </w:p>
        </w:tc>
        <w:tc>
          <w:tcPr>
            <w:tcW w:w="1171" w:type="dxa"/>
            <w:tcBorders>
              <w:top w:val="single" w:sz="4" w:space="0" w:color="auto"/>
              <w:left w:val="single" w:sz="4" w:space="0" w:color="auto"/>
              <w:bottom w:val="nil"/>
              <w:right w:val="nil"/>
            </w:tcBorders>
            <w:noWrap/>
            <w:vAlign w:val="bottom"/>
          </w:tcPr>
          <w:p w14:paraId="5B4F9378" w14:textId="77777777" w:rsidR="00866699" w:rsidRPr="008017F0" w:rsidRDefault="00866699" w:rsidP="008C3712">
            <w:pPr>
              <w:spacing w:after="0" w:line="240" w:lineRule="auto"/>
              <w:ind w:right="-275"/>
              <w:jc w:val="center"/>
              <w:rPr>
                <w:rFonts w:ascii="Times New Roman" w:hAnsi="Times New Roman" w:cs="Times New Roman"/>
                <w:sz w:val="18"/>
                <w:szCs w:val="18"/>
                <w:lang w:val="en-GB"/>
              </w:rPr>
            </w:pPr>
          </w:p>
        </w:tc>
        <w:tc>
          <w:tcPr>
            <w:tcW w:w="1379" w:type="dxa"/>
            <w:tcBorders>
              <w:top w:val="single" w:sz="4" w:space="0" w:color="auto"/>
              <w:left w:val="nil"/>
              <w:bottom w:val="nil"/>
              <w:right w:val="single" w:sz="4" w:space="0" w:color="auto"/>
            </w:tcBorders>
            <w:noWrap/>
            <w:vAlign w:val="bottom"/>
          </w:tcPr>
          <w:p w14:paraId="16D93FF5" w14:textId="77777777" w:rsidR="00866699" w:rsidRPr="008017F0" w:rsidRDefault="00866699" w:rsidP="008C3712">
            <w:pPr>
              <w:spacing w:after="0" w:line="240" w:lineRule="auto"/>
              <w:ind w:right="-275"/>
              <w:rPr>
                <w:rFonts w:ascii="Times New Roman" w:hAnsi="Times New Roman" w:cs="Times New Roman"/>
                <w:sz w:val="18"/>
                <w:szCs w:val="18"/>
                <w:lang w:val="en-GB"/>
              </w:rPr>
            </w:pPr>
          </w:p>
        </w:tc>
        <w:tc>
          <w:tcPr>
            <w:tcW w:w="2352" w:type="dxa"/>
            <w:gridSpan w:val="3"/>
            <w:tcBorders>
              <w:top w:val="single" w:sz="4" w:space="0" w:color="auto"/>
              <w:left w:val="single" w:sz="4" w:space="0" w:color="auto"/>
              <w:right w:val="single" w:sz="4" w:space="0" w:color="auto"/>
            </w:tcBorders>
            <w:vAlign w:val="bottom"/>
          </w:tcPr>
          <w:p w14:paraId="277759EB" w14:textId="77777777" w:rsidR="00866699" w:rsidRPr="008017F0" w:rsidRDefault="00866699" w:rsidP="008C3712">
            <w:pPr>
              <w:spacing w:after="0" w:line="240" w:lineRule="auto"/>
              <w:ind w:right="-275"/>
              <w:jc w:val="both"/>
              <w:rPr>
                <w:rFonts w:ascii="Times New Roman" w:hAnsi="Times New Roman" w:cs="Times New Roman"/>
                <w:sz w:val="18"/>
                <w:szCs w:val="18"/>
                <w:lang w:val="en-GB"/>
              </w:rPr>
            </w:pPr>
          </w:p>
        </w:tc>
      </w:tr>
      <w:tr w:rsidR="00866699" w:rsidRPr="008017F0" w14:paraId="044C9EBC" w14:textId="77777777" w:rsidTr="008C3712">
        <w:trPr>
          <w:trHeight w:val="227"/>
        </w:trPr>
        <w:tc>
          <w:tcPr>
            <w:tcW w:w="4536" w:type="dxa"/>
            <w:tcBorders>
              <w:top w:val="nil"/>
              <w:left w:val="single" w:sz="4" w:space="0" w:color="auto"/>
              <w:bottom w:val="nil"/>
              <w:right w:val="single" w:sz="4" w:space="0" w:color="auto"/>
            </w:tcBorders>
            <w:noWrap/>
            <w:vAlign w:val="bottom"/>
          </w:tcPr>
          <w:p w14:paraId="1E21DB4D"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GDP</w:t>
            </w:r>
          </w:p>
        </w:tc>
        <w:tc>
          <w:tcPr>
            <w:tcW w:w="1171" w:type="dxa"/>
            <w:tcBorders>
              <w:top w:val="nil"/>
              <w:left w:val="single" w:sz="4" w:space="0" w:color="auto"/>
              <w:bottom w:val="nil"/>
              <w:right w:val="nil"/>
            </w:tcBorders>
            <w:noWrap/>
            <w:vAlign w:val="bottom"/>
          </w:tcPr>
          <w:p w14:paraId="13E6D8AA"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54.093</w:t>
            </w:r>
          </w:p>
        </w:tc>
        <w:tc>
          <w:tcPr>
            <w:tcW w:w="1379" w:type="dxa"/>
            <w:tcBorders>
              <w:top w:val="nil"/>
              <w:left w:val="nil"/>
              <w:bottom w:val="nil"/>
              <w:right w:val="single" w:sz="4" w:space="0" w:color="auto"/>
            </w:tcBorders>
            <w:noWrap/>
            <w:vAlign w:val="bottom"/>
          </w:tcPr>
          <w:p w14:paraId="1A12B45F"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5A9E6658"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-2.283</w:t>
            </w:r>
          </w:p>
        </w:tc>
        <w:tc>
          <w:tcPr>
            <w:tcW w:w="1180" w:type="dxa"/>
            <w:tcBorders>
              <w:right w:val="single" w:sz="4" w:space="0" w:color="auto"/>
            </w:tcBorders>
            <w:vAlign w:val="bottom"/>
          </w:tcPr>
          <w:p w14:paraId="09C922E7"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2957FB02" w14:textId="77777777" w:rsidTr="008C3712">
        <w:trPr>
          <w:trHeight w:val="227"/>
        </w:trPr>
        <w:tc>
          <w:tcPr>
            <w:tcW w:w="4536" w:type="dxa"/>
            <w:tcBorders>
              <w:top w:val="nil"/>
              <w:left w:val="single" w:sz="4" w:space="0" w:color="auto"/>
              <w:bottom w:val="nil"/>
              <w:right w:val="single" w:sz="4" w:space="0" w:color="auto"/>
            </w:tcBorders>
            <w:noWrap/>
            <w:vAlign w:val="bottom"/>
          </w:tcPr>
          <w:p w14:paraId="0A724939"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(Gross fixed investment/GDP)</w:t>
            </w:r>
          </w:p>
        </w:tc>
        <w:tc>
          <w:tcPr>
            <w:tcW w:w="1171" w:type="dxa"/>
            <w:tcBorders>
              <w:top w:val="nil"/>
              <w:left w:val="single" w:sz="4" w:space="0" w:color="auto"/>
              <w:bottom w:val="nil"/>
              <w:right w:val="nil"/>
            </w:tcBorders>
            <w:noWrap/>
            <w:vAlign w:val="bottom"/>
          </w:tcPr>
          <w:p w14:paraId="5D6FC8A7"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30.372</w:t>
            </w:r>
          </w:p>
        </w:tc>
        <w:tc>
          <w:tcPr>
            <w:tcW w:w="1379" w:type="dxa"/>
            <w:tcBorders>
              <w:top w:val="nil"/>
              <w:left w:val="nil"/>
              <w:bottom w:val="nil"/>
              <w:right w:val="single" w:sz="4" w:space="0" w:color="auto"/>
            </w:tcBorders>
            <w:noWrap/>
            <w:vAlign w:val="bottom"/>
          </w:tcPr>
          <w:p w14:paraId="24718A4F"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32D3B1CC"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-2.801</w:t>
            </w:r>
          </w:p>
        </w:tc>
        <w:tc>
          <w:tcPr>
            <w:tcW w:w="1180" w:type="dxa"/>
            <w:tcBorders>
              <w:right w:val="single" w:sz="4" w:space="0" w:color="auto"/>
            </w:tcBorders>
            <w:vAlign w:val="bottom"/>
          </w:tcPr>
          <w:p w14:paraId="7E58A251"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704C57A2" w14:textId="77777777" w:rsidTr="008C3712">
        <w:trPr>
          <w:trHeight w:val="227"/>
        </w:trPr>
        <w:tc>
          <w:tcPr>
            <w:tcW w:w="4536" w:type="dxa"/>
            <w:tcBorders>
              <w:top w:val="nil"/>
              <w:left w:val="single" w:sz="4" w:space="0" w:color="auto"/>
              <w:bottom w:val="nil"/>
              <w:right w:val="single" w:sz="4" w:space="0" w:color="auto"/>
            </w:tcBorders>
            <w:noWrap/>
            <w:vAlign w:val="bottom"/>
          </w:tcPr>
          <w:p w14:paraId="2F453FB0"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D. Ln(population)</w:t>
            </w:r>
          </w:p>
        </w:tc>
        <w:tc>
          <w:tcPr>
            <w:tcW w:w="1171" w:type="dxa"/>
            <w:tcBorders>
              <w:top w:val="nil"/>
              <w:left w:val="single" w:sz="4" w:space="0" w:color="auto"/>
              <w:bottom w:val="nil"/>
              <w:right w:val="nil"/>
            </w:tcBorders>
            <w:noWrap/>
            <w:vAlign w:val="bottom"/>
          </w:tcPr>
          <w:p w14:paraId="0EA9131D"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41.577</w:t>
            </w:r>
          </w:p>
        </w:tc>
        <w:tc>
          <w:tcPr>
            <w:tcW w:w="1379" w:type="dxa"/>
            <w:tcBorders>
              <w:top w:val="nil"/>
              <w:left w:val="nil"/>
              <w:bottom w:val="nil"/>
              <w:right w:val="single" w:sz="4" w:space="0" w:color="auto"/>
            </w:tcBorders>
            <w:noWrap/>
            <w:vAlign w:val="bottom"/>
          </w:tcPr>
          <w:p w14:paraId="074F00A7"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7CD8B439"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-2.151</w:t>
            </w:r>
          </w:p>
        </w:tc>
        <w:tc>
          <w:tcPr>
            <w:tcW w:w="1180" w:type="dxa"/>
            <w:tcBorders>
              <w:right w:val="single" w:sz="4" w:space="0" w:color="auto"/>
            </w:tcBorders>
            <w:vAlign w:val="bottom"/>
          </w:tcPr>
          <w:p w14:paraId="2086D955"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617C6656" w14:textId="77777777" w:rsidTr="008C3712">
        <w:trPr>
          <w:trHeight w:val="227"/>
        </w:trPr>
        <w:tc>
          <w:tcPr>
            <w:tcW w:w="4536" w:type="dxa"/>
            <w:tcBorders>
              <w:top w:val="nil"/>
              <w:left w:val="single" w:sz="4" w:space="0" w:color="auto"/>
              <w:bottom w:val="nil"/>
              <w:right w:val="single" w:sz="4" w:space="0" w:color="auto"/>
            </w:tcBorders>
            <w:noWrap/>
            <w:vAlign w:val="bottom"/>
          </w:tcPr>
          <w:p w14:paraId="3BCAE62D"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(EU Funds plus national co-financing/GDP)</w:t>
            </w:r>
          </w:p>
        </w:tc>
        <w:tc>
          <w:tcPr>
            <w:tcW w:w="1171" w:type="dxa"/>
            <w:tcBorders>
              <w:top w:val="nil"/>
              <w:left w:val="single" w:sz="4" w:space="0" w:color="auto"/>
              <w:bottom w:val="nil"/>
              <w:right w:val="nil"/>
            </w:tcBorders>
            <w:noWrap/>
            <w:vAlign w:val="bottom"/>
          </w:tcPr>
          <w:p w14:paraId="71ED1DCB"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25.201</w:t>
            </w:r>
          </w:p>
        </w:tc>
        <w:tc>
          <w:tcPr>
            <w:tcW w:w="1379" w:type="dxa"/>
            <w:tcBorders>
              <w:top w:val="nil"/>
              <w:left w:val="nil"/>
              <w:bottom w:val="nil"/>
              <w:right w:val="single" w:sz="4" w:space="0" w:color="auto"/>
            </w:tcBorders>
            <w:noWrap/>
            <w:vAlign w:val="bottom"/>
          </w:tcPr>
          <w:p w14:paraId="309CDF98"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0D3AA4F6"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-3.647</w:t>
            </w:r>
          </w:p>
        </w:tc>
        <w:tc>
          <w:tcPr>
            <w:tcW w:w="1180" w:type="dxa"/>
            <w:tcBorders>
              <w:right w:val="single" w:sz="4" w:space="0" w:color="auto"/>
            </w:tcBorders>
            <w:vAlign w:val="bottom"/>
          </w:tcPr>
          <w:p w14:paraId="1DD72392"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3C36AFA3" w14:textId="77777777" w:rsidTr="008C3712">
        <w:trPr>
          <w:trHeight w:val="227"/>
        </w:trPr>
        <w:tc>
          <w:tcPr>
            <w:tcW w:w="4536" w:type="dxa"/>
            <w:tcBorders>
              <w:top w:val="nil"/>
              <w:left w:val="single" w:sz="4" w:space="0" w:color="auto"/>
              <w:bottom w:val="nil"/>
              <w:right w:val="single" w:sz="4" w:space="0" w:color="auto"/>
            </w:tcBorders>
            <w:noWrap/>
            <w:vAlign w:val="bottom"/>
          </w:tcPr>
          <w:p w14:paraId="7C6EEA53"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(Current account subsidies to firms/GDP)</w:t>
            </w:r>
          </w:p>
        </w:tc>
        <w:tc>
          <w:tcPr>
            <w:tcW w:w="1171" w:type="dxa"/>
            <w:tcBorders>
              <w:top w:val="nil"/>
              <w:left w:val="single" w:sz="4" w:space="0" w:color="auto"/>
              <w:bottom w:val="nil"/>
              <w:right w:val="nil"/>
            </w:tcBorders>
            <w:noWrap/>
            <w:vAlign w:val="bottom"/>
          </w:tcPr>
          <w:p w14:paraId="4620605F"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38.137</w:t>
            </w:r>
          </w:p>
        </w:tc>
        <w:tc>
          <w:tcPr>
            <w:tcW w:w="1379" w:type="dxa"/>
            <w:tcBorders>
              <w:top w:val="nil"/>
              <w:left w:val="nil"/>
              <w:bottom w:val="nil"/>
              <w:right w:val="single" w:sz="4" w:space="0" w:color="auto"/>
            </w:tcBorders>
            <w:noWrap/>
            <w:vAlign w:val="bottom"/>
          </w:tcPr>
          <w:p w14:paraId="631DFDD7"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10A01F70"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-2.338</w:t>
            </w:r>
          </w:p>
        </w:tc>
        <w:tc>
          <w:tcPr>
            <w:tcW w:w="1180" w:type="dxa"/>
            <w:tcBorders>
              <w:right w:val="single" w:sz="4" w:space="0" w:color="auto"/>
            </w:tcBorders>
            <w:vAlign w:val="bottom"/>
          </w:tcPr>
          <w:p w14:paraId="69E2C89A"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433EEE2A" w14:textId="77777777" w:rsidTr="008C3712">
        <w:trPr>
          <w:trHeight w:val="227"/>
        </w:trPr>
        <w:tc>
          <w:tcPr>
            <w:tcW w:w="4536" w:type="dxa"/>
            <w:tcBorders>
              <w:top w:val="nil"/>
              <w:left w:val="single" w:sz="4" w:space="0" w:color="auto"/>
              <w:bottom w:val="nil"/>
              <w:right w:val="single" w:sz="4" w:space="0" w:color="auto"/>
            </w:tcBorders>
            <w:noWrap/>
            <w:vAlign w:val="bottom"/>
          </w:tcPr>
          <w:p w14:paraId="18FCC514"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(Nationally financed cohesion funds/GDP)</w:t>
            </w:r>
          </w:p>
        </w:tc>
        <w:tc>
          <w:tcPr>
            <w:tcW w:w="1171" w:type="dxa"/>
            <w:tcBorders>
              <w:top w:val="nil"/>
              <w:left w:val="single" w:sz="4" w:space="0" w:color="auto"/>
              <w:bottom w:val="nil"/>
              <w:right w:val="nil"/>
            </w:tcBorders>
            <w:noWrap/>
            <w:vAlign w:val="bottom"/>
          </w:tcPr>
          <w:p w14:paraId="342140F8"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45.594</w:t>
            </w:r>
          </w:p>
        </w:tc>
        <w:tc>
          <w:tcPr>
            <w:tcW w:w="1379" w:type="dxa"/>
            <w:tcBorders>
              <w:top w:val="nil"/>
              <w:left w:val="nil"/>
              <w:bottom w:val="nil"/>
              <w:right w:val="single" w:sz="4" w:space="0" w:color="auto"/>
            </w:tcBorders>
            <w:noWrap/>
            <w:vAlign w:val="bottom"/>
          </w:tcPr>
          <w:p w14:paraId="7AC6467A"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238AB51A"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-2.954</w:t>
            </w:r>
          </w:p>
        </w:tc>
        <w:tc>
          <w:tcPr>
            <w:tcW w:w="1180" w:type="dxa"/>
            <w:tcBorders>
              <w:right w:val="single" w:sz="4" w:space="0" w:color="auto"/>
            </w:tcBorders>
            <w:vAlign w:val="bottom"/>
          </w:tcPr>
          <w:p w14:paraId="1B5266D0"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31F9908A" w14:textId="77777777" w:rsidTr="008C3712">
        <w:trPr>
          <w:trHeight w:val="227"/>
        </w:trPr>
        <w:tc>
          <w:tcPr>
            <w:tcW w:w="4536" w:type="dxa"/>
            <w:tcBorders>
              <w:top w:val="nil"/>
              <w:left w:val="single" w:sz="4" w:space="0" w:color="auto"/>
              <w:bottom w:val="nil"/>
              <w:right w:val="single" w:sz="4" w:space="0" w:color="auto"/>
            </w:tcBorders>
            <w:noWrap/>
            <w:vAlign w:val="bottom"/>
          </w:tcPr>
          <w:p w14:paraId="6043885D"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(Capital account subsidies/GDP)</w:t>
            </w:r>
          </w:p>
        </w:tc>
        <w:tc>
          <w:tcPr>
            <w:tcW w:w="1171" w:type="dxa"/>
            <w:tcBorders>
              <w:top w:val="nil"/>
              <w:left w:val="single" w:sz="4" w:space="0" w:color="auto"/>
              <w:bottom w:val="nil"/>
              <w:right w:val="nil"/>
            </w:tcBorders>
            <w:noWrap/>
            <w:vAlign w:val="bottom"/>
          </w:tcPr>
          <w:p w14:paraId="19D34017"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27.850</w:t>
            </w:r>
          </w:p>
        </w:tc>
        <w:tc>
          <w:tcPr>
            <w:tcW w:w="1379" w:type="dxa"/>
            <w:tcBorders>
              <w:top w:val="nil"/>
              <w:left w:val="nil"/>
              <w:bottom w:val="nil"/>
              <w:right w:val="single" w:sz="4" w:space="0" w:color="auto"/>
            </w:tcBorders>
            <w:noWrap/>
            <w:vAlign w:val="bottom"/>
          </w:tcPr>
          <w:p w14:paraId="584E5FD6"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51BF7865"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-2.862</w:t>
            </w:r>
          </w:p>
        </w:tc>
        <w:tc>
          <w:tcPr>
            <w:tcW w:w="1180" w:type="dxa"/>
            <w:tcBorders>
              <w:right w:val="single" w:sz="4" w:space="0" w:color="auto"/>
            </w:tcBorders>
            <w:vAlign w:val="bottom"/>
          </w:tcPr>
          <w:p w14:paraId="397AAADC"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51139FA5" w14:textId="77777777" w:rsidTr="008C3712">
        <w:trPr>
          <w:trHeight w:val="227"/>
        </w:trPr>
        <w:tc>
          <w:tcPr>
            <w:tcW w:w="4536" w:type="dxa"/>
            <w:tcBorders>
              <w:top w:val="nil"/>
              <w:left w:val="single" w:sz="4" w:space="0" w:color="auto"/>
              <w:bottom w:val="nil"/>
              <w:right w:val="single" w:sz="4" w:space="0" w:color="auto"/>
            </w:tcBorders>
            <w:noWrap/>
            <w:vAlign w:val="bottom"/>
          </w:tcPr>
          <w:p w14:paraId="4E2AD712"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(Nationally financed public investments/GDP)</w:t>
            </w:r>
          </w:p>
        </w:tc>
        <w:tc>
          <w:tcPr>
            <w:tcW w:w="1171" w:type="dxa"/>
            <w:tcBorders>
              <w:top w:val="nil"/>
              <w:left w:val="single" w:sz="4" w:space="0" w:color="auto"/>
              <w:bottom w:val="nil"/>
              <w:right w:val="nil"/>
            </w:tcBorders>
            <w:noWrap/>
            <w:vAlign w:val="bottom"/>
          </w:tcPr>
          <w:p w14:paraId="5C89BEAE"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21.988</w:t>
            </w:r>
          </w:p>
        </w:tc>
        <w:tc>
          <w:tcPr>
            <w:tcW w:w="1379" w:type="dxa"/>
            <w:tcBorders>
              <w:top w:val="nil"/>
              <w:left w:val="nil"/>
              <w:bottom w:val="nil"/>
              <w:right w:val="single" w:sz="4" w:space="0" w:color="auto"/>
            </w:tcBorders>
            <w:noWrap/>
            <w:vAlign w:val="bottom"/>
          </w:tcPr>
          <w:p w14:paraId="2B64FDB1"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5C653907"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-3.331</w:t>
            </w:r>
          </w:p>
        </w:tc>
        <w:tc>
          <w:tcPr>
            <w:tcW w:w="1180" w:type="dxa"/>
            <w:tcBorders>
              <w:right w:val="single" w:sz="4" w:space="0" w:color="auto"/>
            </w:tcBorders>
            <w:vAlign w:val="bottom"/>
          </w:tcPr>
          <w:p w14:paraId="3249B78E"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52F32588" w14:textId="77777777" w:rsidTr="008C3712">
        <w:trPr>
          <w:trHeight w:val="227"/>
        </w:trPr>
        <w:tc>
          <w:tcPr>
            <w:tcW w:w="4536" w:type="dxa"/>
            <w:tcBorders>
              <w:top w:val="nil"/>
              <w:left w:val="single" w:sz="4" w:space="0" w:color="auto"/>
              <w:bottom w:val="nil"/>
              <w:right w:val="single" w:sz="4" w:space="0" w:color="auto"/>
            </w:tcBorders>
            <w:noWrap/>
            <w:vAlign w:val="bottom"/>
          </w:tcPr>
          <w:p w14:paraId="78E06DB5" w14:textId="77777777" w:rsidR="00866699" w:rsidRPr="008017F0" w:rsidRDefault="00866699" w:rsidP="008C3712">
            <w:pPr>
              <w:spacing w:after="0" w:line="240" w:lineRule="auto"/>
              <w:jc w:val="center"/>
              <w:rPr>
                <w:rFonts w:cstheme="minorHAnsi"/>
                <w:sz w:val="18"/>
                <w:szCs w:val="18"/>
                <w:lang w:val="en-GB"/>
              </w:rPr>
            </w:pPr>
          </w:p>
        </w:tc>
        <w:tc>
          <w:tcPr>
            <w:tcW w:w="1171" w:type="dxa"/>
            <w:tcBorders>
              <w:top w:val="nil"/>
              <w:left w:val="single" w:sz="4" w:space="0" w:color="auto"/>
              <w:bottom w:val="nil"/>
              <w:right w:val="nil"/>
            </w:tcBorders>
            <w:noWrap/>
            <w:vAlign w:val="bottom"/>
          </w:tcPr>
          <w:p w14:paraId="54DDA0C1" w14:textId="77777777" w:rsidR="00866699" w:rsidRPr="008017F0" w:rsidRDefault="00866699" w:rsidP="008C3712">
            <w:pPr>
              <w:spacing w:after="0" w:line="240" w:lineRule="auto"/>
              <w:ind w:right="-32"/>
              <w:jc w:val="right"/>
              <w:rPr>
                <w:rFonts w:cstheme="minorHAnsi"/>
                <w:sz w:val="18"/>
                <w:szCs w:val="18"/>
                <w:lang w:val="en-GB"/>
              </w:rPr>
            </w:pPr>
          </w:p>
        </w:tc>
        <w:tc>
          <w:tcPr>
            <w:tcW w:w="1379" w:type="dxa"/>
            <w:tcBorders>
              <w:top w:val="nil"/>
              <w:left w:val="nil"/>
              <w:bottom w:val="nil"/>
              <w:right w:val="single" w:sz="4" w:space="0" w:color="auto"/>
            </w:tcBorders>
            <w:noWrap/>
            <w:vAlign w:val="bottom"/>
          </w:tcPr>
          <w:p w14:paraId="556CEA72" w14:textId="77777777" w:rsidR="00866699" w:rsidRPr="008017F0" w:rsidRDefault="00866699" w:rsidP="008C3712">
            <w:pPr>
              <w:spacing w:after="0" w:line="240" w:lineRule="auto"/>
              <w:ind w:right="-275"/>
              <w:rPr>
                <w:rFonts w:cstheme="minorHAnsi"/>
                <w:sz w:val="18"/>
                <w:szCs w:val="18"/>
                <w:lang w:val="en-GB"/>
              </w:rPr>
            </w:pPr>
          </w:p>
        </w:tc>
        <w:tc>
          <w:tcPr>
            <w:tcW w:w="1172" w:type="dxa"/>
            <w:gridSpan w:val="2"/>
            <w:tcBorders>
              <w:left w:val="single" w:sz="4" w:space="0" w:color="auto"/>
            </w:tcBorders>
            <w:vAlign w:val="bottom"/>
          </w:tcPr>
          <w:p w14:paraId="4E6B0B8D" w14:textId="77777777" w:rsidR="00866699" w:rsidRPr="008017F0" w:rsidRDefault="00866699" w:rsidP="008C3712">
            <w:pPr>
              <w:spacing w:after="0" w:line="240" w:lineRule="auto"/>
              <w:ind w:right="-36"/>
              <w:jc w:val="right"/>
              <w:rPr>
                <w:rFonts w:cstheme="minorHAnsi"/>
                <w:sz w:val="18"/>
                <w:szCs w:val="18"/>
                <w:lang w:val="en-GB"/>
              </w:rPr>
            </w:pPr>
          </w:p>
        </w:tc>
        <w:tc>
          <w:tcPr>
            <w:tcW w:w="1180" w:type="dxa"/>
            <w:tcBorders>
              <w:right w:val="single" w:sz="4" w:space="0" w:color="auto"/>
            </w:tcBorders>
            <w:vAlign w:val="bottom"/>
          </w:tcPr>
          <w:p w14:paraId="7BA70EE3"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20D36958" w14:textId="77777777" w:rsidTr="008C3712">
        <w:trPr>
          <w:trHeight w:val="227"/>
        </w:trPr>
        <w:tc>
          <w:tcPr>
            <w:tcW w:w="4536" w:type="dxa"/>
            <w:tcBorders>
              <w:top w:val="nil"/>
              <w:left w:val="single" w:sz="4" w:space="0" w:color="auto"/>
              <w:bottom w:val="nil"/>
              <w:right w:val="single" w:sz="4" w:space="0" w:color="auto"/>
            </w:tcBorders>
            <w:noWrap/>
            <w:vAlign w:val="bottom"/>
          </w:tcPr>
          <w:p w14:paraId="54F3B10A"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(Current account subsidies to households/GDP)</w:t>
            </w:r>
          </w:p>
        </w:tc>
        <w:tc>
          <w:tcPr>
            <w:tcW w:w="1171" w:type="dxa"/>
            <w:tcBorders>
              <w:top w:val="nil"/>
              <w:left w:val="single" w:sz="4" w:space="0" w:color="auto"/>
              <w:bottom w:val="nil"/>
              <w:right w:val="nil"/>
            </w:tcBorders>
            <w:noWrap/>
            <w:vAlign w:val="bottom"/>
          </w:tcPr>
          <w:p w14:paraId="23DBB649"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62.086</w:t>
            </w:r>
          </w:p>
        </w:tc>
        <w:tc>
          <w:tcPr>
            <w:tcW w:w="1379" w:type="dxa"/>
            <w:tcBorders>
              <w:top w:val="nil"/>
              <w:left w:val="nil"/>
              <w:bottom w:val="nil"/>
              <w:right w:val="single" w:sz="4" w:space="0" w:color="auto"/>
            </w:tcBorders>
            <w:noWrap/>
            <w:vAlign w:val="bottom"/>
          </w:tcPr>
          <w:p w14:paraId="3EECC657"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1C81DDCF"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rPr>
              <w:t>-2.930</w:t>
            </w:r>
          </w:p>
        </w:tc>
        <w:tc>
          <w:tcPr>
            <w:tcW w:w="1180" w:type="dxa"/>
            <w:tcBorders>
              <w:right w:val="single" w:sz="4" w:space="0" w:color="auto"/>
            </w:tcBorders>
            <w:vAlign w:val="bottom"/>
          </w:tcPr>
          <w:p w14:paraId="3D271EBF"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253033CE" w14:textId="77777777" w:rsidTr="008C3712">
        <w:trPr>
          <w:trHeight w:val="227"/>
        </w:trPr>
        <w:tc>
          <w:tcPr>
            <w:tcW w:w="4536" w:type="dxa"/>
            <w:tcBorders>
              <w:top w:val="nil"/>
              <w:left w:val="single" w:sz="4" w:space="0" w:color="auto"/>
              <w:bottom w:val="nil"/>
              <w:right w:val="single" w:sz="4" w:space="0" w:color="auto"/>
            </w:tcBorders>
            <w:noWrap/>
            <w:vAlign w:val="bottom"/>
          </w:tcPr>
          <w:p w14:paraId="697D1448"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Employment share, Manufacturing</w:t>
            </w:r>
          </w:p>
        </w:tc>
        <w:tc>
          <w:tcPr>
            <w:tcW w:w="1171" w:type="dxa"/>
            <w:tcBorders>
              <w:top w:val="nil"/>
              <w:left w:val="single" w:sz="4" w:space="0" w:color="auto"/>
              <w:bottom w:val="nil"/>
              <w:right w:val="nil"/>
            </w:tcBorders>
            <w:noWrap/>
            <w:vAlign w:val="bottom"/>
          </w:tcPr>
          <w:p w14:paraId="7E7FFAA6"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59.639</w:t>
            </w:r>
          </w:p>
        </w:tc>
        <w:tc>
          <w:tcPr>
            <w:tcW w:w="1379" w:type="dxa"/>
            <w:tcBorders>
              <w:top w:val="nil"/>
              <w:left w:val="nil"/>
              <w:bottom w:val="nil"/>
              <w:right w:val="single" w:sz="4" w:space="0" w:color="auto"/>
            </w:tcBorders>
            <w:noWrap/>
            <w:vAlign w:val="bottom"/>
          </w:tcPr>
          <w:p w14:paraId="0EBFB31C"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6B46F5F0"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-2.352</w:t>
            </w:r>
          </w:p>
        </w:tc>
        <w:tc>
          <w:tcPr>
            <w:tcW w:w="1180" w:type="dxa"/>
            <w:tcBorders>
              <w:right w:val="single" w:sz="4" w:space="0" w:color="auto"/>
            </w:tcBorders>
            <w:vAlign w:val="bottom"/>
          </w:tcPr>
          <w:p w14:paraId="1C55DDF1" w14:textId="77777777" w:rsidR="00866699" w:rsidRPr="008017F0" w:rsidRDefault="00866699" w:rsidP="008C3712">
            <w:pPr>
              <w:spacing w:after="0" w:line="240" w:lineRule="auto"/>
              <w:ind w:right="-275"/>
              <w:jc w:val="both"/>
              <w:rPr>
                <w:rFonts w:cstheme="minorHAnsi"/>
                <w:sz w:val="18"/>
                <w:szCs w:val="18"/>
                <w:lang w:val="en-GB"/>
              </w:rPr>
            </w:pPr>
            <w:r w:rsidRPr="008017F0">
              <w:rPr>
                <w:rFonts w:cstheme="minorHAnsi"/>
                <w:sz w:val="18"/>
                <w:szCs w:val="18"/>
                <w:lang w:val="en-GB"/>
              </w:rPr>
              <w:t>***</w:t>
            </w:r>
          </w:p>
        </w:tc>
      </w:tr>
      <w:tr w:rsidR="00866699" w:rsidRPr="008017F0" w14:paraId="60307810" w14:textId="77777777" w:rsidTr="008C3712">
        <w:trPr>
          <w:trHeight w:val="227"/>
        </w:trPr>
        <w:tc>
          <w:tcPr>
            <w:tcW w:w="4536" w:type="dxa"/>
            <w:tcBorders>
              <w:top w:val="nil"/>
              <w:left w:val="single" w:sz="4" w:space="0" w:color="auto"/>
              <w:right w:val="single" w:sz="4" w:space="0" w:color="auto"/>
            </w:tcBorders>
            <w:noWrap/>
            <w:vAlign w:val="bottom"/>
          </w:tcPr>
          <w:p w14:paraId="454023BA"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Employment share, Construction</w:t>
            </w:r>
          </w:p>
        </w:tc>
        <w:tc>
          <w:tcPr>
            <w:tcW w:w="1171" w:type="dxa"/>
            <w:tcBorders>
              <w:top w:val="nil"/>
              <w:left w:val="single" w:sz="4" w:space="0" w:color="auto"/>
              <w:right w:val="nil"/>
            </w:tcBorders>
            <w:noWrap/>
            <w:vAlign w:val="bottom"/>
          </w:tcPr>
          <w:p w14:paraId="48A771C2"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34.964</w:t>
            </w:r>
          </w:p>
        </w:tc>
        <w:tc>
          <w:tcPr>
            <w:tcW w:w="1379" w:type="dxa"/>
            <w:tcBorders>
              <w:top w:val="nil"/>
              <w:left w:val="nil"/>
              <w:right w:val="single" w:sz="4" w:space="0" w:color="auto"/>
            </w:tcBorders>
            <w:noWrap/>
            <w:vAlign w:val="bottom"/>
          </w:tcPr>
          <w:p w14:paraId="5AC3FB7D"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2B93C659"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14:ligatures w14:val="standardContextual"/>
              </w:rPr>
              <w:t>-1.851</w:t>
            </w:r>
          </w:p>
        </w:tc>
        <w:tc>
          <w:tcPr>
            <w:tcW w:w="1180" w:type="dxa"/>
            <w:tcBorders>
              <w:right w:val="single" w:sz="4" w:space="0" w:color="auto"/>
            </w:tcBorders>
            <w:vAlign w:val="bottom"/>
          </w:tcPr>
          <w:p w14:paraId="5F2D194D"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27F85304" w14:textId="77777777" w:rsidTr="008C3712">
        <w:trPr>
          <w:trHeight w:val="227"/>
        </w:trPr>
        <w:tc>
          <w:tcPr>
            <w:tcW w:w="4536" w:type="dxa"/>
            <w:tcBorders>
              <w:top w:val="nil"/>
              <w:left w:val="single" w:sz="4" w:space="0" w:color="auto"/>
              <w:right w:val="single" w:sz="4" w:space="0" w:color="auto"/>
            </w:tcBorders>
            <w:noWrap/>
            <w:vAlign w:val="bottom"/>
          </w:tcPr>
          <w:p w14:paraId="3E7AD687"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Value added share, Manufacturing</w:t>
            </w:r>
          </w:p>
        </w:tc>
        <w:tc>
          <w:tcPr>
            <w:tcW w:w="1171" w:type="dxa"/>
            <w:tcBorders>
              <w:top w:val="nil"/>
              <w:left w:val="single" w:sz="4" w:space="0" w:color="auto"/>
              <w:right w:val="nil"/>
            </w:tcBorders>
            <w:noWrap/>
            <w:vAlign w:val="bottom"/>
          </w:tcPr>
          <w:p w14:paraId="0984D549"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32.060</w:t>
            </w:r>
          </w:p>
        </w:tc>
        <w:tc>
          <w:tcPr>
            <w:tcW w:w="1379" w:type="dxa"/>
            <w:tcBorders>
              <w:top w:val="nil"/>
              <w:left w:val="nil"/>
              <w:right w:val="single" w:sz="4" w:space="0" w:color="auto"/>
            </w:tcBorders>
            <w:noWrap/>
            <w:vAlign w:val="bottom"/>
          </w:tcPr>
          <w:p w14:paraId="47F6F5A3"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683A36D1"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-2.099</w:t>
            </w:r>
          </w:p>
        </w:tc>
        <w:tc>
          <w:tcPr>
            <w:tcW w:w="1180" w:type="dxa"/>
            <w:tcBorders>
              <w:right w:val="single" w:sz="4" w:space="0" w:color="auto"/>
            </w:tcBorders>
            <w:vAlign w:val="bottom"/>
          </w:tcPr>
          <w:p w14:paraId="1C55F081"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0631BFEF" w14:textId="77777777" w:rsidTr="008C3712">
        <w:trPr>
          <w:trHeight w:val="227"/>
        </w:trPr>
        <w:tc>
          <w:tcPr>
            <w:tcW w:w="4536" w:type="dxa"/>
            <w:tcBorders>
              <w:top w:val="nil"/>
              <w:left w:val="single" w:sz="4" w:space="0" w:color="auto"/>
              <w:right w:val="single" w:sz="4" w:space="0" w:color="auto"/>
            </w:tcBorders>
            <w:noWrap/>
            <w:vAlign w:val="bottom"/>
          </w:tcPr>
          <w:p w14:paraId="7C95853C"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Value added share, Public sector</w:t>
            </w:r>
          </w:p>
        </w:tc>
        <w:tc>
          <w:tcPr>
            <w:tcW w:w="1171" w:type="dxa"/>
            <w:tcBorders>
              <w:top w:val="nil"/>
              <w:left w:val="single" w:sz="4" w:space="0" w:color="auto"/>
              <w:right w:val="nil"/>
            </w:tcBorders>
            <w:noWrap/>
            <w:vAlign w:val="bottom"/>
          </w:tcPr>
          <w:p w14:paraId="0F254543"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24.972</w:t>
            </w:r>
          </w:p>
        </w:tc>
        <w:tc>
          <w:tcPr>
            <w:tcW w:w="1379" w:type="dxa"/>
            <w:tcBorders>
              <w:top w:val="nil"/>
              <w:left w:val="nil"/>
              <w:right w:val="single" w:sz="4" w:space="0" w:color="auto"/>
            </w:tcBorders>
            <w:noWrap/>
            <w:vAlign w:val="bottom"/>
          </w:tcPr>
          <w:p w14:paraId="23DED590"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36B3ADF6"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14:ligatures w14:val="standardContextual"/>
              </w:rPr>
              <w:t>-1.832</w:t>
            </w:r>
          </w:p>
        </w:tc>
        <w:tc>
          <w:tcPr>
            <w:tcW w:w="1180" w:type="dxa"/>
            <w:tcBorders>
              <w:right w:val="single" w:sz="4" w:space="0" w:color="auto"/>
            </w:tcBorders>
            <w:vAlign w:val="bottom"/>
          </w:tcPr>
          <w:p w14:paraId="26257622"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20BC0B42" w14:textId="77777777" w:rsidTr="008C3712">
        <w:trPr>
          <w:trHeight w:val="227"/>
        </w:trPr>
        <w:tc>
          <w:tcPr>
            <w:tcW w:w="4536" w:type="dxa"/>
            <w:tcBorders>
              <w:top w:val="nil"/>
              <w:left w:val="single" w:sz="4" w:space="0" w:color="auto"/>
              <w:right w:val="single" w:sz="4" w:space="0" w:color="auto"/>
            </w:tcBorders>
            <w:noWrap/>
            <w:vAlign w:val="bottom"/>
          </w:tcPr>
          <w:p w14:paraId="3D9CF589"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Ln (Unit labour cost, Services)</w:t>
            </w:r>
          </w:p>
        </w:tc>
        <w:tc>
          <w:tcPr>
            <w:tcW w:w="1171" w:type="dxa"/>
            <w:tcBorders>
              <w:top w:val="nil"/>
              <w:left w:val="single" w:sz="4" w:space="0" w:color="auto"/>
            </w:tcBorders>
            <w:noWrap/>
            <w:vAlign w:val="bottom"/>
          </w:tcPr>
          <w:p w14:paraId="49846E13"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25.800</w:t>
            </w:r>
          </w:p>
        </w:tc>
        <w:tc>
          <w:tcPr>
            <w:tcW w:w="1379" w:type="dxa"/>
            <w:tcBorders>
              <w:top w:val="nil"/>
              <w:right w:val="single" w:sz="4" w:space="0" w:color="auto"/>
            </w:tcBorders>
            <w:noWrap/>
            <w:vAlign w:val="bottom"/>
          </w:tcPr>
          <w:p w14:paraId="787F988E"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tcBorders>
            <w:vAlign w:val="bottom"/>
          </w:tcPr>
          <w:p w14:paraId="520C6EA1" w14:textId="77777777" w:rsidR="00866699" w:rsidRPr="008017F0" w:rsidRDefault="00866699" w:rsidP="008C3712">
            <w:pPr>
              <w:spacing w:after="0" w:line="240" w:lineRule="auto"/>
              <w:ind w:right="-36"/>
              <w:jc w:val="right"/>
              <w:rPr>
                <w:rFonts w:cstheme="minorHAnsi"/>
                <w:sz w:val="18"/>
                <w:szCs w:val="18"/>
                <w:lang w:val="en-GB"/>
                <w14:ligatures w14:val="standardContextual"/>
              </w:rPr>
            </w:pPr>
            <w:r w:rsidRPr="008017F0">
              <w:rPr>
                <w:rFonts w:cstheme="minorHAnsi"/>
                <w:sz w:val="18"/>
                <w:szCs w:val="18"/>
                <w:lang w:val="en-GB"/>
                <w14:ligatures w14:val="standardContextual"/>
              </w:rPr>
              <w:t>-1.376</w:t>
            </w:r>
          </w:p>
        </w:tc>
        <w:tc>
          <w:tcPr>
            <w:tcW w:w="1180" w:type="dxa"/>
            <w:tcBorders>
              <w:right w:val="single" w:sz="4" w:space="0" w:color="auto"/>
            </w:tcBorders>
            <w:vAlign w:val="bottom"/>
          </w:tcPr>
          <w:p w14:paraId="41FCF7D2" w14:textId="77777777" w:rsidR="00866699" w:rsidRPr="008017F0" w:rsidRDefault="00866699" w:rsidP="008C3712">
            <w:pPr>
              <w:spacing w:after="0" w:line="240" w:lineRule="auto"/>
              <w:ind w:right="-275"/>
              <w:jc w:val="both"/>
              <w:rPr>
                <w:rFonts w:cstheme="minorHAnsi"/>
                <w:sz w:val="18"/>
                <w:szCs w:val="18"/>
                <w:lang w:val="en-GB"/>
              </w:rPr>
            </w:pPr>
          </w:p>
        </w:tc>
      </w:tr>
      <w:tr w:rsidR="00866699" w:rsidRPr="008017F0" w14:paraId="41FF1C59" w14:textId="77777777" w:rsidTr="008C3712">
        <w:trPr>
          <w:trHeight w:val="227"/>
        </w:trPr>
        <w:tc>
          <w:tcPr>
            <w:tcW w:w="4536" w:type="dxa"/>
            <w:tcBorders>
              <w:left w:val="single" w:sz="4" w:space="0" w:color="auto"/>
              <w:bottom w:val="single" w:sz="4" w:space="0" w:color="auto"/>
              <w:right w:val="single" w:sz="4" w:space="0" w:color="auto"/>
            </w:tcBorders>
            <w:noWrap/>
            <w:vAlign w:val="bottom"/>
          </w:tcPr>
          <w:p w14:paraId="69089FE4" w14:textId="77777777" w:rsidR="00866699" w:rsidRPr="008017F0" w:rsidRDefault="00866699" w:rsidP="008C3712">
            <w:pPr>
              <w:spacing w:after="0" w:line="240" w:lineRule="auto"/>
              <w:jc w:val="center"/>
              <w:rPr>
                <w:rFonts w:cstheme="minorHAnsi"/>
                <w:sz w:val="18"/>
                <w:szCs w:val="18"/>
                <w:lang w:val="en-GB"/>
              </w:rPr>
            </w:pPr>
            <w:r w:rsidRPr="008017F0">
              <w:rPr>
                <w:rFonts w:cstheme="minorHAnsi"/>
                <w:sz w:val="18"/>
                <w:szCs w:val="18"/>
                <w:lang w:val="en-GB"/>
              </w:rPr>
              <w:t>Female unemployment rate</w:t>
            </w:r>
          </w:p>
        </w:tc>
        <w:tc>
          <w:tcPr>
            <w:tcW w:w="1171" w:type="dxa"/>
            <w:tcBorders>
              <w:left w:val="single" w:sz="4" w:space="0" w:color="auto"/>
              <w:bottom w:val="single" w:sz="4" w:space="0" w:color="auto"/>
            </w:tcBorders>
            <w:noWrap/>
            <w:vAlign w:val="bottom"/>
          </w:tcPr>
          <w:p w14:paraId="0AEAE185" w14:textId="77777777" w:rsidR="00866699" w:rsidRPr="008017F0" w:rsidRDefault="00866699" w:rsidP="008C3712">
            <w:pPr>
              <w:spacing w:after="0" w:line="240" w:lineRule="auto"/>
              <w:ind w:right="-32"/>
              <w:jc w:val="right"/>
              <w:rPr>
                <w:rFonts w:cstheme="minorHAnsi"/>
                <w:sz w:val="18"/>
                <w:szCs w:val="18"/>
                <w:lang w:val="en-GB"/>
              </w:rPr>
            </w:pPr>
            <w:r w:rsidRPr="008017F0">
              <w:rPr>
                <w:rFonts w:cstheme="minorHAnsi"/>
                <w:sz w:val="18"/>
                <w:szCs w:val="18"/>
                <w:lang w:val="en-GB"/>
              </w:rPr>
              <w:t>39.759</w:t>
            </w:r>
          </w:p>
        </w:tc>
        <w:tc>
          <w:tcPr>
            <w:tcW w:w="1379" w:type="dxa"/>
            <w:tcBorders>
              <w:bottom w:val="single" w:sz="4" w:space="0" w:color="auto"/>
              <w:right w:val="single" w:sz="4" w:space="0" w:color="auto"/>
            </w:tcBorders>
            <w:noWrap/>
            <w:vAlign w:val="bottom"/>
          </w:tcPr>
          <w:p w14:paraId="6FDA702C" w14:textId="77777777" w:rsidR="00866699" w:rsidRPr="008017F0" w:rsidRDefault="00866699" w:rsidP="008C3712">
            <w:pPr>
              <w:spacing w:after="0" w:line="240" w:lineRule="auto"/>
              <w:ind w:right="-275"/>
              <w:rPr>
                <w:rFonts w:cstheme="minorHAnsi"/>
                <w:sz w:val="18"/>
                <w:szCs w:val="18"/>
                <w:lang w:val="en-GB"/>
              </w:rPr>
            </w:pPr>
            <w:r w:rsidRPr="008017F0">
              <w:rPr>
                <w:rFonts w:cstheme="minorHAnsi"/>
                <w:sz w:val="18"/>
                <w:szCs w:val="18"/>
                <w:lang w:val="en-GB"/>
              </w:rPr>
              <w:t>***</w:t>
            </w:r>
          </w:p>
        </w:tc>
        <w:tc>
          <w:tcPr>
            <w:tcW w:w="1172" w:type="dxa"/>
            <w:gridSpan w:val="2"/>
            <w:tcBorders>
              <w:left w:val="single" w:sz="4" w:space="0" w:color="auto"/>
              <w:bottom w:val="single" w:sz="4" w:space="0" w:color="auto"/>
            </w:tcBorders>
            <w:vAlign w:val="bottom"/>
          </w:tcPr>
          <w:p w14:paraId="2A0E456A" w14:textId="77777777" w:rsidR="00866699" w:rsidRPr="008017F0" w:rsidRDefault="00866699" w:rsidP="008C3712">
            <w:pPr>
              <w:spacing w:after="0" w:line="240" w:lineRule="auto"/>
              <w:ind w:right="-36"/>
              <w:jc w:val="right"/>
              <w:rPr>
                <w:rFonts w:cstheme="minorHAnsi"/>
                <w:sz w:val="18"/>
                <w:szCs w:val="18"/>
                <w:lang w:val="en-GB"/>
              </w:rPr>
            </w:pPr>
            <w:r w:rsidRPr="008017F0">
              <w:rPr>
                <w:rFonts w:cstheme="minorHAnsi"/>
                <w:sz w:val="18"/>
                <w:szCs w:val="18"/>
                <w:lang w:val="en-GB"/>
                <w14:ligatures w14:val="standardContextual"/>
              </w:rPr>
              <w:t>-1.962</w:t>
            </w:r>
          </w:p>
        </w:tc>
        <w:tc>
          <w:tcPr>
            <w:tcW w:w="1180" w:type="dxa"/>
            <w:tcBorders>
              <w:bottom w:val="single" w:sz="4" w:space="0" w:color="auto"/>
              <w:right w:val="single" w:sz="4" w:space="0" w:color="auto"/>
            </w:tcBorders>
            <w:vAlign w:val="bottom"/>
          </w:tcPr>
          <w:p w14:paraId="0089D00C" w14:textId="77777777" w:rsidR="00866699" w:rsidRPr="008017F0" w:rsidRDefault="00866699" w:rsidP="008C3712">
            <w:pPr>
              <w:spacing w:after="0" w:line="240" w:lineRule="auto"/>
              <w:ind w:right="-275"/>
              <w:jc w:val="both"/>
              <w:rPr>
                <w:rFonts w:cstheme="minorHAnsi"/>
                <w:sz w:val="18"/>
                <w:szCs w:val="18"/>
                <w:lang w:val="en-GB"/>
              </w:rPr>
            </w:pPr>
          </w:p>
        </w:tc>
      </w:tr>
    </w:tbl>
    <w:p w14:paraId="72EF60D1" w14:textId="77777777" w:rsidR="00866699" w:rsidRPr="008017F0" w:rsidRDefault="00866699" w:rsidP="0055329C">
      <w:pPr>
        <w:spacing w:after="0" w:line="240" w:lineRule="auto"/>
        <w:ind w:left="142" w:right="282"/>
        <w:jc w:val="both"/>
        <w:rPr>
          <w:rFonts w:ascii="Times New Roman" w:hAnsi="Times New Roman" w:cs="Times New Roman"/>
          <w:b/>
          <w:bCs/>
          <w:i/>
          <w:iCs/>
          <w:sz w:val="20"/>
          <w:szCs w:val="20"/>
          <w:lang w:val="en-GB"/>
        </w:rPr>
      </w:pPr>
      <w:r w:rsidRPr="008017F0">
        <w:rPr>
          <w:rFonts w:ascii="Times New Roman" w:hAnsi="Times New Roman" w:cs="Times New Roman"/>
          <w:b/>
          <w:bCs/>
          <w:i/>
          <w:iCs/>
          <w:sz w:val="20"/>
          <w:szCs w:val="20"/>
          <w:lang w:val="en-GB"/>
        </w:rPr>
        <w:t>Notes:</w:t>
      </w:r>
    </w:p>
    <w:p w14:paraId="6462191A" w14:textId="77777777" w:rsidR="00866699" w:rsidRPr="008017F0" w:rsidRDefault="00866699" w:rsidP="0055329C">
      <w:pPr>
        <w:spacing w:after="0" w:line="240" w:lineRule="auto"/>
        <w:ind w:left="142" w:right="282"/>
        <w:jc w:val="both"/>
        <w:rPr>
          <w:rFonts w:ascii="Times New Roman" w:hAnsi="Times New Roman" w:cs="Times New Roman"/>
          <w:i/>
          <w:iCs/>
          <w:sz w:val="20"/>
          <w:szCs w:val="20"/>
          <w:lang w:val="en-GB"/>
        </w:rPr>
      </w:pPr>
      <w:r w:rsidRPr="008017F0">
        <w:rPr>
          <w:rFonts w:ascii="Times New Roman" w:hAnsi="Times New Roman" w:cs="Times New Roman"/>
          <w:b/>
          <w:bCs/>
          <w:i/>
          <w:iCs/>
          <w:sz w:val="20"/>
          <w:szCs w:val="20"/>
          <w:lang w:val="en-GB"/>
        </w:rPr>
        <w:t>Cross-section dependence test</w:t>
      </w:r>
      <w:r w:rsidRPr="008017F0">
        <w:rPr>
          <w:rFonts w:ascii="Times New Roman" w:hAnsi="Times New Roman" w:cs="Times New Roman"/>
          <w:i/>
          <w:iCs/>
          <w:sz w:val="20"/>
          <w:szCs w:val="20"/>
          <w:lang w:val="en-GB"/>
        </w:rPr>
        <w:t xml:space="preserve"> (</w:t>
      </w:r>
      <w:proofErr w:type="spellStart"/>
      <w:r w:rsidRPr="008017F0">
        <w:rPr>
          <w:rFonts w:ascii="Times New Roman" w:hAnsi="Times New Roman" w:cs="Times New Roman"/>
          <w:i/>
          <w:iCs/>
          <w:sz w:val="20"/>
          <w:szCs w:val="20"/>
          <w:lang w:val="en-GB"/>
        </w:rPr>
        <w:t>Pesaran</w:t>
      </w:r>
      <w:proofErr w:type="spellEnd"/>
      <w:r w:rsidRPr="008017F0">
        <w:rPr>
          <w:rFonts w:ascii="Times New Roman" w:hAnsi="Times New Roman" w:cs="Times New Roman"/>
          <w:i/>
          <w:iCs/>
          <w:sz w:val="20"/>
          <w:szCs w:val="20"/>
          <w:lang w:val="en-GB"/>
        </w:rPr>
        <w:t xml:space="preserve">, 2015): </w:t>
      </w:r>
      <w:r w:rsidRPr="008017F0">
        <w:rPr>
          <w:rFonts w:ascii="Times New Roman" w:hAnsi="Times New Roman" w:cs="Times New Roman"/>
          <w:i/>
          <w:iCs/>
          <w:sz w:val="20"/>
          <w:szCs w:val="20"/>
          <w:lang w:val="en-GB"/>
          <w14:ligatures w14:val="standardContextual"/>
        </w:rPr>
        <w:t xml:space="preserve">The null hypothesis assumes no cross-section dependence. </w:t>
      </w:r>
      <w:r w:rsidRPr="008017F0">
        <w:rPr>
          <w:rFonts w:ascii="Times New Roman" w:hAnsi="Times New Roman" w:cs="Times New Roman"/>
          <w:i/>
          <w:iCs/>
          <w:sz w:val="20"/>
          <w:szCs w:val="20"/>
          <w:lang w:val="en-GB"/>
        </w:rPr>
        <w:t>Under the null hypothesis the test statistic is distributed as a N (0, 1). Hence, p-values close to zero indicate that data are correlated across panel groups. For this test, *** denotes a p-value &lt;0.01; ** a p-value &lt;0.05; * a p-value &lt;0.1.</w:t>
      </w:r>
    </w:p>
    <w:p w14:paraId="2269D8EF" w14:textId="77777777" w:rsidR="00866699" w:rsidRPr="008017F0" w:rsidRDefault="00866699" w:rsidP="0055329C">
      <w:pPr>
        <w:spacing w:after="0" w:line="240" w:lineRule="auto"/>
        <w:ind w:left="142" w:right="282"/>
        <w:jc w:val="both"/>
        <w:rPr>
          <w:rFonts w:ascii="Times New Roman" w:hAnsi="Times New Roman" w:cs="Times New Roman"/>
          <w:i/>
          <w:iCs/>
          <w:sz w:val="20"/>
          <w:szCs w:val="20"/>
          <w:lang w:val="en-GB"/>
        </w:rPr>
      </w:pPr>
      <w:r w:rsidRPr="008017F0">
        <w:rPr>
          <w:rFonts w:ascii="Times New Roman" w:hAnsi="Times New Roman" w:cs="Times New Roman"/>
          <w:b/>
          <w:bCs/>
          <w:i/>
          <w:iCs/>
          <w:sz w:val="20"/>
          <w:szCs w:val="20"/>
          <w:lang w:val="en-GB"/>
        </w:rPr>
        <w:t>Panel unit root test</w:t>
      </w:r>
      <w:r w:rsidRPr="008017F0">
        <w:rPr>
          <w:rFonts w:ascii="Times New Roman" w:hAnsi="Times New Roman" w:cs="Times New Roman"/>
          <w:i/>
          <w:iCs/>
          <w:sz w:val="20"/>
          <w:szCs w:val="20"/>
          <w:lang w:val="en-GB"/>
        </w:rPr>
        <w:t xml:space="preserve"> (</w:t>
      </w:r>
      <w:proofErr w:type="spellStart"/>
      <w:r w:rsidRPr="008017F0">
        <w:rPr>
          <w:rFonts w:ascii="Times New Roman" w:hAnsi="Times New Roman" w:cs="Times New Roman"/>
          <w:i/>
          <w:iCs/>
          <w:sz w:val="20"/>
          <w:szCs w:val="20"/>
          <w:lang w:val="en-GB"/>
        </w:rPr>
        <w:t>Pesaran</w:t>
      </w:r>
      <w:proofErr w:type="spellEnd"/>
      <w:r w:rsidRPr="008017F0">
        <w:rPr>
          <w:rFonts w:ascii="Times New Roman" w:hAnsi="Times New Roman" w:cs="Times New Roman"/>
          <w:i/>
          <w:iCs/>
          <w:sz w:val="20"/>
          <w:szCs w:val="20"/>
          <w:lang w:val="en-GB"/>
        </w:rPr>
        <w:t xml:space="preserve">, 2007): </w:t>
      </w:r>
      <w:r w:rsidRPr="008017F0">
        <w:rPr>
          <w:rFonts w:ascii="Times New Roman" w:hAnsi="Times New Roman" w:cs="Times New Roman"/>
          <w:i/>
          <w:iCs/>
          <w:sz w:val="20"/>
          <w:szCs w:val="20"/>
          <w:lang w:val="en-GB"/>
          <w14:ligatures w14:val="standardContextual"/>
        </w:rPr>
        <w:t xml:space="preserve">The null hypothesis assumes non-stationarity. </w:t>
      </w:r>
      <w:r w:rsidRPr="008017F0">
        <w:rPr>
          <w:rFonts w:ascii="Times New Roman" w:hAnsi="Times New Roman" w:cs="Times New Roman"/>
          <w:i/>
          <w:iCs/>
          <w:sz w:val="20"/>
          <w:szCs w:val="20"/>
          <w:lang w:val="en-GB"/>
        </w:rPr>
        <w:t xml:space="preserve">Assuming that </w:t>
      </w:r>
      <w:r w:rsidRPr="008017F0">
        <w:rPr>
          <w:rFonts w:ascii="Times New Roman" w:hAnsi="Times New Roman" w:cs="Times New Roman"/>
          <w:i/>
          <w:iCs/>
          <w:sz w:val="20"/>
          <w:szCs w:val="20"/>
          <w:lang w:val="en-GB"/>
          <w14:ligatures w14:val="standardContextual"/>
        </w:rPr>
        <w:t>deterministic terms are represented by a constant term, critical values are -2.07 at 10% level, -2.15 at 5% level, -2.32 at 1% level. It follows that t-ratios below the critical values indicate that data are non-stationary. The criterion decision adopted for selecting the lags of the data generating process is the Portmanteau (Q) test for white noise</w:t>
      </w:r>
      <w:r w:rsidRPr="008017F0">
        <w:rPr>
          <w:rFonts w:ascii="Times New Roman" w:hAnsi="Times New Roman" w:cs="Times New Roman"/>
          <w:i/>
          <w:iCs/>
          <w:sz w:val="20"/>
          <w:szCs w:val="20"/>
          <w:lang w:val="en-GB"/>
        </w:rPr>
        <w:t xml:space="preserve"> residuals. For this test, *** denotes significance </w:t>
      </w:r>
      <w:r w:rsidRPr="008017F0">
        <w:rPr>
          <w:rFonts w:ascii="Times New Roman" w:hAnsi="Times New Roman" w:cs="Times New Roman"/>
          <w:i/>
          <w:iCs/>
          <w:sz w:val="20"/>
          <w:szCs w:val="20"/>
          <w:lang w:val="en-GB"/>
          <w14:ligatures w14:val="standardContextual"/>
        </w:rPr>
        <w:t>at 1% level</w:t>
      </w:r>
      <w:r w:rsidRPr="008017F0">
        <w:rPr>
          <w:rFonts w:ascii="Times New Roman" w:hAnsi="Times New Roman" w:cs="Times New Roman"/>
          <w:i/>
          <w:iCs/>
          <w:sz w:val="20"/>
          <w:szCs w:val="20"/>
          <w:lang w:val="en-GB"/>
        </w:rPr>
        <w:t xml:space="preserve">; ** significance </w:t>
      </w:r>
      <w:r w:rsidRPr="008017F0">
        <w:rPr>
          <w:rFonts w:ascii="Times New Roman" w:hAnsi="Times New Roman" w:cs="Times New Roman"/>
          <w:i/>
          <w:iCs/>
          <w:sz w:val="20"/>
          <w:szCs w:val="20"/>
          <w:lang w:val="en-GB"/>
          <w14:ligatures w14:val="standardContextual"/>
        </w:rPr>
        <w:t>at 5% level</w:t>
      </w:r>
      <w:r w:rsidRPr="008017F0">
        <w:rPr>
          <w:rFonts w:ascii="Times New Roman" w:hAnsi="Times New Roman" w:cs="Times New Roman"/>
          <w:i/>
          <w:iCs/>
          <w:sz w:val="20"/>
          <w:szCs w:val="20"/>
          <w:lang w:val="en-GB"/>
        </w:rPr>
        <w:t xml:space="preserve">; * significance </w:t>
      </w:r>
      <w:r w:rsidRPr="008017F0">
        <w:rPr>
          <w:rFonts w:ascii="Times New Roman" w:hAnsi="Times New Roman" w:cs="Times New Roman"/>
          <w:i/>
          <w:iCs/>
          <w:sz w:val="20"/>
          <w:szCs w:val="20"/>
          <w:lang w:val="en-GB"/>
          <w14:ligatures w14:val="standardContextual"/>
        </w:rPr>
        <w:t>at 1% level</w:t>
      </w:r>
    </w:p>
    <w:p w14:paraId="681CEE4A" w14:textId="77777777" w:rsidR="00866699" w:rsidRPr="008017F0" w:rsidRDefault="00866699" w:rsidP="0083510A">
      <w:pPr>
        <w:spacing w:after="0" w:line="360" w:lineRule="auto"/>
        <w:ind w:right="282"/>
        <w:jc w:val="both"/>
        <w:rPr>
          <w:rFonts w:ascii="Times New Roman" w:hAnsi="Times New Roman" w:cs="Times New Roman"/>
          <w:bCs/>
          <w:sz w:val="24"/>
          <w:szCs w:val="24"/>
          <w:lang w:val="en-GB"/>
        </w:rPr>
      </w:pPr>
    </w:p>
    <w:p w14:paraId="23949612" w14:textId="4B0E7661" w:rsidR="00A6145A" w:rsidRPr="008017F0" w:rsidRDefault="003F2503" w:rsidP="00A6145A">
      <w:pPr>
        <w:pStyle w:val="RSEG"/>
      </w:pPr>
      <w:r w:rsidRPr="008017F0">
        <w:lastRenderedPageBreak/>
        <w:t>As a consequence,</w:t>
      </w:r>
      <w:r w:rsidR="00A6145A" w:rsidRPr="008017F0">
        <w:t xml:space="preserve"> inference for </w:t>
      </w:r>
      <w:r w:rsidR="0055329C" w:rsidRPr="008017F0">
        <w:t xml:space="preserve">equation </w:t>
      </w:r>
      <w:r w:rsidR="00A6145A" w:rsidRPr="008017F0">
        <w:t xml:space="preserve">[4] </w:t>
      </w:r>
      <w:r w:rsidR="0055329C" w:rsidRPr="008017F0">
        <w:t xml:space="preserve">in the main text </w:t>
      </w:r>
      <w:r w:rsidRPr="008017F0">
        <w:t>is</w:t>
      </w:r>
      <w:r w:rsidR="00A6145A" w:rsidRPr="008017F0">
        <w:t xml:space="preserve"> based on the consistent covariance matrix proposed by Driscoll and Kraay (1998). This matrix yields standard errors for the regression coefficients that are robust to very general forms of heteroskedasticity, serial correlation of residuals and cross-section dependence when the time dimension of the panel is large.</w:t>
      </w:r>
    </w:p>
    <w:p w14:paraId="164E00B7" w14:textId="52A227B2" w:rsidR="00A6145A" w:rsidRPr="008017F0" w:rsidRDefault="00A6145A" w:rsidP="00A6145A">
      <w:pPr>
        <w:pStyle w:val="RSEG"/>
      </w:pPr>
      <w:r w:rsidRPr="008017F0">
        <w:t xml:space="preserve">The dynamic specification for [4] follows from a general-to-specific search that started with once and twice lagged values for the dependent variable, and current plus once and twice lagged values for </w:t>
      </w:r>
      <w:proofErr w:type="spellStart"/>
      <w:r w:rsidRPr="008017F0">
        <w:rPr>
          <w:i/>
          <w:iCs/>
        </w:rPr>
        <w:t>m_</w:t>
      </w:r>
      <w:r w:rsidR="00892F5D" w:rsidRPr="008017F0">
        <w:rPr>
          <w:i/>
          <w:iCs/>
        </w:rPr>
        <w:t>index</w:t>
      </w:r>
      <w:proofErr w:type="spellEnd"/>
      <w:r w:rsidR="00892F5D" w:rsidRPr="008017F0">
        <w:t xml:space="preserve"> and</w:t>
      </w:r>
      <w:r w:rsidR="003F2503" w:rsidRPr="008017F0">
        <w:t xml:space="preserve"> ended up in the specifications reported in Table 3 of the main text. </w:t>
      </w:r>
      <w:r w:rsidRPr="008017F0">
        <w:t>As said above, some regional dummies were included in the regressions. This was needed to obtain residuals that were not serially correlated for Roads (possibly because Basilicata is characterised by a complex local road network), Buildings (Valle d’Aosta with morphological peculiarities of the territory and Sicilia characterised by a particularly rich cultural and artistic heritage), Water (Basilicata</w:t>
      </w:r>
      <w:r w:rsidR="009E7DBA" w:rsidRPr="008017F0">
        <w:t>, Toscana and</w:t>
      </w:r>
      <w:r w:rsidRPr="008017F0">
        <w:t xml:space="preserve"> Sicilia suffering from relatively limited wastewater purification plants), Others (Piemonte, </w:t>
      </w:r>
      <w:proofErr w:type="spellStart"/>
      <w:r w:rsidRPr="008017F0">
        <w:t>Lombardia</w:t>
      </w:r>
      <w:proofErr w:type="spellEnd"/>
      <w:r w:rsidRPr="008017F0">
        <w:t xml:space="preserve"> and Veneto possibly characterised by their proximity to the Alps</w:t>
      </w:r>
      <w:r w:rsidR="009E7DBA" w:rsidRPr="008017F0">
        <w:t>, and Basilicata</w:t>
      </w:r>
      <w:r w:rsidRPr="008017F0">
        <w:t>), Core (</w:t>
      </w:r>
      <w:r w:rsidR="009E7DBA" w:rsidRPr="008017F0">
        <w:t xml:space="preserve">Piemonte, </w:t>
      </w:r>
      <w:r w:rsidRPr="008017F0">
        <w:t>Abruzzo and Basilicata), Noncore (Valle d’Aosta and Sicilia). The absence of serial correlation in the residuals is propaedeutic to the construction of a PSP index based on a correctly specified model. Indeed, the Reset misspecification test is unreliable in the presence of serially correlated residuals (Godfrey, 1988). Besides, white noise residuals imply that there is no endogeneity problem for the monetary capital, if no current values of the latter enter the estimates.</w:t>
      </w:r>
    </w:p>
    <w:p w14:paraId="23770E62" w14:textId="2988A346" w:rsidR="00892F5D" w:rsidRPr="008017F0" w:rsidRDefault="00A6145A" w:rsidP="00A6145A">
      <w:pPr>
        <w:pStyle w:val="RSEG"/>
      </w:pPr>
      <w:r w:rsidRPr="008017F0">
        <w:t xml:space="preserve">Note that equation [4] implicitly assumes the existence of a long-run relationship between the physical index of infrastructure and the monetary capital stock. If these variables are non-stationary, we can formally test for the existence of a long-run cointegrating relationship, yielding further precious information about the soundness of our econometric model. To test for non-stationarity, we apply the unit root test proposed by </w:t>
      </w:r>
      <w:proofErr w:type="spellStart"/>
      <w:r w:rsidRPr="008017F0">
        <w:t>Pesaran</w:t>
      </w:r>
      <w:proofErr w:type="spellEnd"/>
      <w:r w:rsidRPr="008017F0">
        <w:t xml:space="preserve"> (2007), that is robust to very general forms of cross-section dependence. The findings from </w:t>
      </w:r>
      <w:r w:rsidR="00892F5D" w:rsidRPr="008017F0">
        <w:t xml:space="preserve">the second column of </w:t>
      </w:r>
      <w:r w:rsidRPr="008017F0">
        <w:t xml:space="preserve">Table </w:t>
      </w:r>
      <w:r w:rsidR="00866699" w:rsidRPr="008017F0">
        <w:t>A</w:t>
      </w:r>
      <w:r w:rsidR="00AA2B9A" w:rsidRPr="008017F0">
        <w:t>9</w:t>
      </w:r>
      <w:r w:rsidR="00866699" w:rsidRPr="008017F0">
        <w:t>.</w:t>
      </w:r>
      <w:r w:rsidRPr="008017F0">
        <w:t xml:space="preserve">A indicate that the null hypothesis of non-stationarity is not rejected for most physical and monetary indicators, as well as for </w:t>
      </w:r>
      <w:proofErr w:type="spellStart"/>
      <w:r w:rsidRPr="008017F0">
        <w:rPr>
          <w:i/>
          <w:iCs/>
        </w:rPr>
        <w:t>ctr_density</w:t>
      </w:r>
      <w:proofErr w:type="spellEnd"/>
      <w:r w:rsidRPr="008017F0">
        <w:t xml:space="preserve"> and </w:t>
      </w:r>
      <w:proofErr w:type="spellStart"/>
      <w:r w:rsidRPr="008017F0">
        <w:rPr>
          <w:i/>
          <w:iCs/>
        </w:rPr>
        <w:t>emp_man</w:t>
      </w:r>
      <w:proofErr w:type="spellEnd"/>
      <w:r w:rsidRPr="008017F0">
        <w:t xml:space="preserve"> (note that some controls are time-invariant). As not all these variables are non-stationary, an appropriate test for cointegration is supplied by the bounds testing procedure proposed by </w:t>
      </w:r>
      <w:proofErr w:type="spellStart"/>
      <w:r w:rsidRPr="008017F0">
        <w:t>Bertsatos</w:t>
      </w:r>
      <w:proofErr w:type="spellEnd"/>
      <w:r w:rsidRPr="008017F0">
        <w:t xml:space="preserve"> et al. (2023), which generalizes to panel data the bounds testing procedure first developed by </w:t>
      </w:r>
      <w:proofErr w:type="spellStart"/>
      <w:r w:rsidRPr="008017F0">
        <w:t>Pesaran</w:t>
      </w:r>
      <w:proofErr w:type="spellEnd"/>
      <w:r w:rsidRPr="008017F0">
        <w:t xml:space="preserve"> et al. (2001). This procedure provides evidence about a cointegrating relationship even if not all the variables under investigation are non-stationary. </w:t>
      </w:r>
    </w:p>
    <w:p w14:paraId="16DF5FC7" w14:textId="77777777" w:rsidR="00A6145A" w:rsidRPr="008017F0" w:rsidRDefault="00A6145A" w:rsidP="00A6145A">
      <w:pPr>
        <w:pStyle w:val="RSEG"/>
        <w:rPr>
          <w:bCs/>
          <w:i/>
          <w:iCs/>
        </w:rPr>
      </w:pPr>
      <w:r w:rsidRPr="008017F0">
        <w:rPr>
          <w:bCs/>
          <w:i/>
          <w:iCs/>
        </w:rPr>
        <w:t xml:space="preserve">Supplementary information about the bounds testing procedure, </w:t>
      </w:r>
      <w:proofErr w:type="spellStart"/>
      <w:r w:rsidRPr="008017F0">
        <w:rPr>
          <w:bCs/>
          <w:i/>
          <w:iCs/>
        </w:rPr>
        <w:t>Bertsatos</w:t>
      </w:r>
      <w:proofErr w:type="spellEnd"/>
      <w:r w:rsidRPr="008017F0">
        <w:rPr>
          <w:bCs/>
          <w:i/>
          <w:iCs/>
        </w:rPr>
        <w:t xml:space="preserve"> et al. (2023).</w:t>
      </w:r>
    </w:p>
    <w:p w14:paraId="126A0361" w14:textId="7777777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The bounds testing procedure (BTP) developed by </w:t>
      </w:r>
      <w:proofErr w:type="spellStart"/>
      <w:r w:rsidRPr="008017F0">
        <w:rPr>
          <w:rFonts w:ascii="Times New Roman" w:hAnsi="Times New Roman" w:cs="Times New Roman"/>
          <w:sz w:val="24"/>
          <w:szCs w:val="24"/>
          <w:lang w:val="en-GB"/>
        </w:rPr>
        <w:t>Bertsatos</w:t>
      </w:r>
      <w:proofErr w:type="spellEnd"/>
      <w:r w:rsidRPr="008017F0">
        <w:rPr>
          <w:rFonts w:ascii="Times New Roman" w:hAnsi="Times New Roman" w:cs="Times New Roman"/>
          <w:sz w:val="24"/>
          <w:szCs w:val="24"/>
          <w:lang w:val="en-GB"/>
        </w:rPr>
        <w:t xml:space="preserve"> et al. (2023) builds upon the method proposed by </w:t>
      </w:r>
      <w:proofErr w:type="spellStart"/>
      <w:r w:rsidRPr="008017F0">
        <w:rPr>
          <w:rFonts w:ascii="Times New Roman" w:hAnsi="Times New Roman" w:cs="Times New Roman"/>
          <w:sz w:val="24"/>
          <w:szCs w:val="24"/>
          <w:lang w:val="en-GB"/>
        </w:rPr>
        <w:t>Pesaran</w:t>
      </w:r>
      <w:proofErr w:type="spellEnd"/>
      <w:r w:rsidRPr="008017F0">
        <w:rPr>
          <w:rFonts w:ascii="Times New Roman" w:hAnsi="Times New Roman" w:cs="Times New Roman"/>
          <w:sz w:val="24"/>
          <w:szCs w:val="24"/>
          <w:lang w:val="en-GB"/>
        </w:rPr>
        <w:t xml:space="preserve"> et al. (2001) to test for a long-run (cointegration) relationship between variables in an Autoregressive Distributed Lag (ARDL) model. It is particularly useful for relatively small </w:t>
      </w:r>
      <w:r w:rsidRPr="008017F0">
        <w:rPr>
          <w:rFonts w:ascii="Times New Roman" w:hAnsi="Times New Roman" w:cs="Times New Roman"/>
          <w:sz w:val="24"/>
          <w:szCs w:val="24"/>
          <w:lang w:val="en-GB"/>
        </w:rPr>
        <w:lastRenderedPageBreak/>
        <w:t>sample sizes and when variables have different orders of integration (e.g., a mix of I(0) and I(1) series).</w:t>
      </w:r>
    </w:p>
    <w:p w14:paraId="0810488E" w14:textId="7777777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The BTP involves reparametrizing a panel ARDL model in an unrestricted error correction form that includes both short-run and long-run components, typically with variables in their difference and lagged level forms, then conducting a battery of tests on the significance of the long-run coefficients. The calculated F-statistics on the joint significance of the long-run coefficients are compared to two critical bounds. If they exceed the upper bound, the null hypothesis of no cointegration is rejected; if it their values are below the lower bound, the null hypothesis of no cointegration cannot be rejected and no cointegrating relationship exists. If their values fall between the bounds, the test is inconclusive, unless there is strong a priori information about the order of integration of the variables under scrutiny.</w:t>
      </w:r>
    </w:p>
    <w:p w14:paraId="73BC186B" w14:textId="306FD61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In Table </w:t>
      </w:r>
      <w:r w:rsidR="00FE2EAA" w:rsidRPr="008017F0">
        <w:rPr>
          <w:rFonts w:ascii="Times New Roman" w:hAnsi="Times New Roman" w:cs="Times New Roman"/>
          <w:sz w:val="24"/>
          <w:szCs w:val="24"/>
          <w:lang w:val="en-GB"/>
        </w:rPr>
        <w:t>3</w:t>
      </w:r>
      <w:r w:rsidRPr="008017F0">
        <w:rPr>
          <w:rFonts w:ascii="Times New Roman" w:hAnsi="Times New Roman" w:cs="Times New Roman"/>
          <w:sz w:val="24"/>
          <w:szCs w:val="24"/>
          <w:lang w:val="en-GB"/>
        </w:rPr>
        <w:t xml:space="preserve"> </w:t>
      </w:r>
      <w:r w:rsidR="00AA2B9A" w:rsidRPr="008017F0">
        <w:rPr>
          <w:rFonts w:ascii="Times New Roman" w:hAnsi="Times New Roman" w:cs="Times New Roman"/>
          <w:sz w:val="24"/>
          <w:szCs w:val="24"/>
          <w:lang w:val="en-GB"/>
        </w:rPr>
        <w:t xml:space="preserve">of the main text </w:t>
      </w:r>
      <w:r w:rsidRPr="008017F0">
        <w:rPr>
          <w:rFonts w:ascii="Times New Roman" w:hAnsi="Times New Roman" w:cs="Times New Roman"/>
          <w:sz w:val="24"/>
          <w:szCs w:val="24"/>
          <w:lang w:val="en-GB"/>
        </w:rPr>
        <w:t xml:space="preserve">and </w:t>
      </w:r>
      <w:r w:rsidR="005A043F" w:rsidRPr="008017F0">
        <w:rPr>
          <w:rFonts w:ascii="Times New Roman" w:hAnsi="Times New Roman" w:cs="Times New Roman"/>
          <w:sz w:val="24"/>
          <w:szCs w:val="24"/>
          <w:lang w:val="en-GB"/>
        </w:rPr>
        <w:t>A12</w:t>
      </w:r>
      <w:r w:rsidRPr="008017F0">
        <w:rPr>
          <w:rFonts w:ascii="Times New Roman" w:hAnsi="Times New Roman" w:cs="Times New Roman"/>
          <w:sz w:val="24"/>
          <w:szCs w:val="24"/>
          <w:lang w:val="en-GB"/>
        </w:rPr>
        <w:t>:</w:t>
      </w:r>
    </w:p>
    <w:p w14:paraId="1201C0DA" w14:textId="7777777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the </w:t>
      </w:r>
      <w:r w:rsidRPr="008017F0">
        <w:rPr>
          <w:rFonts w:ascii="Times New Roman" w:hAnsi="Times New Roman" w:cs="Times New Roman"/>
          <w:i/>
          <w:iCs/>
          <w:sz w:val="24"/>
          <w:szCs w:val="24"/>
          <w:lang w:val="en-GB"/>
        </w:rPr>
        <w:t xml:space="preserve">BTP </w:t>
      </w:r>
      <w:proofErr w:type="spellStart"/>
      <w:r w:rsidRPr="008017F0">
        <w:rPr>
          <w:rFonts w:ascii="Times New Roman" w:hAnsi="Times New Roman" w:cs="Times New Roman"/>
          <w:i/>
          <w:iCs/>
          <w:sz w:val="24"/>
          <w:szCs w:val="24"/>
          <w:lang w:val="en-GB"/>
        </w:rPr>
        <w:t>F</w:t>
      </w:r>
      <w:r w:rsidRPr="008017F0">
        <w:rPr>
          <w:rFonts w:ascii="Times New Roman" w:hAnsi="Times New Roman" w:cs="Times New Roman"/>
          <w:i/>
          <w:iCs/>
          <w:sz w:val="24"/>
          <w:szCs w:val="24"/>
          <w:vertAlign w:val="subscript"/>
          <w:lang w:val="en-GB"/>
        </w:rPr>
        <w:t>yx</w:t>
      </w:r>
      <w:proofErr w:type="spellEnd"/>
      <w:r w:rsidRPr="008017F0">
        <w:rPr>
          <w:rFonts w:ascii="Times New Roman" w:hAnsi="Times New Roman" w:cs="Times New Roman"/>
          <w:sz w:val="24"/>
          <w:szCs w:val="24"/>
          <w:lang w:val="en-GB"/>
        </w:rPr>
        <w:t xml:space="preserve"> statistic tests for the joint significance of the long-run coefficients (in lagged levels) of the variable of interest </w:t>
      </w:r>
      <w:r w:rsidRPr="008017F0">
        <w:rPr>
          <w:rFonts w:ascii="Times New Roman" w:hAnsi="Times New Roman" w:cs="Times New Roman"/>
          <w:i/>
          <w:iCs/>
          <w:sz w:val="24"/>
          <w:szCs w:val="24"/>
          <w:lang w:val="en-GB"/>
        </w:rPr>
        <w:t>y</w:t>
      </w:r>
      <w:r w:rsidRPr="008017F0">
        <w:rPr>
          <w:rFonts w:ascii="Times New Roman" w:hAnsi="Times New Roman" w:cs="Times New Roman"/>
          <w:sz w:val="24"/>
          <w:szCs w:val="24"/>
          <w:lang w:val="en-GB"/>
        </w:rPr>
        <w:t xml:space="preserve"> (the dependent variable) and of all the </w:t>
      </w:r>
      <w:r w:rsidRPr="008017F0">
        <w:rPr>
          <w:rFonts w:ascii="Times New Roman" w:hAnsi="Times New Roman" w:cs="Times New Roman"/>
          <w:i/>
          <w:iCs/>
          <w:sz w:val="24"/>
          <w:szCs w:val="24"/>
          <w:lang w:val="en-GB"/>
        </w:rPr>
        <w:t>x</w:t>
      </w:r>
      <w:r w:rsidRPr="008017F0">
        <w:rPr>
          <w:rFonts w:ascii="Times New Roman" w:hAnsi="Times New Roman" w:cs="Times New Roman"/>
          <w:sz w:val="24"/>
          <w:szCs w:val="24"/>
          <w:lang w:val="en-GB"/>
        </w:rPr>
        <w:t xml:space="preserve"> forcing variables (the stochastic regressors);</w:t>
      </w:r>
    </w:p>
    <w:p w14:paraId="685027F6" w14:textId="7777777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the </w:t>
      </w:r>
      <w:r w:rsidRPr="008017F0">
        <w:rPr>
          <w:rFonts w:ascii="Times New Roman" w:hAnsi="Times New Roman" w:cs="Times New Roman"/>
          <w:i/>
          <w:iCs/>
          <w:sz w:val="24"/>
          <w:szCs w:val="24"/>
          <w:lang w:val="en-GB"/>
        </w:rPr>
        <w:t>BTP t</w:t>
      </w:r>
      <w:r w:rsidRPr="008017F0">
        <w:rPr>
          <w:rFonts w:ascii="Times New Roman" w:hAnsi="Times New Roman" w:cs="Times New Roman"/>
          <w:i/>
          <w:iCs/>
          <w:sz w:val="24"/>
          <w:szCs w:val="24"/>
          <w:vertAlign w:val="subscript"/>
          <w:lang w:val="en-GB"/>
        </w:rPr>
        <w:t>y</w:t>
      </w:r>
      <w:r w:rsidRPr="008017F0">
        <w:rPr>
          <w:rFonts w:ascii="Times New Roman" w:hAnsi="Times New Roman" w:cs="Times New Roman"/>
          <w:sz w:val="24"/>
          <w:szCs w:val="24"/>
          <w:lang w:val="en-GB"/>
        </w:rPr>
        <w:t xml:space="preserve"> statistic tests for the significance of the long-run coefficient of the variable of interest </w:t>
      </w:r>
      <w:r w:rsidRPr="008017F0">
        <w:rPr>
          <w:rFonts w:ascii="Times New Roman" w:hAnsi="Times New Roman" w:cs="Times New Roman"/>
          <w:i/>
          <w:iCs/>
          <w:sz w:val="24"/>
          <w:szCs w:val="24"/>
          <w:lang w:val="en-GB"/>
        </w:rPr>
        <w:t>y</w:t>
      </w:r>
      <w:r w:rsidRPr="008017F0">
        <w:rPr>
          <w:rFonts w:ascii="Times New Roman" w:hAnsi="Times New Roman" w:cs="Times New Roman"/>
          <w:sz w:val="24"/>
          <w:szCs w:val="24"/>
          <w:lang w:val="en-GB"/>
        </w:rPr>
        <w:t>;</w:t>
      </w:r>
    </w:p>
    <w:p w14:paraId="6619EE1E" w14:textId="7777777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the </w:t>
      </w:r>
      <w:r w:rsidRPr="008017F0">
        <w:rPr>
          <w:rFonts w:ascii="Times New Roman" w:hAnsi="Times New Roman" w:cs="Times New Roman"/>
          <w:i/>
          <w:iCs/>
          <w:sz w:val="24"/>
          <w:szCs w:val="24"/>
          <w:lang w:val="en-GB"/>
        </w:rPr>
        <w:t xml:space="preserve">BTP </w:t>
      </w:r>
      <w:proofErr w:type="spellStart"/>
      <w:r w:rsidRPr="008017F0">
        <w:rPr>
          <w:rFonts w:ascii="Times New Roman" w:hAnsi="Times New Roman" w:cs="Times New Roman"/>
          <w:i/>
          <w:iCs/>
          <w:sz w:val="24"/>
          <w:szCs w:val="24"/>
          <w:lang w:val="en-GB"/>
        </w:rPr>
        <w:t>F</w:t>
      </w:r>
      <w:r w:rsidRPr="008017F0">
        <w:rPr>
          <w:rFonts w:ascii="Times New Roman" w:hAnsi="Times New Roman" w:cs="Times New Roman"/>
          <w:i/>
          <w:iCs/>
          <w:sz w:val="24"/>
          <w:szCs w:val="24"/>
          <w:vertAlign w:val="subscript"/>
          <w:lang w:val="en-GB"/>
        </w:rPr>
        <w:t>x</w:t>
      </w:r>
      <w:proofErr w:type="spellEnd"/>
      <w:r w:rsidRPr="008017F0">
        <w:rPr>
          <w:rFonts w:ascii="Times New Roman" w:hAnsi="Times New Roman" w:cs="Times New Roman"/>
          <w:sz w:val="24"/>
          <w:szCs w:val="24"/>
          <w:lang w:val="en-GB"/>
        </w:rPr>
        <w:t xml:space="preserve"> tests for the joint significance of the long-run coefficients of all the </w:t>
      </w:r>
      <w:r w:rsidRPr="008017F0">
        <w:rPr>
          <w:rFonts w:ascii="Times New Roman" w:hAnsi="Times New Roman" w:cs="Times New Roman"/>
          <w:i/>
          <w:iCs/>
          <w:sz w:val="24"/>
          <w:szCs w:val="24"/>
          <w:lang w:val="en-GB"/>
        </w:rPr>
        <w:t>x</w:t>
      </w:r>
      <w:r w:rsidRPr="008017F0">
        <w:rPr>
          <w:rFonts w:ascii="Times New Roman" w:hAnsi="Times New Roman" w:cs="Times New Roman"/>
          <w:sz w:val="24"/>
          <w:szCs w:val="24"/>
          <w:lang w:val="en-GB"/>
        </w:rPr>
        <w:t xml:space="preserve"> forcing variables.</w:t>
      </w:r>
    </w:p>
    <w:p w14:paraId="0BD0E85E" w14:textId="77777777" w:rsidR="00A6145A" w:rsidRPr="008017F0" w:rsidRDefault="00A6145A" w:rsidP="00A6145A">
      <w:pPr>
        <w:autoSpaceDE w:val="0"/>
        <w:autoSpaceDN w:val="0"/>
        <w:adjustRightInd w:val="0"/>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If the null hypothesis of no significance is rejected for BTP </w:t>
      </w:r>
      <w:proofErr w:type="spellStart"/>
      <w:r w:rsidRPr="008017F0">
        <w:rPr>
          <w:rFonts w:ascii="Times New Roman" w:hAnsi="Times New Roman" w:cs="Times New Roman"/>
          <w:sz w:val="24"/>
          <w:szCs w:val="24"/>
          <w:lang w:val="en-GB"/>
        </w:rPr>
        <w:t>F</w:t>
      </w:r>
      <w:r w:rsidRPr="008017F0">
        <w:rPr>
          <w:rFonts w:ascii="Times New Roman" w:hAnsi="Times New Roman" w:cs="Times New Roman"/>
          <w:sz w:val="24"/>
          <w:szCs w:val="24"/>
          <w:vertAlign w:val="subscript"/>
          <w:lang w:val="en-GB"/>
        </w:rPr>
        <w:t>yx</w:t>
      </w:r>
      <w:proofErr w:type="spellEnd"/>
      <w:r w:rsidRPr="008017F0">
        <w:rPr>
          <w:rFonts w:ascii="Times New Roman" w:hAnsi="Times New Roman" w:cs="Times New Roman"/>
          <w:sz w:val="24"/>
          <w:szCs w:val="24"/>
          <w:lang w:val="en-GB"/>
        </w:rPr>
        <w:t>, BTP t</w:t>
      </w:r>
      <w:r w:rsidRPr="008017F0">
        <w:rPr>
          <w:rFonts w:ascii="Times New Roman" w:hAnsi="Times New Roman" w:cs="Times New Roman"/>
          <w:sz w:val="24"/>
          <w:szCs w:val="24"/>
          <w:vertAlign w:val="subscript"/>
          <w:lang w:val="en-GB"/>
        </w:rPr>
        <w:t>y</w:t>
      </w:r>
      <w:r w:rsidRPr="008017F0">
        <w:rPr>
          <w:rFonts w:ascii="Times New Roman" w:hAnsi="Times New Roman" w:cs="Times New Roman"/>
          <w:sz w:val="24"/>
          <w:szCs w:val="24"/>
          <w:lang w:val="en-GB"/>
        </w:rPr>
        <w:t xml:space="preserve">, and BTP </w:t>
      </w:r>
      <w:proofErr w:type="spellStart"/>
      <w:r w:rsidRPr="008017F0">
        <w:rPr>
          <w:rFonts w:ascii="Times New Roman" w:hAnsi="Times New Roman" w:cs="Times New Roman"/>
          <w:sz w:val="24"/>
          <w:szCs w:val="24"/>
          <w:lang w:val="en-GB"/>
        </w:rPr>
        <w:t>F</w:t>
      </w:r>
      <w:r w:rsidRPr="008017F0">
        <w:rPr>
          <w:rFonts w:ascii="Times New Roman" w:hAnsi="Times New Roman" w:cs="Times New Roman"/>
          <w:sz w:val="24"/>
          <w:szCs w:val="24"/>
          <w:vertAlign w:val="subscript"/>
          <w:lang w:val="en-GB"/>
        </w:rPr>
        <w:t>x</w:t>
      </w:r>
      <w:proofErr w:type="spellEnd"/>
      <w:r w:rsidRPr="008017F0">
        <w:rPr>
          <w:rFonts w:ascii="Times New Roman" w:hAnsi="Times New Roman" w:cs="Times New Roman"/>
          <w:sz w:val="24"/>
          <w:szCs w:val="24"/>
          <w:lang w:val="en-GB"/>
        </w:rPr>
        <w:t xml:space="preserve">, we find evidence that a non-degenerate cointegrating relationship exists in levels between </w:t>
      </w:r>
      <w:r w:rsidRPr="008017F0">
        <w:rPr>
          <w:rFonts w:ascii="Times New Roman" w:hAnsi="Times New Roman" w:cs="Times New Roman"/>
          <w:i/>
          <w:iCs/>
          <w:sz w:val="24"/>
          <w:szCs w:val="24"/>
          <w:lang w:val="en-GB"/>
        </w:rPr>
        <w:t>y</w:t>
      </w:r>
      <w:r w:rsidRPr="008017F0">
        <w:rPr>
          <w:rFonts w:ascii="Times New Roman" w:hAnsi="Times New Roman" w:cs="Times New Roman"/>
          <w:sz w:val="24"/>
          <w:szCs w:val="24"/>
          <w:lang w:val="en-GB"/>
        </w:rPr>
        <w:t xml:space="preserve"> and the forcing variables </w:t>
      </w:r>
      <w:r w:rsidRPr="008017F0">
        <w:rPr>
          <w:rFonts w:ascii="Times New Roman" w:hAnsi="Times New Roman" w:cs="Times New Roman"/>
          <w:i/>
          <w:iCs/>
          <w:sz w:val="24"/>
          <w:szCs w:val="24"/>
          <w:lang w:val="en-GB"/>
        </w:rPr>
        <w:t>x</w:t>
      </w:r>
      <w:r w:rsidRPr="008017F0">
        <w:rPr>
          <w:rFonts w:ascii="Times New Roman" w:hAnsi="Times New Roman" w:cs="Times New Roman"/>
          <w:sz w:val="24"/>
          <w:szCs w:val="24"/>
          <w:lang w:val="en-GB"/>
        </w:rPr>
        <w:t>.</w:t>
      </w:r>
    </w:p>
    <w:p w14:paraId="686F0E1A" w14:textId="77777777" w:rsidR="00A6145A" w:rsidRPr="008017F0" w:rsidRDefault="00A6145A" w:rsidP="00A6145A">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The lower and upper critical bound values for the F-statistics and the confidence interval for the t-statistic are computed through an </w:t>
      </w:r>
      <w:proofErr w:type="spellStart"/>
      <w:r w:rsidRPr="008017F0">
        <w:rPr>
          <w:rFonts w:ascii="Times New Roman" w:hAnsi="Times New Roman" w:cs="Times New Roman"/>
          <w:sz w:val="24"/>
          <w:szCs w:val="24"/>
          <w:lang w:val="en-GB"/>
        </w:rPr>
        <w:t>Eviews</w:t>
      </w:r>
      <w:proofErr w:type="spellEnd"/>
      <w:r w:rsidRPr="008017F0">
        <w:rPr>
          <w:rFonts w:ascii="Times New Roman" w:hAnsi="Times New Roman" w:cs="Times New Roman"/>
          <w:sz w:val="24"/>
          <w:szCs w:val="24"/>
          <w:lang w:val="en-GB"/>
        </w:rPr>
        <w:t xml:space="preserve"> routine provided by </w:t>
      </w:r>
      <w:proofErr w:type="spellStart"/>
      <w:r w:rsidRPr="008017F0">
        <w:rPr>
          <w:rFonts w:ascii="Times New Roman" w:hAnsi="Times New Roman" w:cs="Times New Roman"/>
          <w:sz w:val="24"/>
          <w:szCs w:val="24"/>
          <w:lang w:val="en-GB"/>
        </w:rPr>
        <w:t>Bertsatos</w:t>
      </w:r>
      <w:proofErr w:type="spellEnd"/>
      <w:r w:rsidRPr="008017F0">
        <w:rPr>
          <w:rFonts w:ascii="Times New Roman" w:hAnsi="Times New Roman" w:cs="Times New Roman"/>
          <w:sz w:val="24"/>
          <w:szCs w:val="24"/>
          <w:lang w:val="en-GB"/>
        </w:rPr>
        <w:t xml:space="preserve"> et al. (2023).</w:t>
      </w:r>
    </w:p>
    <w:p w14:paraId="077CDEE1" w14:textId="756CBD81" w:rsidR="00A6145A" w:rsidRPr="008017F0" w:rsidRDefault="00A6145A" w:rsidP="00A6145A">
      <w:pPr>
        <w:autoSpaceDE w:val="0"/>
        <w:autoSpaceDN w:val="0"/>
        <w:adjustRightInd w:val="0"/>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In Table </w:t>
      </w:r>
      <w:r w:rsidR="00AA2B9A" w:rsidRPr="008017F0">
        <w:rPr>
          <w:rFonts w:ascii="Times New Roman" w:hAnsi="Times New Roman" w:cs="Times New Roman"/>
          <w:sz w:val="24"/>
          <w:szCs w:val="24"/>
          <w:lang w:val="en-GB"/>
        </w:rPr>
        <w:t>3</w:t>
      </w:r>
      <w:r w:rsidR="0080517A" w:rsidRPr="008017F0">
        <w:rPr>
          <w:rFonts w:ascii="Times New Roman" w:hAnsi="Times New Roman" w:cs="Times New Roman"/>
          <w:sz w:val="24"/>
          <w:szCs w:val="24"/>
          <w:lang w:val="en-GB"/>
        </w:rPr>
        <w:t xml:space="preserve"> (main text)</w:t>
      </w:r>
      <w:r w:rsidRPr="008017F0">
        <w:rPr>
          <w:rFonts w:ascii="Times New Roman" w:hAnsi="Times New Roman" w:cs="Times New Roman"/>
          <w:sz w:val="24"/>
          <w:szCs w:val="24"/>
          <w:lang w:val="en-GB"/>
        </w:rPr>
        <w:t xml:space="preserve">, the critical values refer to </w:t>
      </w:r>
      <w:proofErr w:type="spellStart"/>
      <w:r w:rsidRPr="008017F0">
        <w:rPr>
          <w:rFonts w:ascii="Times New Roman" w:hAnsi="Times New Roman" w:cs="Times New Roman"/>
          <w:sz w:val="24"/>
          <w:szCs w:val="24"/>
          <w:lang w:val="en-GB"/>
        </w:rPr>
        <w:t>Bertsatos</w:t>
      </w:r>
      <w:proofErr w:type="spellEnd"/>
      <w:r w:rsidRPr="008017F0">
        <w:rPr>
          <w:rFonts w:ascii="Times New Roman" w:hAnsi="Times New Roman" w:cs="Times New Roman"/>
          <w:sz w:val="24"/>
          <w:szCs w:val="24"/>
          <w:lang w:val="en-GB"/>
        </w:rPr>
        <w:t xml:space="preserve"> et al.’s Case XI (unrestricted constant term and linear and quadratic trends).</w:t>
      </w:r>
    </w:p>
    <w:p w14:paraId="2CBC2428" w14:textId="79EC7564" w:rsidR="00AA2B9A" w:rsidRPr="008017F0" w:rsidRDefault="00A6145A" w:rsidP="005B3B16">
      <w:pPr>
        <w:autoSpaceDE w:val="0"/>
        <w:autoSpaceDN w:val="0"/>
        <w:adjustRightInd w:val="0"/>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In Table </w:t>
      </w:r>
      <w:r w:rsidR="00A5202B" w:rsidRPr="008017F0">
        <w:rPr>
          <w:rFonts w:ascii="Times New Roman" w:hAnsi="Times New Roman" w:cs="Times New Roman"/>
          <w:sz w:val="24"/>
          <w:szCs w:val="24"/>
          <w:lang w:val="en-GB"/>
        </w:rPr>
        <w:t>A12</w:t>
      </w:r>
      <w:r w:rsidRPr="008017F0">
        <w:rPr>
          <w:rFonts w:ascii="Times New Roman" w:hAnsi="Times New Roman" w:cs="Times New Roman"/>
          <w:sz w:val="24"/>
          <w:szCs w:val="24"/>
          <w:lang w:val="en-GB"/>
        </w:rPr>
        <w:t xml:space="preserve">, the critical values refer to </w:t>
      </w:r>
      <w:proofErr w:type="spellStart"/>
      <w:r w:rsidRPr="008017F0">
        <w:rPr>
          <w:rFonts w:ascii="Times New Roman" w:hAnsi="Times New Roman" w:cs="Times New Roman"/>
          <w:sz w:val="24"/>
          <w:szCs w:val="24"/>
          <w:lang w:val="en-GB"/>
        </w:rPr>
        <w:t>Bertsatos</w:t>
      </w:r>
      <w:proofErr w:type="spellEnd"/>
      <w:r w:rsidRPr="008017F0">
        <w:rPr>
          <w:rFonts w:ascii="Times New Roman" w:hAnsi="Times New Roman" w:cs="Times New Roman"/>
          <w:sz w:val="24"/>
          <w:szCs w:val="24"/>
          <w:lang w:val="en-GB"/>
        </w:rPr>
        <w:t xml:space="preserve"> et al.’s Case III (unrestricted constant term) for column (2), to </w:t>
      </w:r>
      <w:proofErr w:type="spellStart"/>
      <w:r w:rsidRPr="008017F0">
        <w:rPr>
          <w:rFonts w:ascii="Times New Roman" w:hAnsi="Times New Roman" w:cs="Times New Roman"/>
          <w:sz w:val="24"/>
          <w:szCs w:val="24"/>
          <w:lang w:val="en-GB"/>
        </w:rPr>
        <w:t>Bertsatos</w:t>
      </w:r>
      <w:proofErr w:type="spellEnd"/>
      <w:r w:rsidRPr="008017F0">
        <w:rPr>
          <w:rFonts w:ascii="Times New Roman" w:hAnsi="Times New Roman" w:cs="Times New Roman"/>
          <w:sz w:val="24"/>
          <w:szCs w:val="24"/>
          <w:lang w:val="en-GB"/>
        </w:rPr>
        <w:t xml:space="preserve"> et al.’s Case XI (unrestricted constant term and linear and quadratic trends) for the other columns.</w:t>
      </w:r>
    </w:p>
    <w:p w14:paraId="22811B68" w14:textId="56EFAB7A" w:rsidR="0055329C" w:rsidRPr="008017F0" w:rsidRDefault="00820207" w:rsidP="00820207">
      <w:pPr>
        <w:widowControl w:val="0"/>
        <w:spacing w:after="0" w:line="360" w:lineRule="auto"/>
        <w:jc w:val="both"/>
        <w:rPr>
          <w:rFonts w:ascii="Times New Roman" w:hAnsi="Times New Roman" w:cs="Times New Roman"/>
          <w:i/>
          <w:sz w:val="24"/>
          <w:szCs w:val="24"/>
          <w:lang w:val="en-GB"/>
        </w:rPr>
      </w:pPr>
      <w:r w:rsidRPr="008017F0">
        <w:rPr>
          <w:rFonts w:ascii="Times New Roman" w:hAnsi="Times New Roman" w:cs="Times New Roman"/>
          <w:i/>
          <w:sz w:val="24"/>
          <w:szCs w:val="24"/>
          <w:lang w:val="en-GB"/>
        </w:rPr>
        <w:t>The relationships</w:t>
      </w:r>
      <w:r w:rsidR="00892F5D" w:rsidRPr="008017F0">
        <w:rPr>
          <w:rFonts w:ascii="Times New Roman" w:hAnsi="Times New Roman" w:cs="Times New Roman"/>
          <w:i/>
          <w:sz w:val="24"/>
          <w:szCs w:val="24"/>
          <w:lang w:val="en-GB"/>
        </w:rPr>
        <w:t xml:space="preserve"> of the PSP index</w:t>
      </w:r>
      <w:r w:rsidRPr="008017F0">
        <w:rPr>
          <w:rFonts w:ascii="Times New Roman" w:hAnsi="Times New Roman" w:cs="Times New Roman"/>
          <w:i/>
          <w:sz w:val="24"/>
          <w:szCs w:val="24"/>
          <w:lang w:val="en-GB"/>
        </w:rPr>
        <w:t xml:space="preserve"> with other indicators</w:t>
      </w:r>
    </w:p>
    <w:p w14:paraId="34AE4C00" w14:textId="1BD4B247" w:rsidR="00820207" w:rsidRPr="008017F0" w:rsidRDefault="00820207" w:rsidP="008017F0">
      <w:pPr>
        <w:pStyle w:val="RSEG"/>
        <w:spacing w:after="240"/>
        <w:rPr>
          <w:bCs/>
        </w:rPr>
      </w:pPr>
      <w:r w:rsidRPr="008017F0">
        <w:t>Table A1</w:t>
      </w:r>
      <w:r w:rsidR="00AA2B9A" w:rsidRPr="008017F0">
        <w:t>0</w:t>
      </w:r>
      <w:r w:rsidRPr="008017F0">
        <w:t xml:space="preserve"> shows the correlation coefficients of the mean PSP total index over 1989-2019 with the Golden-Picci corruption index (Golden and Picci, 2005). The coefficient is 0.18 rising to 0.33 if we take the mean PSP total index over the more restricted 1987-1997 period, closer to 1997 for which Golden and Picci computed their index. We can proceed further and analyse the correlation of our index with other well-known indexes of corruption, government effectiveness and quality of </w:t>
      </w:r>
      <w:r w:rsidRPr="008017F0">
        <w:lastRenderedPageBreak/>
        <w:t>government, such as the Institutional Quality Indexes (</w:t>
      </w:r>
      <w:proofErr w:type="spellStart"/>
      <w:r w:rsidRPr="008017F0">
        <w:t>Nifo</w:t>
      </w:r>
      <w:proofErr w:type="spellEnd"/>
      <w:r w:rsidRPr="008017F0">
        <w:t xml:space="preserve"> and Vecchione, 2014 and 2015) and the European Quality Government Indexes (Charron et al., 2014, 2015, 2019, 2022). </w:t>
      </w:r>
    </w:p>
    <w:p w14:paraId="26F025C2" w14:textId="367377FE" w:rsidR="00820207" w:rsidRPr="008017F0" w:rsidRDefault="00820207" w:rsidP="00820207">
      <w:pPr>
        <w:spacing w:after="0" w:line="240" w:lineRule="auto"/>
        <w:jc w:val="both"/>
        <w:rPr>
          <w:rFonts w:ascii="Times New Roman" w:hAnsi="Times New Roman" w:cs="Times New Roman"/>
          <w:lang w:val="en-GB"/>
        </w:rPr>
      </w:pPr>
      <w:r w:rsidRPr="008017F0">
        <w:rPr>
          <w:rFonts w:ascii="Times New Roman" w:hAnsi="Times New Roman" w:cs="Times New Roman"/>
          <w:lang w:val="en-GB"/>
        </w:rPr>
        <w:t>Table A1</w:t>
      </w:r>
      <w:r w:rsidR="00AA2B9A" w:rsidRPr="008017F0">
        <w:rPr>
          <w:rFonts w:ascii="Times New Roman" w:hAnsi="Times New Roman" w:cs="Times New Roman"/>
          <w:lang w:val="en-GB"/>
        </w:rPr>
        <w:t>0</w:t>
      </w:r>
      <w:r w:rsidRPr="008017F0">
        <w:rPr>
          <w:rFonts w:ascii="Times New Roman" w:hAnsi="Times New Roman" w:cs="Times New Roman"/>
          <w:lang w:val="en-GB"/>
        </w:rPr>
        <w:t xml:space="preserve">. The PSP index, </w:t>
      </w:r>
      <w:r w:rsidRPr="008017F0">
        <w:rPr>
          <w:rFonts w:ascii="Times New Roman" w:eastAsia="Yu Gothic Light" w:hAnsi="Times New Roman" w:cs="Times New Roman"/>
          <w:lang w:val="en-GB"/>
        </w:rPr>
        <w:t>Golden-Picci corruption index</w:t>
      </w:r>
      <w:r w:rsidRPr="008017F0">
        <w:rPr>
          <w:rFonts w:ascii="Times New Roman" w:hAnsi="Times New Roman" w:cs="Times New Roman"/>
          <w:lang w:val="en-GB"/>
        </w:rPr>
        <w:t xml:space="preserve">, and other indexes. Correlations </w:t>
      </w:r>
    </w:p>
    <w:tbl>
      <w:tblPr>
        <w:tblW w:w="8505" w:type="dxa"/>
        <w:tblCellMar>
          <w:left w:w="70" w:type="dxa"/>
          <w:right w:w="70" w:type="dxa"/>
        </w:tblCellMar>
        <w:tblLook w:val="04A0" w:firstRow="1" w:lastRow="0" w:firstColumn="1" w:lastColumn="0" w:noHBand="0" w:noVBand="1"/>
      </w:tblPr>
      <w:tblGrid>
        <w:gridCol w:w="551"/>
        <w:gridCol w:w="1146"/>
        <w:gridCol w:w="7"/>
        <w:gridCol w:w="723"/>
        <w:gridCol w:w="1134"/>
        <w:gridCol w:w="1134"/>
        <w:gridCol w:w="730"/>
        <w:gridCol w:w="954"/>
        <w:gridCol w:w="1146"/>
        <w:gridCol w:w="980"/>
      </w:tblGrid>
      <w:tr w:rsidR="00B3623E" w:rsidRPr="008017F0" w14:paraId="45B342CD" w14:textId="77777777" w:rsidTr="0066344B">
        <w:trPr>
          <w:trHeight w:val="240"/>
        </w:trPr>
        <w:tc>
          <w:tcPr>
            <w:tcW w:w="551" w:type="dxa"/>
            <w:tcBorders>
              <w:top w:val="nil"/>
              <w:left w:val="nil"/>
              <w:bottom w:val="single" w:sz="4" w:space="0" w:color="8EA9DB"/>
              <w:right w:val="nil"/>
            </w:tcBorders>
            <w:noWrap/>
            <w:vAlign w:val="bottom"/>
            <w:hideMark/>
          </w:tcPr>
          <w:p w14:paraId="65E544E3" w14:textId="77777777" w:rsidR="00B3623E" w:rsidRPr="008017F0" w:rsidRDefault="00B3623E"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w:t>
            </w:r>
          </w:p>
        </w:tc>
        <w:tc>
          <w:tcPr>
            <w:tcW w:w="1146" w:type="dxa"/>
            <w:tcBorders>
              <w:top w:val="nil"/>
              <w:left w:val="nil"/>
              <w:bottom w:val="single" w:sz="4" w:space="0" w:color="8EA9DB"/>
              <w:right w:val="nil"/>
            </w:tcBorders>
            <w:noWrap/>
            <w:vAlign w:val="center"/>
            <w:hideMark/>
          </w:tcPr>
          <w:p w14:paraId="2790A842" w14:textId="77777777" w:rsidR="00B3623E" w:rsidRPr="008017F0" w:rsidRDefault="00B3623E"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w:t>
            </w:r>
          </w:p>
        </w:tc>
        <w:tc>
          <w:tcPr>
            <w:tcW w:w="2998" w:type="dxa"/>
            <w:gridSpan w:val="4"/>
            <w:tcBorders>
              <w:top w:val="single" w:sz="4" w:space="0" w:color="auto"/>
              <w:left w:val="single" w:sz="4" w:space="0" w:color="auto"/>
              <w:bottom w:val="single" w:sz="4" w:space="0" w:color="auto"/>
              <w:right w:val="single" w:sz="4" w:space="0" w:color="auto"/>
            </w:tcBorders>
            <w:vAlign w:val="center"/>
            <w:hideMark/>
          </w:tcPr>
          <w:p w14:paraId="7393C61D"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xml:space="preserve">Institutional Quality Index </w:t>
            </w:r>
          </w:p>
          <w:p w14:paraId="07243416"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(2004-2019)</w:t>
            </w:r>
          </w:p>
        </w:tc>
        <w:tc>
          <w:tcPr>
            <w:tcW w:w="2830" w:type="dxa"/>
            <w:gridSpan w:val="3"/>
            <w:tcBorders>
              <w:top w:val="single" w:sz="4" w:space="0" w:color="auto"/>
              <w:left w:val="nil"/>
              <w:bottom w:val="single" w:sz="4" w:space="0" w:color="auto"/>
              <w:right w:val="single" w:sz="4" w:space="0" w:color="auto"/>
            </w:tcBorders>
            <w:vAlign w:val="center"/>
            <w:hideMark/>
          </w:tcPr>
          <w:p w14:paraId="12EED28A"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European Quality of Government Index (2010, 2013, 2017)</w:t>
            </w:r>
          </w:p>
        </w:tc>
        <w:tc>
          <w:tcPr>
            <w:tcW w:w="980" w:type="dxa"/>
            <w:vMerge w:val="restart"/>
            <w:tcBorders>
              <w:top w:val="single" w:sz="4" w:space="0" w:color="auto"/>
              <w:left w:val="nil"/>
              <w:right w:val="single" w:sz="4" w:space="0" w:color="auto"/>
            </w:tcBorders>
            <w:vAlign w:val="center"/>
            <w:hideMark/>
          </w:tcPr>
          <w:p w14:paraId="6F0FA17E" w14:textId="38B44226" w:rsidR="00B3623E" w:rsidRPr="008017F0" w:rsidRDefault="00B3623E" w:rsidP="00B3623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xml:space="preserve">PSP Total index </w:t>
            </w:r>
          </w:p>
        </w:tc>
      </w:tr>
      <w:tr w:rsidR="00B3623E" w:rsidRPr="008017F0" w14:paraId="613D9F8A" w14:textId="77777777" w:rsidTr="0066344B">
        <w:trPr>
          <w:trHeight w:val="480"/>
        </w:trPr>
        <w:tc>
          <w:tcPr>
            <w:tcW w:w="551" w:type="dxa"/>
            <w:tcBorders>
              <w:top w:val="nil"/>
              <w:left w:val="nil"/>
              <w:bottom w:val="nil"/>
              <w:right w:val="nil"/>
            </w:tcBorders>
            <w:noWrap/>
            <w:vAlign w:val="bottom"/>
            <w:hideMark/>
          </w:tcPr>
          <w:p w14:paraId="09169F33"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p>
        </w:tc>
        <w:tc>
          <w:tcPr>
            <w:tcW w:w="1146" w:type="dxa"/>
            <w:tcBorders>
              <w:top w:val="nil"/>
              <w:left w:val="nil"/>
              <w:bottom w:val="nil"/>
              <w:right w:val="nil"/>
            </w:tcBorders>
            <w:noWrap/>
            <w:vAlign w:val="center"/>
            <w:hideMark/>
          </w:tcPr>
          <w:p w14:paraId="43E60A25" w14:textId="77777777" w:rsidR="00B3623E" w:rsidRPr="008017F0" w:rsidRDefault="00B3623E" w:rsidP="00242DFE">
            <w:pPr>
              <w:spacing w:after="0" w:line="240" w:lineRule="auto"/>
              <w:rPr>
                <w:rFonts w:ascii="Times New Roman" w:eastAsia="Times New Roman" w:hAnsi="Times New Roman" w:cs="Times New Roman"/>
                <w:sz w:val="20"/>
                <w:szCs w:val="20"/>
                <w:lang w:val="en-GB" w:eastAsia="it-IT"/>
              </w:rPr>
            </w:pPr>
          </w:p>
        </w:tc>
        <w:tc>
          <w:tcPr>
            <w:tcW w:w="730" w:type="dxa"/>
            <w:gridSpan w:val="2"/>
            <w:tcBorders>
              <w:top w:val="nil"/>
              <w:left w:val="single" w:sz="4" w:space="0" w:color="auto"/>
              <w:bottom w:val="single" w:sz="4" w:space="0" w:color="auto"/>
              <w:right w:val="single" w:sz="4" w:space="0" w:color="auto"/>
            </w:tcBorders>
            <w:vAlign w:val="center"/>
            <w:hideMark/>
          </w:tcPr>
          <w:p w14:paraId="6B200422"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General</w:t>
            </w:r>
          </w:p>
        </w:tc>
        <w:tc>
          <w:tcPr>
            <w:tcW w:w="1134" w:type="dxa"/>
            <w:tcBorders>
              <w:top w:val="nil"/>
              <w:left w:val="nil"/>
              <w:bottom w:val="single" w:sz="4" w:space="0" w:color="auto"/>
              <w:right w:val="single" w:sz="4" w:space="0" w:color="auto"/>
            </w:tcBorders>
            <w:vAlign w:val="center"/>
            <w:hideMark/>
          </w:tcPr>
          <w:p w14:paraId="464B6C42"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Corruption</w:t>
            </w:r>
          </w:p>
        </w:tc>
        <w:tc>
          <w:tcPr>
            <w:tcW w:w="1134" w:type="dxa"/>
            <w:tcBorders>
              <w:top w:val="nil"/>
              <w:left w:val="nil"/>
              <w:bottom w:val="single" w:sz="4" w:space="0" w:color="auto"/>
              <w:right w:val="single" w:sz="4" w:space="0" w:color="auto"/>
            </w:tcBorders>
            <w:vAlign w:val="center"/>
            <w:hideMark/>
          </w:tcPr>
          <w:p w14:paraId="56850CFF"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Government effectiveness</w:t>
            </w:r>
          </w:p>
        </w:tc>
        <w:tc>
          <w:tcPr>
            <w:tcW w:w="730" w:type="dxa"/>
            <w:tcBorders>
              <w:top w:val="nil"/>
              <w:left w:val="nil"/>
              <w:bottom w:val="single" w:sz="4" w:space="0" w:color="auto"/>
              <w:right w:val="single" w:sz="4" w:space="0" w:color="auto"/>
            </w:tcBorders>
            <w:vAlign w:val="center"/>
            <w:hideMark/>
          </w:tcPr>
          <w:p w14:paraId="4950777D"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General</w:t>
            </w:r>
          </w:p>
        </w:tc>
        <w:tc>
          <w:tcPr>
            <w:tcW w:w="954" w:type="dxa"/>
            <w:tcBorders>
              <w:top w:val="nil"/>
              <w:left w:val="nil"/>
              <w:bottom w:val="single" w:sz="4" w:space="0" w:color="auto"/>
              <w:right w:val="single" w:sz="4" w:space="0" w:color="auto"/>
            </w:tcBorders>
            <w:vAlign w:val="center"/>
            <w:hideMark/>
          </w:tcPr>
          <w:p w14:paraId="2F04E2FC"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Corruption</w:t>
            </w:r>
          </w:p>
        </w:tc>
        <w:tc>
          <w:tcPr>
            <w:tcW w:w="1146" w:type="dxa"/>
            <w:tcBorders>
              <w:top w:val="nil"/>
              <w:left w:val="nil"/>
              <w:bottom w:val="single" w:sz="4" w:space="0" w:color="auto"/>
              <w:right w:val="single" w:sz="4" w:space="0" w:color="auto"/>
            </w:tcBorders>
            <w:vAlign w:val="center"/>
            <w:hideMark/>
          </w:tcPr>
          <w:p w14:paraId="69849897" w14:textId="77777777" w:rsidR="00B3623E" w:rsidRPr="008017F0" w:rsidRDefault="00B3623E"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xml:space="preserve">Quality of </w:t>
            </w:r>
            <w:proofErr w:type="spellStart"/>
            <w:r w:rsidRPr="008017F0">
              <w:rPr>
                <w:rFonts w:ascii="Calibri" w:eastAsia="Times New Roman" w:hAnsi="Calibri" w:cs="Calibri"/>
                <w:b/>
                <w:bCs/>
                <w:sz w:val="18"/>
                <w:szCs w:val="18"/>
                <w:lang w:val="en-GB" w:eastAsia="it-IT"/>
              </w:rPr>
              <w:t>governement</w:t>
            </w:r>
            <w:proofErr w:type="spellEnd"/>
          </w:p>
        </w:tc>
        <w:tc>
          <w:tcPr>
            <w:tcW w:w="980" w:type="dxa"/>
            <w:vMerge/>
            <w:tcBorders>
              <w:left w:val="nil"/>
              <w:bottom w:val="single" w:sz="4" w:space="0" w:color="auto"/>
              <w:right w:val="single" w:sz="4" w:space="0" w:color="auto"/>
            </w:tcBorders>
            <w:vAlign w:val="center"/>
            <w:hideMark/>
          </w:tcPr>
          <w:p w14:paraId="1EDEB7CB" w14:textId="2019A52E" w:rsidR="00B3623E" w:rsidRPr="008017F0" w:rsidRDefault="00B3623E" w:rsidP="00242DFE">
            <w:pPr>
              <w:spacing w:after="0" w:line="240" w:lineRule="auto"/>
              <w:jc w:val="center"/>
              <w:rPr>
                <w:rFonts w:ascii="Calibri" w:eastAsia="Times New Roman" w:hAnsi="Calibri" w:cs="Calibri"/>
                <w:b/>
                <w:bCs/>
                <w:sz w:val="18"/>
                <w:szCs w:val="18"/>
                <w:lang w:val="en-GB" w:eastAsia="it-IT"/>
              </w:rPr>
            </w:pPr>
          </w:p>
        </w:tc>
      </w:tr>
      <w:tr w:rsidR="00820207" w:rsidRPr="008017F0" w14:paraId="750B3F61" w14:textId="77777777" w:rsidTr="00242DFE">
        <w:trPr>
          <w:trHeight w:val="20"/>
        </w:trPr>
        <w:tc>
          <w:tcPr>
            <w:tcW w:w="1704" w:type="dxa"/>
            <w:gridSpan w:val="3"/>
            <w:tcBorders>
              <w:top w:val="single" w:sz="4" w:space="0" w:color="auto"/>
              <w:left w:val="single" w:sz="4" w:space="0" w:color="auto"/>
              <w:bottom w:val="single" w:sz="4" w:space="0" w:color="auto"/>
              <w:right w:val="single" w:sz="4" w:space="0" w:color="auto"/>
            </w:tcBorders>
            <w:vAlign w:val="center"/>
            <w:hideMark/>
          </w:tcPr>
          <w:p w14:paraId="141E6533" w14:textId="77777777" w:rsidR="00820207" w:rsidRPr="008017F0" w:rsidRDefault="00820207" w:rsidP="00242DFE">
            <w:pPr>
              <w:spacing w:after="0" w:line="240" w:lineRule="auto"/>
              <w:jc w:val="center"/>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Golden-Picci corruption index (1997)</w:t>
            </w:r>
          </w:p>
        </w:tc>
        <w:tc>
          <w:tcPr>
            <w:tcW w:w="723" w:type="dxa"/>
            <w:tcBorders>
              <w:top w:val="nil"/>
              <w:left w:val="nil"/>
              <w:bottom w:val="single" w:sz="4" w:space="0" w:color="auto"/>
              <w:right w:val="single" w:sz="4" w:space="0" w:color="auto"/>
            </w:tcBorders>
            <w:noWrap/>
            <w:vAlign w:val="center"/>
            <w:hideMark/>
          </w:tcPr>
          <w:p w14:paraId="6D1D16DD"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0.76</w:t>
            </w:r>
          </w:p>
        </w:tc>
        <w:tc>
          <w:tcPr>
            <w:tcW w:w="1134" w:type="dxa"/>
            <w:tcBorders>
              <w:top w:val="nil"/>
              <w:left w:val="nil"/>
              <w:bottom w:val="single" w:sz="4" w:space="0" w:color="auto"/>
              <w:right w:val="single" w:sz="4" w:space="0" w:color="auto"/>
            </w:tcBorders>
            <w:noWrap/>
            <w:vAlign w:val="center"/>
            <w:hideMark/>
          </w:tcPr>
          <w:p w14:paraId="1003051D"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0.80</w:t>
            </w:r>
          </w:p>
        </w:tc>
        <w:tc>
          <w:tcPr>
            <w:tcW w:w="1134" w:type="dxa"/>
            <w:tcBorders>
              <w:top w:val="nil"/>
              <w:left w:val="nil"/>
              <w:bottom w:val="single" w:sz="4" w:space="0" w:color="auto"/>
              <w:right w:val="single" w:sz="4" w:space="0" w:color="auto"/>
            </w:tcBorders>
            <w:noWrap/>
            <w:vAlign w:val="center"/>
            <w:hideMark/>
          </w:tcPr>
          <w:p w14:paraId="5EE7E181"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0.44</w:t>
            </w:r>
          </w:p>
        </w:tc>
        <w:tc>
          <w:tcPr>
            <w:tcW w:w="730" w:type="dxa"/>
            <w:tcBorders>
              <w:top w:val="nil"/>
              <w:left w:val="nil"/>
              <w:bottom w:val="single" w:sz="4" w:space="0" w:color="auto"/>
              <w:right w:val="single" w:sz="4" w:space="0" w:color="auto"/>
            </w:tcBorders>
            <w:noWrap/>
            <w:vAlign w:val="center"/>
            <w:hideMark/>
          </w:tcPr>
          <w:p w14:paraId="00C30602"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0.78</w:t>
            </w:r>
          </w:p>
        </w:tc>
        <w:tc>
          <w:tcPr>
            <w:tcW w:w="954" w:type="dxa"/>
            <w:tcBorders>
              <w:top w:val="nil"/>
              <w:left w:val="nil"/>
              <w:bottom w:val="single" w:sz="4" w:space="0" w:color="auto"/>
              <w:right w:val="single" w:sz="4" w:space="0" w:color="auto"/>
            </w:tcBorders>
            <w:noWrap/>
            <w:vAlign w:val="center"/>
            <w:hideMark/>
          </w:tcPr>
          <w:p w14:paraId="54CA1CAB"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0.73</w:t>
            </w:r>
          </w:p>
        </w:tc>
        <w:tc>
          <w:tcPr>
            <w:tcW w:w="1146" w:type="dxa"/>
            <w:tcBorders>
              <w:top w:val="nil"/>
              <w:left w:val="nil"/>
              <w:bottom w:val="single" w:sz="4" w:space="0" w:color="auto"/>
              <w:right w:val="single" w:sz="4" w:space="0" w:color="auto"/>
            </w:tcBorders>
            <w:noWrap/>
            <w:vAlign w:val="center"/>
            <w:hideMark/>
          </w:tcPr>
          <w:p w14:paraId="68BAB0D3"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0.76</w:t>
            </w:r>
          </w:p>
        </w:tc>
        <w:tc>
          <w:tcPr>
            <w:tcW w:w="980" w:type="dxa"/>
            <w:tcBorders>
              <w:top w:val="nil"/>
              <w:left w:val="nil"/>
              <w:bottom w:val="single" w:sz="4" w:space="0" w:color="auto"/>
              <w:right w:val="single" w:sz="4" w:space="0" w:color="auto"/>
            </w:tcBorders>
            <w:noWrap/>
            <w:vAlign w:val="center"/>
            <w:hideMark/>
          </w:tcPr>
          <w:p w14:paraId="5D1E78C0"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0.18</w:t>
            </w:r>
          </w:p>
        </w:tc>
      </w:tr>
      <w:tr w:rsidR="00820207" w:rsidRPr="008017F0" w14:paraId="20AEE8BF" w14:textId="77777777" w:rsidTr="00242DFE">
        <w:trPr>
          <w:trHeight w:val="20"/>
        </w:trPr>
        <w:tc>
          <w:tcPr>
            <w:tcW w:w="551" w:type="dxa"/>
            <w:vMerge w:val="restart"/>
            <w:tcBorders>
              <w:top w:val="nil"/>
              <w:left w:val="single" w:sz="4" w:space="0" w:color="auto"/>
              <w:bottom w:val="single" w:sz="4" w:space="0" w:color="auto"/>
              <w:right w:val="single" w:sz="4" w:space="0" w:color="auto"/>
            </w:tcBorders>
            <w:vAlign w:val="center"/>
            <w:hideMark/>
          </w:tcPr>
          <w:p w14:paraId="4B8B6014"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IQI</w:t>
            </w:r>
          </w:p>
        </w:tc>
        <w:tc>
          <w:tcPr>
            <w:tcW w:w="1146" w:type="dxa"/>
            <w:tcBorders>
              <w:top w:val="nil"/>
              <w:left w:val="nil"/>
              <w:bottom w:val="single" w:sz="4" w:space="0" w:color="auto"/>
              <w:right w:val="single" w:sz="4" w:space="0" w:color="auto"/>
            </w:tcBorders>
            <w:vAlign w:val="center"/>
            <w:hideMark/>
          </w:tcPr>
          <w:p w14:paraId="3CF1B210"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General</w:t>
            </w:r>
          </w:p>
          <w:p w14:paraId="1F48DEA4"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730" w:type="dxa"/>
            <w:gridSpan w:val="2"/>
            <w:tcBorders>
              <w:top w:val="nil"/>
              <w:left w:val="nil"/>
              <w:bottom w:val="single" w:sz="4" w:space="0" w:color="auto"/>
              <w:right w:val="single" w:sz="4" w:space="0" w:color="auto"/>
            </w:tcBorders>
            <w:noWrap/>
            <w:vAlign w:val="center"/>
            <w:hideMark/>
          </w:tcPr>
          <w:p w14:paraId="4991F05A"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c>
          <w:tcPr>
            <w:tcW w:w="1134" w:type="dxa"/>
            <w:tcBorders>
              <w:top w:val="nil"/>
              <w:left w:val="nil"/>
              <w:bottom w:val="single" w:sz="4" w:space="0" w:color="auto"/>
              <w:right w:val="single" w:sz="4" w:space="0" w:color="auto"/>
            </w:tcBorders>
            <w:noWrap/>
            <w:vAlign w:val="center"/>
            <w:hideMark/>
          </w:tcPr>
          <w:p w14:paraId="7EBE7E10"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0.85</w:t>
            </w:r>
          </w:p>
        </w:tc>
        <w:tc>
          <w:tcPr>
            <w:tcW w:w="1134" w:type="dxa"/>
            <w:tcBorders>
              <w:top w:val="nil"/>
              <w:left w:val="nil"/>
              <w:bottom w:val="single" w:sz="4" w:space="0" w:color="auto"/>
              <w:right w:val="single" w:sz="4" w:space="0" w:color="auto"/>
            </w:tcBorders>
            <w:noWrap/>
            <w:vAlign w:val="center"/>
            <w:hideMark/>
          </w:tcPr>
          <w:p w14:paraId="6CF7360E"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0.73</w:t>
            </w:r>
          </w:p>
        </w:tc>
        <w:tc>
          <w:tcPr>
            <w:tcW w:w="730" w:type="dxa"/>
            <w:tcBorders>
              <w:top w:val="nil"/>
              <w:left w:val="nil"/>
              <w:bottom w:val="single" w:sz="4" w:space="0" w:color="auto"/>
              <w:right w:val="single" w:sz="4" w:space="0" w:color="auto"/>
            </w:tcBorders>
            <w:noWrap/>
            <w:vAlign w:val="center"/>
            <w:hideMark/>
          </w:tcPr>
          <w:p w14:paraId="62E195DE"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0.92</w:t>
            </w:r>
          </w:p>
        </w:tc>
        <w:tc>
          <w:tcPr>
            <w:tcW w:w="954" w:type="dxa"/>
            <w:tcBorders>
              <w:top w:val="nil"/>
              <w:left w:val="nil"/>
              <w:bottom w:val="single" w:sz="4" w:space="0" w:color="auto"/>
              <w:right w:val="single" w:sz="4" w:space="0" w:color="auto"/>
            </w:tcBorders>
            <w:noWrap/>
            <w:vAlign w:val="center"/>
            <w:hideMark/>
          </w:tcPr>
          <w:p w14:paraId="033F5D50"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0.85</w:t>
            </w:r>
          </w:p>
        </w:tc>
        <w:tc>
          <w:tcPr>
            <w:tcW w:w="1146" w:type="dxa"/>
            <w:tcBorders>
              <w:top w:val="nil"/>
              <w:left w:val="nil"/>
              <w:bottom w:val="single" w:sz="4" w:space="0" w:color="auto"/>
              <w:right w:val="single" w:sz="4" w:space="0" w:color="auto"/>
            </w:tcBorders>
            <w:noWrap/>
            <w:vAlign w:val="center"/>
            <w:hideMark/>
          </w:tcPr>
          <w:p w14:paraId="30EB7C9D"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0.93</w:t>
            </w:r>
          </w:p>
        </w:tc>
        <w:tc>
          <w:tcPr>
            <w:tcW w:w="980" w:type="dxa"/>
            <w:tcBorders>
              <w:top w:val="nil"/>
              <w:left w:val="nil"/>
              <w:bottom w:val="single" w:sz="4" w:space="0" w:color="auto"/>
              <w:right w:val="single" w:sz="4" w:space="0" w:color="auto"/>
            </w:tcBorders>
            <w:noWrap/>
            <w:vAlign w:val="center"/>
            <w:hideMark/>
          </w:tcPr>
          <w:p w14:paraId="55184F81"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0.47</w:t>
            </w:r>
          </w:p>
        </w:tc>
      </w:tr>
      <w:tr w:rsidR="00820207" w:rsidRPr="008017F0" w14:paraId="3B98D7D5" w14:textId="77777777" w:rsidTr="00242DFE">
        <w:trPr>
          <w:trHeight w:val="20"/>
        </w:trPr>
        <w:tc>
          <w:tcPr>
            <w:tcW w:w="551" w:type="dxa"/>
            <w:vMerge/>
            <w:tcBorders>
              <w:top w:val="nil"/>
              <w:left w:val="single" w:sz="4" w:space="0" w:color="auto"/>
              <w:bottom w:val="single" w:sz="4" w:space="0" w:color="auto"/>
              <w:right w:val="single" w:sz="4" w:space="0" w:color="auto"/>
            </w:tcBorders>
            <w:vAlign w:val="center"/>
            <w:hideMark/>
          </w:tcPr>
          <w:p w14:paraId="7123BBE7"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46" w:type="dxa"/>
            <w:tcBorders>
              <w:top w:val="nil"/>
              <w:left w:val="nil"/>
              <w:bottom w:val="single" w:sz="4" w:space="0" w:color="auto"/>
              <w:right w:val="single" w:sz="4" w:space="0" w:color="auto"/>
            </w:tcBorders>
            <w:vAlign w:val="center"/>
            <w:hideMark/>
          </w:tcPr>
          <w:p w14:paraId="02EC88EE"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Corruption</w:t>
            </w:r>
          </w:p>
          <w:p w14:paraId="474DB740"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730" w:type="dxa"/>
            <w:gridSpan w:val="2"/>
            <w:tcBorders>
              <w:top w:val="nil"/>
              <w:left w:val="nil"/>
              <w:bottom w:val="nil"/>
              <w:right w:val="nil"/>
            </w:tcBorders>
            <w:noWrap/>
            <w:vAlign w:val="center"/>
            <w:hideMark/>
          </w:tcPr>
          <w:p w14:paraId="0B7BF337"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34" w:type="dxa"/>
            <w:tcBorders>
              <w:top w:val="nil"/>
              <w:left w:val="single" w:sz="4" w:space="0" w:color="auto"/>
              <w:bottom w:val="single" w:sz="4" w:space="0" w:color="auto"/>
              <w:right w:val="single" w:sz="4" w:space="0" w:color="auto"/>
            </w:tcBorders>
            <w:noWrap/>
            <w:vAlign w:val="center"/>
            <w:hideMark/>
          </w:tcPr>
          <w:p w14:paraId="2D2E2ABF"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c>
          <w:tcPr>
            <w:tcW w:w="1134" w:type="dxa"/>
            <w:tcBorders>
              <w:top w:val="nil"/>
              <w:left w:val="nil"/>
              <w:bottom w:val="single" w:sz="4" w:space="0" w:color="auto"/>
              <w:right w:val="single" w:sz="4" w:space="0" w:color="auto"/>
            </w:tcBorders>
            <w:noWrap/>
            <w:vAlign w:val="center"/>
            <w:hideMark/>
          </w:tcPr>
          <w:p w14:paraId="5F2AA9D7"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0.59</w:t>
            </w:r>
          </w:p>
        </w:tc>
        <w:tc>
          <w:tcPr>
            <w:tcW w:w="730" w:type="dxa"/>
            <w:tcBorders>
              <w:top w:val="nil"/>
              <w:left w:val="nil"/>
              <w:bottom w:val="single" w:sz="4" w:space="0" w:color="auto"/>
              <w:right w:val="single" w:sz="4" w:space="0" w:color="auto"/>
            </w:tcBorders>
            <w:noWrap/>
            <w:vAlign w:val="center"/>
            <w:hideMark/>
          </w:tcPr>
          <w:p w14:paraId="02C28FC0"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0.74</w:t>
            </w:r>
          </w:p>
        </w:tc>
        <w:tc>
          <w:tcPr>
            <w:tcW w:w="954" w:type="dxa"/>
            <w:tcBorders>
              <w:top w:val="nil"/>
              <w:left w:val="nil"/>
              <w:bottom w:val="single" w:sz="4" w:space="0" w:color="auto"/>
              <w:right w:val="single" w:sz="4" w:space="0" w:color="auto"/>
            </w:tcBorders>
            <w:noWrap/>
            <w:vAlign w:val="center"/>
            <w:hideMark/>
          </w:tcPr>
          <w:p w14:paraId="7D1168C7"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0.67</w:t>
            </w:r>
          </w:p>
        </w:tc>
        <w:tc>
          <w:tcPr>
            <w:tcW w:w="1146" w:type="dxa"/>
            <w:tcBorders>
              <w:top w:val="nil"/>
              <w:left w:val="nil"/>
              <w:bottom w:val="single" w:sz="4" w:space="0" w:color="auto"/>
              <w:right w:val="single" w:sz="4" w:space="0" w:color="auto"/>
            </w:tcBorders>
            <w:noWrap/>
            <w:vAlign w:val="center"/>
            <w:hideMark/>
          </w:tcPr>
          <w:p w14:paraId="1FED84B2"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0.76</w:t>
            </w:r>
          </w:p>
        </w:tc>
        <w:tc>
          <w:tcPr>
            <w:tcW w:w="980" w:type="dxa"/>
            <w:tcBorders>
              <w:top w:val="nil"/>
              <w:left w:val="nil"/>
              <w:bottom w:val="single" w:sz="4" w:space="0" w:color="auto"/>
              <w:right w:val="single" w:sz="4" w:space="0" w:color="auto"/>
            </w:tcBorders>
            <w:noWrap/>
            <w:vAlign w:val="center"/>
            <w:hideMark/>
          </w:tcPr>
          <w:p w14:paraId="7608685E"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0.33</w:t>
            </w:r>
          </w:p>
        </w:tc>
      </w:tr>
      <w:tr w:rsidR="00820207" w:rsidRPr="008017F0" w14:paraId="79066374" w14:textId="77777777" w:rsidTr="00242DFE">
        <w:trPr>
          <w:trHeight w:val="20"/>
        </w:trPr>
        <w:tc>
          <w:tcPr>
            <w:tcW w:w="551" w:type="dxa"/>
            <w:vMerge/>
            <w:tcBorders>
              <w:top w:val="nil"/>
              <w:left w:val="single" w:sz="4" w:space="0" w:color="auto"/>
              <w:bottom w:val="single" w:sz="4" w:space="0" w:color="auto"/>
              <w:right w:val="single" w:sz="4" w:space="0" w:color="auto"/>
            </w:tcBorders>
            <w:vAlign w:val="center"/>
            <w:hideMark/>
          </w:tcPr>
          <w:p w14:paraId="719CDF9E"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46" w:type="dxa"/>
            <w:tcBorders>
              <w:top w:val="nil"/>
              <w:left w:val="nil"/>
              <w:bottom w:val="single" w:sz="4" w:space="0" w:color="auto"/>
              <w:right w:val="single" w:sz="4" w:space="0" w:color="auto"/>
            </w:tcBorders>
            <w:vAlign w:val="center"/>
            <w:hideMark/>
          </w:tcPr>
          <w:p w14:paraId="2A3B970D"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Government effectiveness</w:t>
            </w:r>
          </w:p>
        </w:tc>
        <w:tc>
          <w:tcPr>
            <w:tcW w:w="730" w:type="dxa"/>
            <w:gridSpan w:val="2"/>
            <w:tcBorders>
              <w:top w:val="nil"/>
              <w:left w:val="nil"/>
              <w:bottom w:val="nil"/>
              <w:right w:val="nil"/>
            </w:tcBorders>
            <w:noWrap/>
            <w:vAlign w:val="center"/>
            <w:hideMark/>
          </w:tcPr>
          <w:p w14:paraId="4B1EA1B8"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34" w:type="dxa"/>
            <w:tcBorders>
              <w:top w:val="nil"/>
              <w:left w:val="nil"/>
              <w:bottom w:val="nil"/>
              <w:right w:val="nil"/>
            </w:tcBorders>
            <w:noWrap/>
            <w:vAlign w:val="center"/>
            <w:hideMark/>
          </w:tcPr>
          <w:p w14:paraId="712EDB12"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34" w:type="dxa"/>
            <w:tcBorders>
              <w:top w:val="nil"/>
              <w:left w:val="single" w:sz="4" w:space="0" w:color="auto"/>
              <w:bottom w:val="single" w:sz="4" w:space="0" w:color="auto"/>
              <w:right w:val="single" w:sz="4" w:space="0" w:color="auto"/>
            </w:tcBorders>
            <w:noWrap/>
            <w:vAlign w:val="center"/>
            <w:hideMark/>
          </w:tcPr>
          <w:p w14:paraId="2D972977"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c>
          <w:tcPr>
            <w:tcW w:w="730" w:type="dxa"/>
            <w:tcBorders>
              <w:top w:val="nil"/>
              <w:left w:val="nil"/>
              <w:bottom w:val="single" w:sz="4" w:space="0" w:color="auto"/>
              <w:right w:val="single" w:sz="4" w:space="0" w:color="auto"/>
            </w:tcBorders>
            <w:noWrap/>
            <w:vAlign w:val="center"/>
            <w:hideMark/>
          </w:tcPr>
          <w:p w14:paraId="1B1E91AD"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0.57</w:t>
            </w:r>
          </w:p>
        </w:tc>
        <w:tc>
          <w:tcPr>
            <w:tcW w:w="954" w:type="dxa"/>
            <w:tcBorders>
              <w:top w:val="nil"/>
              <w:left w:val="nil"/>
              <w:bottom w:val="single" w:sz="4" w:space="0" w:color="auto"/>
              <w:right w:val="single" w:sz="4" w:space="0" w:color="auto"/>
            </w:tcBorders>
            <w:noWrap/>
            <w:vAlign w:val="center"/>
            <w:hideMark/>
          </w:tcPr>
          <w:p w14:paraId="7EC74C59"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0.59</w:t>
            </w:r>
          </w:p>
        </w:tc>
        <w:tc>
          <w:tcPr>
            <w:tcW w:w="1146" w:type="dxa"/>
            <w:tcBorders>
              <w:top w:val="nil"/>
              <w:left w:val="nil"/>
              <w:bottom w:val="single" w:sz="4" w:space="0" w:color="auto"/>
              <w:right w:val="single" w:sz="4" w:space="0" w:color="auto"/>
            </w:tcBorders>
            <w:noWrap/>
            <w:vAlign w:val="center"/>
            <w:hideMark/>
          </w:tcPr>
          <w:p w14:paraId="3EC8DC81"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0.60</w:t>
            </w:r>
          </w:p>
        </w:tc>
        <w:tc>
          <w:tcPr>
            <w:tcW w:w="980" w:type="dxa"/>
            <w:tcBorders>
              <w:top w:val="nil"/>
              <w:left w:val="nil"/>
              <w:bottom w:val="single" w:sz="4" w:space="0" w:color="auto"/>
              <w:right w:val="single" w:sz="4" w:space="0" w:color="auto"/>
            </w:tcBorders>
            <w:noWrap/>
            <w:vAlign w:val="center"/>
            <w:hideMark/>
          </w:tcPr>
          <w:p w14:paraId="3AC0298A"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0.50</w:t>
            </w:r>
          </w:p>
        </w:tc>
      </w:tr>
      <w:tr w:rsidR="00820207" w:rsidRPr="008017F0" w14:paraId="124661C6" w14:textId="77777777" w:rsidTr="00242DFE">
        <w:trPr>
          <w:trHeight w:val="20"/>
        </w:trPr>
        <w:tc>
          <w:tcPr>
            <w:tcW w:w="551" w:type="dxa"/>
            <w:vMerge w:val="restart"/>
            <w:tcBorders>
              <w:top w:val="nil"/>
              <w:left w:val="single" w:sz="4" w:space="0" w:color="auto"/>
              <w:bottom w:val="single" w:sz="4" w:space="0" w:color="auto"/>
              <w:right w:val="single" w:sz="4" w:space="0" w:color="auto"/>
            </w:tcBorders>
            <w:vAlign w:val="center"/>
            <w:hideMark/>
          </w:tcPr>
          <w:p w14:paraId="05224E8F"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EQI</w:t>
            </w:r>
          </w:p>
        </w:tc>
        <w:tc>
          <w:tcPr>
            <w:tcW w:w="1146" w:type="dxa"/>
            <w:tcBorders>
              <w:top w:val="nil"/>
              <w:left w:val="nil"/>
              <w:bottom w:val="single" w:sz="4" w:space="0" w:color="auto"/>
              <w:right w:val="single" w:sz="4" w:space="0" w:color="auto"/>
            </w:tcBorders>
            <w:vAlign w:val="center"/>
            <w:hideMark/>
          </w:tcPr>
          <w:p w14:paraId="102C6957"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General</w:t>
            </w:r>
          </w:p>
          <w:p w14:paraId="12D1FA96"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730" w:type="dxa"/>
            <w:gridSpan w:val="2"/>
            <w:tcBorders>
              <w:top w:val="nil"/>
              <w:left w:val="nil"/>
              <w:bottom w:val="nil"/>
              <w:right w:val="nil"/>
            </w:tcBorders>
            <w:noWrap/>
            <w:vAlign w:val="center"/>
            <w:hideMark/>
          </w:tcPr>
          <w:p w14:paraId="1C870704"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34" w:type="dxa"/>
            <w:tcBorders>
              <w:top w:val="nil"/>
              <w:left w:val="nil"/>
              <w:bottom w:val="nil"/>
              <w:right w:val="nil"/>
            </w:tcBorders>
            <w:noWrap/>
            <w:vAlign w:val="center"/>
            <w:hideMark/>
          </w:tcPr>
          <w:p w14:paraId="0324D29D"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34" w:type="dxa"/>
            <w:tcBorders>
              <w:top w:val="nil"/>
              <w:left w:val="nil"/>
              <w:bottom w:val="nil"/>
              <w:right w:val="nil"/>
            </w:tcBorders>
            <w:noWrap/>
            <w:vAlign w:val="center"/>
            <w:hideMark/>
          </w:tcPr>
          <w:p w14:paraId="36B08051"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730" w:type="dxa"/>
            <w:tcBorders>
              <w:top w:val="nil"/>
              <w:left w:val="single" w:sz="4" w:space="0" w:color="auto"/>
              <w:bottom w:val="single" w:sz="4" w:space="0" w:color="auto"/>
              <w:right w:val="single" w:sz="4" w:space="0" w:color="auto"/>
            </w:tcBorders>
            <w:noWrap/>
            <w:vAlign w:val="center"/>
            <w:hideMark/>
          </w:tcPr>
          <w:p w14:paraId="2C376E82"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c>
          <w:tcPr>
            <w:tcW w:w="954" w:type="dxa"/>
            <w:tcBorders>
              <w:top w:val="nil"/>
              <w:left w:val="nil"/>
              <w:bottom w:val="single" w:sz="4" w:space="0" w:color="auto"/>
              <w:right w:val="single" w:sz="4" w:space="0" w:color="auto"/>
            </w:tcBorders>
            <w:noWrap/>
            <w:vAlign w:val="center"/>
            <w:hideMark/>
          </w:tcPr>
          <w:p w14:paraId="65973BDA"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0.96</w:t>
            </w:r>
          </w:p>
        </w:tc>
        <w:tc>
          <w:tcPr>
            <w:tcW w:w="1146" w:type="dxa"/>
            <w:tcBorders>
              <w:top w:val="nil"/>
              <w:left w:val="nil"/>
              <w:bottom w:val="single" w:sz="4" w:space="0" w:color="auto"/>
              <w:right w:val="single" w:sz="4" w:space="0" w:color="auto"/>
            </w:tcBorders>
            <w:noWrap/>
            <w:vAlign w:val="center"/>
            <w:hideMark/>
          </w:tcPr>
          <w:p w14:paraId="75E01719"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0.96</w:t>
            </w:r>
          </w:p>
        </w:tc>
        <w:tc>
          <w:tcPr>
            <w:tcW w:w="980" w:type="dxa"/>
            <w:tcBorders>
              <w:top w:val="nil"/>
              <w:left w:val="nil"/>
              <w:bottom w:val="single" w:sz="4" w:space="0" w:color="auto"/>
              <w:right w:val="single" w:sz="4" w:space="0" w:color="auto"/>
            </w:tcBorders>
            <w:noWrap/>
            <w:vAlign w:val="center"/>
            <w:hideMark/>
          </w:tcPr>
          <w:p w14:paraId="30E3126B"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0.48</w:t>
            </w:r>
          </w:p>
        </w:tc>
      </w:tr>
      <w:tr w:rsidR="00820207" w:rsidRPr="008017F0" w14:paraId="197EDBB2" w14:textId="77777777" w:rsidTr="00242DFE">
        <w:trPr>
          <w:trHeight w:val="20"/>
        </w:trPr>
        <w:tc>
          <w:tcPr>
            <w:tcW w:w="551" w:type="dxa"/>
            <w:vMerge/>
            <w:tcBorders>
              <w:top w:val="nil"/>
              <w:left w:val="single" w:sz="4" w:space="0" w:color="auto"/>
              <w:bottom w:val="single" w:sz="4" w:space="0" w:color="auto"/>
              <w:right w:val="single" w:sz="4" w:space="0" w:color="auto"/>
            </w:tcBorders>
            <w:vAlign w:val="center"/>
            <w:hideMark/>
          </w:tcPr>
          <w:p w14:paraId="3121A6AC"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46" w:type="dxa"/>
            <w:tcBorders>
              <w:top w:val="nil"/>
              <w:left w:val="nil"/>
              <w:bottom w:val="single" w:sz="4" w:space="0" w:color="auto"/>
              <w:right w:val="single" w:sz="4" w:space="0" w:color="auto"/>
            </w:tcBorders>
            <w:vAlign w:val="center"/>
            <w:hideMark/>
          </w:tcPr>
          <w:p w14:paraId="7303E1BC"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Corruption</w:t>
            </w:r>
          </w:p>
          <w:p w14:paraId="76F7CD8C"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730" w:type="dxa"/>
            <w:gridSpan w:val="2"/>
            <w:tcBorders>
              <w:top w:val="nil"/>
              <w:left w:val="nil"/>
              <w:bottom w:val="nil"/>
              <w:right w:val="nil"/>
            </w:tcBorders>
            <w:noWrap/>
            <w:vAlign w:val="center"/>
            <w:hideMark/>
          </w:tcPr>
          <w:p w14:paraId="1B95756A"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34" w:type="dxa"/>
            <w:tcBorders>
              <w:top w:val="nil"/>
              <w:left w:val="nil"/>
              <w:bottom w:val="nil"/>
              <w:right w:val="nil"/>
            </w:tcBorders>
            <w:noWrap/>
            <w:vAlign w:val="center"/>
            <w:hideMark/>
          </w:tcPr>
          <w:p w14:paraId="4FC6193B"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34" w:type="dxa"/>
            <w:tcBorders>
              <w:top w:val="nil"/>
              <w:left w:val="nil"/>
              <w:bottom w:val="nil"/>
              <w:right w:val="nil"/>
            </w:tcBorders>
            <w:noWrap/>
            <w:vAlign w:val="center"/>
            <w:hideMark/>
          </w:tcPr>
          <w:p w14:paraId="7DC2CF56"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730" w:type="dxa"/>
            <w:tcBorders>
              <w:top w:val="nil"/>
              <w:left w:val="nil"/>
              <w:bottom w:val="nil"/>
              <w:right w:val="nil"/>
            </w:tcBorders>
            <w:noWrap/>
            <w:vAlign w:val="center"/>
            <w:hideMark/>
          </w:tcPr>
          <w:p w14:paraId="35990D74"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954" w:type="dxa"/>
            <w:tcBorders>
              <w:top w:val="nil"/>
              <w:left w:val="single" w:sz="4" w:space="0" w:color="auto"/>
              <w:bottom w:val="single" w:sz="4" w:space="0" w:color="auto"/>
              <w:right w:val="single" w:sz="4" w:space="0" w:color="auto"/>
            </w:tcBorders>
            <w:noWrap/>
            <w:vAlign w:val="center"/>
            <w:hideMark/>
          </w:tcPr>
          <w:p w14:paraId="4BA5F4AE"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c>
          <w:tcPr>
            <w:tcW w:w="1146" w:type="dxa"/>
            <w:tcBorders>
              <w:top w:val="nil"/>
              <w:left w:val="nil"/>
              <w:bottom w:val="single" w:sz="4" w:space="0" w:color="auto"/>
              <w:right w:val="single" w:sz="4" w:space="0" w:color="auto"/>
            </w:tcBorders>
            <w:noWrap/>
            <w:vAlign w:val="center"/>
            <w:hideMark/>
          </w:tcPr>
          <w:p w14:paraId="38A89360"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0.87</w:t>
            </w:r>
          </w:p>
        </w:tc>
        <w:tc>
          <w:tcPr>
            <w:tcW w:w="980" w:type="dxa"/>
            <w:tcBorders>
              <w:top w:val="nil"/>
              <w:left w:val="nil"/>
              <w:bottom w:val="single" w:sz="4" w:space="0" w:color="auto"/>
              <w:right w:val="single" w:sz="4" w:space="0" w:color="auto"/>
            </w:tcBorders>
            <w:noWrap/>
            <w:vAlign w:val="center"/>
            <w:hideMark/>
          </w:tcPr>
          <w:p w14:paraId="362A8D63"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0.50</w:t>
            </w:r>
          </w:p>
        </w:tc>
      </w:tr>
      <w:tr w:rsidR="00820207" w:rsidRPr="008017F0" w14:paraId="78E27940" w14:textId="77777777" w:rsidTr="00242DFE">
        <w:trPr>
          <w:trHeight w:val="20"/>
        </w:trPr>
        <w:tc>
          <w:tcPr>
            <w:tcW w:w="551" w:type="dxa"/>
            <w:vMerge/>
            <w:tcBorders>
              <w:top w:val="nil"/>
              <w:left w:val="single" w:sz="4" w:space="0" w:color="auto"/>
              <w:bottom w:val="single" w:sz="4" w:space="0" w:color="auto"/>
              <w:right w:val="single" w:sz="4" w:space="0" w:color="auto"/>
            </w:tcBorders>
            <w:vAlign w:val="center"/>
            <w:hideMark/>
          </w:tcPr>
          <w:p w14:paraId="32BEEF24"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46" w:type="dxa"/>
            <w:tcBorders>
              <w:top w:val="nil"/>
              <w:left w:val="nil"/>
              <w:bottom w:val="single" w:sz="4" w:space="0" w:color="auto"/>
              <w:right w:val="single" w:sz="4" w:space="0" w:color="auto"/>
            </w:tcBorders>
            <w:vAlign w:val="center"/>
            <w:hideMark/>
          </w:tcPr>
          <w:p w14:paraId="61E909C0"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xml:space="preserve">Quality of </w:t>
            </w:r>
            <w:proofErr w:type="spellStart"/>
            <w:r w:rsidRPr="008017F0">
              <w:rPr>
                <w:rFonts w:ascii="Calibri" w:eastAsia="Times New Roman" w:hAnsi="Calibri" w:cs="Calibri"/>
                <w:b/>
                <w:bCs/>
                <w:sz w:val="18"/>
                <w:szCs w:val="18"/>
                <w:lang w:val="en-GB" w:eastAsia="it-IT"/>
              </w:rPr>
              <w:t>governement</w:t>
            </w:r>
            <w:proofErr w:type="spellEnd"/>
          </w:p>
        </w:tc>
        <w:tc>
          <w:tcPr>
            <w:tcW w:w="730" w:type="dxa"/>
            <w:gridSpan w:val="2"/>
            <w:tcBorders>
              <w:top w:val="nil"/>
              <w:left w:val="nil"/>
              <w:bottom w:val="nil"/>
              <w:right w:val="nil"/>
            </w:tcBorders>
            <w:noWrap/>
            <w:vAlign w:val="center"/>
            <w:hideMark/>
          </w:tcPr>
          <w:p w14:paraId="4427E424"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34" w:type="dxa"/>
            <w:tcBorders>
              <w:top w:val="nil"/>
              <w:left w:val="nil"/>
              <w:bottom w:val="nil"/>
              <w:right w:val="nil"/>
            </w:tcBorders>
            <w:noWrap/>
            <w:vAlign w:val="center"/>
            <w:hideMark/>
          </w:tcPr>
          <w:p w14:paraId="4968074E"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34" w:type="dxa"/>
            <w:tcBorders>
              <w:top w:val="nil"/>
              <w:left w:val="nil"/>
              <w:bottom w:val="nil"/>
              <w:right w:val="nil"/>
            </w:tcBorders>
            <w:noWrap/>
            <w:vAlign w:val="center"/>
            <w:hideMark/>
          </w:tcPr>
          <w:p w14:paraId="36ED0717"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730" w:type="dxa"/>
            <w:tcBorders>
              <w:top w:val="nil"/>
              <w:left w:val="nil"/>
              <w:bottom w:val="nil"/>
              <w:right w:val="nil"/>
            </w:tcBorders>
            <w:noWrap/>
            <w:vAlign w:val="center"/>
            <w:hideMark/>
          </w:tcPr>
          <w:p w14:paraId="3E35C955"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954" w:type="dxa"/>
            <w:tcBorders>
              <w:top w:val="nil"/>
              <w:left w:val="nil"/>
              <w:bottom w:val="nil"/>
              <w:right w:val="nil"/>
            </w:tcBorders>
            <w:noWrap/>
            <w:vAlign w:val="center"/>
            <w:hideMark/>
          </w:tcPr>
          <w:p w14:paraId="3079A2C3"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46" w:type="dxa"/>
            <w:tcBorders>
              <w:top w:val="nil"/>
              <w:left w:val="single" w:sz="4" w:space="0" w:color="auto"/>
              <w:bottom w:val="single" w:sz="4" w:space="0" w:color="auto"/>
              <w:right w:val="single" w:sz="4" w:space="0" w:color="auto"/>
            </w:tcBorders>
            <w:noWrap/>
            <w:vAlign w:val="center"/>
            <w:hideMark/>
          </w:tcPr>
          <w:p w14:paraId="4565E75C"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c>
          <w:tcPr>
            <w:tcW w:w="980" w:type="dxa"/>
            <w:tcBorders>
              <w:top w:val="nil"/>
              <w:left w:val="nil"/>
              <w:bottom w:val="single" w:sz="4" w:space="0" w:color="auto"/>
              <w:right w:val="single" w:sz="4" w:space="0" w:color="auto"/>
            </w:tcBorders>
            <w:noWrap/>
            <w:vAlign w:val="center"/>
            <w:hideMark/>
          </w:tcPr>
          <w:p w14:paraId="71698A10"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0.52</w:t>
            </w:r>
          </w:p>
        </w:tc>
      </w:tr>
      <w:tr w:rsidR="00820207" w:rsidRPr="008017F0" w14:paraId="2E354944" w14:textId="77777777" w:rsidTr="00242DFE">
        <w:trPr>
          <w:trHeight w:val="20"/>
        </w:trPr>
        <w:tc>
          <w:tcPr>
            <w:tcW w:w="1697" w:type="dxa"/>
            <w:gridSpan w:val="2"/>
            <w:tcBorders>
              <w:top w:val="single" w:sz="4" w:space="0" w:color="auto"/>
              <w:left w:val="single" w:sz="4" w:space="0" w:color="auto"/>
              <w:bottom w:val="single" w:sz="4" w:space="0" w:color="auto"/>
              <w:right w:val="single" w:sz="4" w:space="0" w:color="auto"/>
            </w:tcBorders>
            <w:vAlign w:val="center"/>
            <w:hideMark/>
          </w:tcPr>
          <w:p w14:paraId="6249B916"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r w:rsidRPr="008017F0">
              <w:rPr>
                <w:rFonts w:ascii="Calibri" w:eastAsia="Times New Roman" w:hAnsi="Calibri" w:cs="Calibri"/>
                <w:b/>
                <w:bCs/>
                <w:sz w:val="18"/>
                <w:szCs w:val="18"/>
                <w:lang w:val="en-GB" w:eastAsia="it-IT"/>
              </w:rPr>
              <w:t xml:space="preserve">PSP Total index </w:t>
            </w:r>
          </w:p>
          <w:p w14:paraId="23528C9B"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730" w:type="dxa"/>
            <w:gridSpan w:val="2"/>
            <w:tcBorders>
              <w:top w:val="nil"/>
              <w:left w:val="nil"/>
              <w:bottom w:val="nil"/>
              <w:right w:val="nil"/>
            </w:tcBorders>
            <w:noWrap/>
            <w:vAlign w:val="center"/>
            <w:hideMark/>
          </w:tcPr>
          <w:p w14:paraId="30E8CFA1" w14:textId="77777777" w:rsidR="00820207" w:rsidRPr="008017F0" w:rsidRDefault="00820207" w:rsidP="00242DFE">
            <w:pPr>
              <w:spacing w:after="0" w:line="240" w:lineRule="auto"/>
              <w:rPr>
                <w:rFonts w:ascii="Calibri" w:eastAsia="Times New Roman" w:hAnsi="Calibri" w:cs="Calibri"/>
                <w:b/>
                <w:bCs/>
                <w:sz w:val="18"/>
                <w:szCs w:val="18"/>
                <w:lang w:val="en-GB" w:eastAsia="it-IT"/>
              </w:rPr>
            </w:pPr>
          </w:p>
        </w:tc>
        <w:tc>
          <w:tcPr>
            <w:tcW w:w="1134" w:type="dxa"/>
            <w:tcBorders>
              <w:top w:val="nil"/>
              <w:left w:val="nil"/>
              <w:bottom w:val="nil"/>
              <w:right w:val="nil"/>
            </w:tcBorders>
            <w:noWrap/>
            <w:vAlign w:val="center"/>
            <w:hideMark/>
          </w:tcPr>
          <w:p w14:paraId="6E722B9A"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34" w:type="dxa"/>
            <w:tcBorders>
              <w:top w:val="nil"/>
              <w:left w:val="nil"/>
              <w:bottom w:val="nil"/>
              <w:right w:val="nil"/>
            </w:tcBorders>
            <w:noWrap/>
            <w:vAlign w:val="center"/>
            <w:hideMark/>
          </w:tcPr>
          <w:p w14:paraId="2CFFA42A"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730" w:type="dxa"/>
            <w:tcBorders>
              <w:top w:val="nil"/>
              <w:left w:val="nil"/>
              <w:bottom w:val="nil"/>
              <w:right w:val="nil"/>
            </w:tcBorders>
            <w:noWrap/>
            <w:vAlign w:val="center"/>
            <w:hideMark/>
          </w:tcPr>
          <w:p w14:paraId="6649A46A"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954" w:type="dxa"/>
            <w:tcBorders>
              <w:top w:val="nil"/>
              <w:left w:val="nil"/>
              <w:bottom w:val="nil"/>
              <w:right w:val="nil"/>
            </w:tcBorders>
            <w:noWrap/>
            <w:vAlign w:val="center"/>
            <w:hideMark/>
          </w:tcPr>
          <w:p w14:paraId="32356973"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1146" w:type="dxa"/>
            <w:tcBorders>
              <w:top w:val="nil"/>
              <w:left w:val="nil"/>
              <w:bottom w:val="nil"/>
              <w:right w:val="nil"/>
            </w:tcBorders>
            <w:noWrap/>
            <w:vAlign w:val="center"/>
            <w:hideMark/>
          </w:tcPr>
          <w:p w14:paraId="461B2CAE" w14:textId="77777777" w:rsidR="00820207" w:rsidRPr="008017F0" w:rsidRDefault="00820207" w:rsidP="00242DFE">
            <w:pPr>
              <w:spacing w:after="0" w:line="240" w:lineRule="auto"/>
              <w:jc w:val="center"/>
              <w:rPr>
                <w:rFonts w:ascii="Times New Roman" w:eastAsia="Times New Roman" w:hAnsi="Times New Roman" w:cs="Times New Roman"/>
                <w:sz w:val="20"/>
                <w:szCs w:val="20"/>
                <w:lang w:val="en-GB" w:eastAsia="it-IT"/>
              </w:rPr>
            </w:pPr>
          </w:p>
        </w:tc>
        <w:tc>
          <w:tcPr>
            <w:tcW w:w="980" w:type="dxa"/>
            <w:tcBorders>
              <w:top w:val="nil"/>
              <w:left w:val="single" w:sz="4" w:space="0" w:color="auto"/>
              <w:bottom w:val="single" w:sz="4" w:space="0" w:color="auto"/>
              <w:right w:val="single" w:sz="4" w:space="0" w:color="auto"/>
            </w:tcBorders>
            <w:noWrap/>
            <w:vAlign w:val="center"/>
            <w:hideMark/>
          </w:tcPr>
          <w:p w14:paraId="1B8DE921" w14:textId="77777777" w:rsidR="00820207" w:rsidRPr="008017F0" w:rsidRDefault="00820207" w:rsidP="00242DFE">
            <w:pPr>
              <w:spacing w:after="0" w:line="240" w:lineRule="auto"/>
              <w:jc w:val="center"/>
              <w:rPr>
                <w:rFonts w:ascii="Calibri" w:eastAsia="Times New Roman" w:hAnsi="Calibri" w:cs="Calibri"/>
                <w:sz w:val="18"/>
                <w:szCs w:val="18"/>
                <w:lang w:val="en-GB" w:eastAsia="it-IT"/>
              </w:rPr>
            </w:pPr>
            <w:r w:rsidRPr="008017F0">
              <w:rPr>
                <w:rFonts w:ascii="Calibri" w:eastAsia="Times New Roman" w:hAnsi="Calibri" w:cs="Calibri"/>
                <w:sz w:val="18"/>
                <w:szCs w:val="18"/>
                <w:lang w:val="en-GB" w:eastAsia="it-IT"/>
              </w:rPr>
              <w:t>1.00</w:t>
            </w:r>
          </w:p>
        </w:tc>
      </w:tr>
    </w:tbl>
    <w:p w14:paraId="7308410E" w14:textId="77777777" w:rsidR="00820207" w:rsidRPr="008017F0" w:rsidRDefault="00820207" w:rsidP="008017F0">
      <w:pPr>
        <w:spacing w:after="240" w:line="240" w:lineRule="auto"/>
        <w:ind w:right="142"/>
        <w:jc w:val="both"/>
        <w:rPr>
          <w:rFonts w:ascii="Times New Roman" w:eastAsia="Times New Roman" w:hAnsi="Times New Roman" w:cs="Times New Roman"/>
          <w:i/>
          <w:iCs/>
          <w:sz w:val="20"/>
          <w:szCs w:val="20"/>
          <w:lang w:val="en-GB" w:eastAsia="it-IT"/>
        </w:rPr>
      </w:pPr>
      <w:r w:rsidRPr="008017F0">
        <w:rPr>
          <w:rFonts w:ascii="Times New Roman" w:hAnsi="Times New Roman" w:cs="Times New Roman"/>
          <w:i/>
          <w:iCs/>
          <w:sz w:val="20"/>
          <w:szCs w:val="20"/>
          <w:lang w:val="en-GB"/>
        </w:rPr>
        <w:t xml:space="preserve">NB: For both the </w:t>
      </w:r>
      <w:r w:rsidRPr="008017F0">
        <w:rPr>
          <w:rFonts w:ascii="Times New Roman" w:eastAsia="Times New Roman" w:hAnsi="Times New Roman" w:cs="Times New Roman"/>
          <w:i/>
          <w:iCs/>
          <w:sz w:val="20"/>
          <w:szCs w:val="20"/>
          <w:lang w:val="en-GB" w:eastAsia="it-IT"/>
        </w:rPr>
        <w:t xml:space="preserve">Institutional Quality </w:t>
      </w:r>
      <w:r w:rsidRPr="008017F0">
        <w:rPr>
          <w:rFonts w:ascii="Times New Roman" w:hAnsi="Times New Roman" w:cs="Times New Roman"/>
          <w:i/>
          <w:iCs/>
          <w:sz w:val="20"/>
          <w:szCs w:val="20"/>
          <w:lang w:val="en-GB"/>
        </w:rPr>
        <w:t xml:space="preserve">and the </w:t>
      </w:r>
      <w:r w:rsidRPr="008017F0">
        <w:rPr>
          <w:rFonts w:ascii="Times New Roman" w:eastAsia="Times New Roman" w:hAnsi="Times New Roman" w:cs="Times New Roman"/>
          <w:i/>
          <w:iCs/>
          <w:sz w:val="20"/>
          <w:szCs w:val="20"/>
          <w:lang w:val="en-GB" w:eastAsia="it-IT"/>
        </w:rPr>
        <w:t>European Quality of Government Indexes of Corruption, a higher value signals a lower level of corruption.</w:t>
      </w:r>
    </w:p>
    <w:p w14:paraId="14DF1AAC" w14:textId="77777777" w:rsidR="00820207" w:rsidRPr="008017F0" w:rsidRDefault="00820207" w:rsidP="00820207">
      <w:pPr>
        <w:pStyle w:val="RSEG"/>
      </w:pPr>
      <w:r w:rsidRPr="008017F0">
        <w:t>Generally speaking, the correlation among the other indexes is higher than the correlation between the PSP index and any of them (note anyway that the Institutional Quality Index of corruption is based, by construction, on the Golden-Picci index as well as on other indicators).</w:t>
      </w:r>
    </w:p>
    <w:p w14:paraId="4E0EFB65" w14:textId="77777777" w:rsidR="00820207" w:rsidRPr="008017F0" w:rsidRDefault="00820207" w:rsidP="00820207">
      <w:pPr>
        <w:pStyle w:val="RSEG"/>
      </w:pPr>
      <w:r w:rsidRPr="008017F0">
        <w:t xml:space="preserve">Indeed, the methodology adopted to construct the new index differs, even from the Golden-Picci approach, along various lines. </w:t>
      </w:r>
    </w:p>
    <w:p w14:paraId="2FCF3366" w14:textId="77777777" w:rsidR="00820207" w:rsidRPr="008017F0" w:rsidRDefault="00820207" w:rsidP="00820207">
      <w:pPr>
        <w:pStyle w:val="RSEG"/>
        <w:rPr>
          <w:bCs/>
        </w:rPr>
      </w:pPr>
      <w:r w:rsidRPr="008017F0">
        <w:rPr>
          <w:bCs/>
          <w:i/>
          <w:iCs/>
        </w:rPr>
        <w:t>The data</w:t>
      </w:r>
      <w:r w:rsidRPr="008017F0">
        <w:rPr>
          <w:bCs/>
        </w:rPr>
        <w:t xml:space="preserve">: we constructed a new updated index for infrastructure in physical terms which is highly correlated to the index of Istituto </w:t>
      </w:r>
      <w:proofErr w:type="spellStart"/>
      <w:r w:rsidRPr="008017F0">
        <w:rPr>
          <w:bCs/>
        </w:rPr>
        <w:t>Tagliacarne</w:t>
      </w:r>
      <w:proofErr w:type="spellEnd"/>
      <w:r w:rsidRPr="008017F0">
        <w:rPr>
          <w:bCs/>
        </w:rPr>
        <w:t xml:space="preserve">, rather than using the </w:t>
      </w:r>
      <w:proofErr w:type="spellStart"/>
      <w:r w:rsidRPr="008017F0">
        <w:rPr>
          <w:bCs/>
        </w:rPr>
        <w:t>Ecoter</w:t>
      </w:r>
      <w:proofErr w:type="spellEnd"/>
      <w:r w:rsidRPr="008017F0">
        <w:rPr>
          <w:bCs/>
        </w:rPr>
        <w:t xml:space="preserve"> index of Golden and Picci (as already said, our choice was justified by the greater amenability of the Istituto </w:t>
      </w:r>
      <w:proofErr w:type="spellStart"/>
      <w:r w:rsidRPr="008017F0">
        <w:rPr>
          <w:bCs/>
        </w:rPr>
        <w:t>Tagliacarne</w:t>
      </w:r>
      <w:proofErr w:type="spellEnd"/>
      <w:r w:rsidRPr="008017F0">
        <w:rPr>
          <w:bCs/>
        </w:rPr>
        <w:t xml:space="preserve"> index to a panel setup). Moreover, we constructed a net public capital stock, instead of the gross capital used by Golden and Picci. The net public capital stock, however, is highly correlated to Picci’s series. The cost-corrected net public capital has been computed using an approach inspired by Golden and Picci with a different time-varying regional cost index.</w:t>
      </w:r>
    </w:p>
    <w:p w14:paraId="3AF3A480" w14:textId="77777777" w:rsidR="00820207" w:rsidRPr="008017F0" w:rsidRDefault="00820207" w:rsidP="00820207">
      <w:pPr>
        <w:pStyle w:val="RSEG"/>
        <w:rPr>
          <w:bCs/>
        </w:rPr>
      </w:pPr>
      <w:r w:rsidRPr="008017F0">
        <w:rPr>
          <w:bCs/>
          <w:i/>
          <w:iCs/>
        </w:rPr>
        <w:t>The period</w:t>
      </w:r>
      <w:r w:rsidRPr="008017F0">
        <w:rPr>
          <w:bCs/>
        </w:rPr>
        <w:t xml:space="preserve">: with the construction of long series for infrastructure index and net public capital, we capture the evolution of public spending </w:t>
      </w:r>
      <w:r w:rsidRPr="008017F0">
        <w:t xml:space="preserve">productivity </w:t>
      </w:r>
      <w:r w:rsidRPr="008017F0">
        <w:rPr>
          <w:bCs/>
        </w:rPr>
        <w:t>throughout 1989-2019.</w:t>
      </w:r>
    </w:p>
    <w:p w14:paraId="2FFA912D" w14:textId="77777777" w:rsidR="00820207" w:rsidRPr="008017F0" w:rsidRDefault="00820207" w:rsidP="00820207">
      <w:pPr>
        <w:pStyle w:val="RSEG"/>
        <w:rPr>
          <w:bCs/>
        </w:rPr>
      </w:pPr>
      <w:r w:rsidRPr="008017F0">
        <w:rPr>
          <w:bCs/>
          <w:i/>
          <w:iCs/>
        </w:rPr>
        <w:t>The in-depth asset analysis</w:t>
      </w:r>
      <w:r w:rsidRPr="008017F0">
        <w:rPr>
          <w:bCs/>
        </w:rPr>
        <w:t xml:space="preserve">: the construction of </w:t>
      </w:r>
      <w:r w:rsidRPr="008017F0">
        <w:t xml:space="preserve">productivity </w:t>
      </w:r>
      <w:r w:rsidRPr="008017F0">
        <w:rPr>
          <w:bCs/>
        </w:rPr>
        <w:t>index for six asset classes, excluding Telecommunication, allows an in-depth analysis by assets.</w:t>
      </w:r>
    </w:p>
    <w:p w14:paraId="3AA03A8C" w14:textId="77777777" w:rsidR="00820207" w:rsidRPr="008017F0" w:rsidRDefault="00820207" w:rsidP="00820207">
      <w:pPr>
        <w:pStyle w:val="RSEG"/>
        <w:rPr>
          <w:bCs/>
        </w:rPr>
      </w:pPr>
      <w:r w:rsidRPr="008017F0">
        <w:rPr>
          <w:bCs/>
          <w:i/>
          <w:iCs/>
        </w:rPr>
        <w:t>The econometric method</w:t>
      </w:r>
      <w:r w:rsidRPr="008017F0">
        <w:rPr>
          <w:bCs/>
        </w:rPr>
        <w:t xml:space="preserve">: we rely on a dynamic panel regression based on the quantitative analysis of production, with the physical index of infrastructure as output and the monetary capital stock as </w:t>
      </w:r>
      <w:r w:rsidRPr="008017F0">
        <w:rPr>
          <w:bCs/>
        </w:rPr>
        <w:lastRenderedPageBreak/>
        <w:t xml:space="preserve">input. Public spending </w:t>
      </w:r>
      <w:r w:rsidRPr="008017F0">
        <w:t>productivity</w:t>
      </w:r>
      <w:r w:rsidRPr="008017F0">
        <w:rPr>
          <w:bCs/>
        </w:rPr>
        <w:t xml:space="preserve"> is constructed using the </w:t>
      </w:r>
      <w:r w:rsidRPr="008017F0">
        <w:t>coefficients for the area and regional trends in that equation. This procedure is based on inference robust to very general forms of heteroskedasticity and cross-section dependence and successfully tests for the existence of a cointegrating relationship including the monetary capital stock and the physical index of infrastructure.</w:t>
      </w:r>
    </w:p>
    <w:p w14:paraId="39134AD9" w14:textId="77777777" w:rsidR="0055329C" w:rsidRPr="008017F0" w:rsidRDefault="0055329C">
      <w:pPr>
        <w:spacing w:after="160" w:line="259" w:lineRule="auto"/>
        <w:rPr>
          <w:rFonts w:ascii="Times New Roman" w:hAnsi="Times New Roman" w:cs="Times New Roman"/>
          <w:b/>
          <w:lang w:val="en-GB"/>
        </w:rPr>
      </w:pPr>
      <w:r w:rsidRPr="008017F0">
        <w:rPr>
          <w:b/>
          <w:lang w:val="en-GB"/>
        </w:rPr>
        <w:br w:type="page"/>
      </w:r>
    </w:p>
    <w:p w14:paraId="6B85DDAF" w14:textId="20E071CC" w:rsidR="00B11595" w:rsidRPr="008017F0" w:rsidRDefault="00B11595" w:rsidP="00B11595">
      <w:pPr>
        <w:pStyle w:val="RSEG"/>
        <w:rPr>
          <w:b/>
        </w:rPr>
      </w:pPr>
      <w:r w:rsidRPr="008017F0">
        <w:rPr>
          <w:b/>
        </w:rPr>
        <w:lastRenderedPageBreak/>
        <w:t xml:space="preserve">Appendix 4. Supplementary information variables </w:t>
      </w:r>
      <w:r w:rsidR="00820207" w:rsidRPr="008017F0">
        <w:rPr>
          <w:b/>
        </w:rPr>
        <w:t>and specification of e</w:t>
      </w:r>
      <w:r w:rsidRPr="008017F0">
        <w:rPr>
          <w:b/>
        </w:rPr>
        <w:t>quations [</w:t>
      </w:r>
      <w:r w:rsidR="006F4088" w:rsidRPr="008017F0">
        <w:rPr>
          <w:b/>
        </w:rPr>
        <w:t>6</w:t>
      </w:r>
      <w:r w:rsidRPr="008017F0">
        <w:rPr>
          <w:b/>
        </w:rPr>
        <w:t>] and [</w:t>
      </w:r>
      <w:r w:rsidR="006F4088" w:rsidRPr="008017F0">
        <w:rPr>
          <w:b/>
        </w:rPr>
        <w:t>7</w:t>
      </w:r>
      <w:r w:rsidRPr="008017F0">
        <w:rPr>
          <w:b/>
        </w:rPr>
        <w:t>]</w:t>
      </w:r>
    </w:p>
    <w:p w14:paraId="7FC0D232" w14:textId="77777777" w:rsidR="003C2EEA" w:rsidRPr="008017F0" w:rsidRDefault="003C2EEA" w:rsidP="00B11595">
      <w:pPr>
        <w:pStyle w:val="RSEG"/>
        <w:rPr>
          <w:bCs/>
          <w:iCs/>
          <w:sz w:val="22"/>
          <w:szCs w:val="22"/>
        </w:rPr>
      </w:pPr>
    </w:p>
    <w:p w14:paraId="3C77B381" w14:textId="0F1B5BF4" w:rsidR="003C2EEA" w:rsidRPr="008017F0" w:rsidRDefault="003C2EEA" w:rsidP="003C2EEA">
      <w:pPr>
        <w:spacing w:after="0" w:line="240" w:lineRule="auto"/>
        <w:jc w:val="both"/>
        <w:rPr>
          <w:rFonts w:ascii="Times New Roman" w:hAnsi="Times New Roman" w:cs="Times New Roman"/>
          <w:b/>
          <w:sz w:val="20"/>
          <w:szCs w:val="20"/>
          <w:lang w:val="en-GB"/>
        </w:rPr>
      </w:pPr>
      <w:r w:rsidRPr="008017F0">
        <w:rPr>
          <w:rFonts w:ascii="Times New Roman" w:hAnsi="Times New Roman" w:cs="Times New Roman"/>
          <w:sz w:val="20"/>
          <w:szCs w:val="20"/>
          <w:lang w:val="en-GB"/>
        </w:rPr>
        <w:t>Table A1</w:t>
      </w:r>
      <w:r w:rsidR="00B3623E" w:rsidRPr="008017F0">
        <w:rPr>
          <w:rFonts w:ascii="Times New Roman" w:hAnsi="Times New Roman" w:cs="Times New Roman"/>
          <w:sz w:val="20"/>
          <w:szCs w:val="20"/>
          <w:lang w:val="en-GB"/>
        </w:rPr>
        <w:t>1</w:t>
      </w:r>
      <w:r w:rsidRPr="008017F0">
        <w:rPr>
          <w:rFonts w:ascii="Times New Roman" w:hAnsi="Times New Roman" w:cs="Times New Roman"/>
          <w:sz w:val="20"/>
          <w:szCs w:val="20"/>
          <w:lang w:val="en-GB"/>
        </w:rPr>
        <w:t xml:space="preserve"> Sources and descriptive statistics of variables from Equations [</w:t>
      </w:r>
      <w:r w:rsidR="00820207" w:rsidRPr="008017F0">
        <w:rPr>
          <w:rFonts w:ascii="Times New Roman" w:hAnsi="Times New Roman" w:cs="Times New Roman"/>
          <w:sz w:val="20"/>
          <w:szCs w:val="20"/>
          <w:lang w:val="en-GB"/>
        </w:rPr>
        <w:t>6</w:t>
      </w:r>
      <w:r w:rsidRPr="008017F0">
        <w:rPr>
          <w:rFonts w:ascii="Times New Roman" w:hAnsi="Times New Roman" w:cs="Times New Roman"/>
          <w:sz w:val="20"/>
          <w:szCs w:val="20"/>
          <w:lang w:val="en-GB"/>
        </w:rPr>
        <w:t>] and [</w:t>
      </w:r>
      <w:r w:rsidR="00820207" w:rsidRPr="008017F0">
        <w:rPr>
          <w:rFonts w:ascii="Times New Roman" w:hAnsi="Times New Roman" w:cs="Times New Roman"/>
          <w:sz w:val="20"/>
          <w:szCs w:val="20"/>
          <w:lang w:val="en-GB"/>
        </w:rPr>
        <w:t>7</w:t>
      </w:r>
      <w:r w:rsidRPr="008017F0">
        <w:rPr>
          <w:rFonts w:ascii="Times New Roman" w:hAnsi="Times New Roman" w:cs="Times New Roman"/>
          <w:sz w:val="20"/>
          <w:szCs w:val="20"/>
          <w:lang w:val="en-GB"/>
        </w:rPr>
        <w:t>]</w:t>
      </w:r>
    </w:p>
    <w:tbl>
      <w:tblPr>
        <w:tblW w:w="9917" w:type="dxa"/>
        <w:tblLayout w:type="fixed"/>
        <w:tblCellMar>
          <w:left w:w="70" w:type="dxa"/>
          <w:right w:w="70" w:type="dxa"/>
        </w:tblCellMar>
        <w:tblLook w:val="04A0" w:firstRow="1" w:lastRow="0" w:firstColumn="1" w:lastColumn="0" w:noHBand="0" w:noVBand="1"/>
      </w:tblPr>
      <w:tblGrid>
        <w:gridCol w:w="3114"/>
        <w:gridCol w:w="1417"/>
        <w:gridCol w:w="850"/>
        <w:gridCol w:w="643"/>
        <w:gridCol w:w="694"/>
        <w:gridCol w:w="694"/>
        <w:gridCol w:w="804"/>
        <w:gridCol w:w="851"/>
        <w:gridCol w:w="850"/>
      </w:tblGrid>
      <w:tr w:rsidR="003C2EEA" w:rsidRPr="008017F0" w14:paraId="4307D353"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2E2E6F" w14:textId="77777777" w:rsidR="003C2EEA" w:rsidRPr="008017F0" w:rsidRDefault="003C2EEA" w:rsidP="008C3712">
            <w:pPr>
              <w:spacing w:after="0" w:line="240" w:lineRule="auto"/>
              <w:ind w:right="-65"/>
              <w:jc w:val="center"/>
              <w:rPr>
                <w:rFonts w:eastAsia="Times New Roman" w:cstheme="minorHAnsi"/>
                <w:b/>
                <w:bCs/>
                <w:sz w:val="16"/>
                <w:szCs w:val="16"/>
                <w:lang w:val="en-GB" w:eastAsia="it-IT"/>
              </w:rPr>
            </w:pPr>
            <w:r w:rsidRPr="008017F0">
              <w:rPr>
                <w:rFonts w:cstheme="minorHAnsi"/>
                <w:b/>
                <w:bCs/>
                <w:sz w:val="16"/>
                <w:szCs w:val="16"/>
                <w:lang w:val="en-GB"/>
              </w:rPr>
              <w:t>Description (</w:t>
            </w:r>
            <w:r w:rsidRPr="008017F0">
              <w:rPr>
                <w:rFonts w:cstheme="minorHAnsi"/>
                <w:b/>
                <w:bCs/>
                <w:i/>
                <w:iCs/>
                <w:sz w:val="16"/>
                <w:szCs w:val="16"/>
                <w:lang w:val="en-GB"/>
              </w:rPr>
              <w:t>label</w:t>
            </w:r>
            <w:r w:rsidRPr="008017F0">
              <w:rPr>
                <w:rFonts w:cstheme="minorHAnsi"/>
                <w:b/>
                <w:bCs/>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21B8389C" w14:textId="77777777" w:rsidR="003C2EEA" w:rsidRPr="008017F0" w:rsidRDefault="003C2EEA" w:rsidP="008C3712">
            <w:pPr>
              <w:spacing w:after="0" w:line="240" w:lineRule="auto"/>
              <w:ind w:right="-76"/>
              <w:jc w:val="center"/>
              <w:rPr>
                <w:rFonts w:eastAsia="Times New Roman" w:cstheme="minorHAnsi"/>
                <w:b/>
                <w:bCs/>
                <w:sz w:val="16"/>
                <w:szCs w:val="16"/>
                <w:lang w:val="en-GB" w:eastAsia="it-IT"/>
              </w:rPr>
            </w:pPr>
            <w:r w:rsidRPr="008017F0">
              <w:rPr>
                <w:rFonts w:cstheme="minorHAnsi"/>
                <w:b/>
                <w:bCs/>
                <w:sz w:val="16"/>
                <w:szCs w:val="16"/>
                <w:lang w:val="en-GB"/>
              </w:rPr>
              <w:t>Source</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3607BCF"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Mean</w:t>
            </w:r>
          </w:p>
        </w:tc>
        <w:tc>
          <w:tcPr>
            <w:tcW w:w="643" w:type="dxa"/>
            <w:tcBorders>
              <w:top w:val="single" w:sz="4" w:space="0" w:color="auto"/>
              <w:left w:val="single" w:sz="4" w:space="0" w:color="auto"/>
              <w:bottom w:val="single" w:sz="4" w:space="0" w:color="auto"/>
              <w:right w:val="single" w:sz="4" w:space="0" w:color="auto"/>
            </w:tcBorders>
            <w:noWrap/>
            <w:vAlign w:val="center"/>
            <w:hideMark/>
          </w:tcPr>
          <w:p w14:paraId="177A8473"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SD</w:t>
            </w:r>
          </w:p>
        </w:tc>
        <w:tc>
          <w:tcPr>
            <w:tcW w:w="694" w:type="dxa"/>
            <w:tcBorders>
              <w:top w:val="single" w:sz="4" w:space="0" w:color="auto"/>
              <w:left w:val="single" w:sz="4" w:space="0" w:color="auto"/>
              <w:bottom w:val="single" w:sz="4" w:space="0" w:color="auto"/>
              <w:right w:val="single" w:sz="4" w:space="0" w:color="auto"/>
            </w:tcBorders>
            <w:vAlign w:val="center"/>
          </w:tcPr>
          <w:p w14:paraId="5237F7DC"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Min</w:t>
            </w:r>
          </w:p>
        </w:tc>
        <w:tc>
          <w:tcPr>
            <w:tcW w:w="694" w:type="dxa"/>
            <w:tcBorders>
              <w:top w:val="single" w:sz="4" w:space="0" w:color="auto"/>
              <w:left w:val="single" w:sz="4" w:space="0" w:color="auto"/>
              <w:bottom w:val="single" w:sz="4" w:space="0" w:color="auto"/>
              <w:right w:val="single" w:sz="4" w:space="0" w:color="auto"/>
            </w:tcBorders>
            <w:vAlign w:val="center"/>
          </w:tcPr>
          <w:p w14:paraId="482C82B8"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p10</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E9FB7D7"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p50</w:t>
            </w:r>
          </w:p>
        </w:tc>
        <w:tc>
          <w:tcPr>
            <w:tcW w:w="851" w:type="dxa"/>
            <w:tcBorders>
              <w:top w:val="single" w:sz="4" w:space="0" w:color="auto"/>
              <w:left w:val="single" w:sz="4" w:space="0" w:color="auto"/>
              <w:bottom w:val="single" w:sz="4" w:space="0" w:color="auto"/>
              <w:right w:val="single" w:sz="4" w:space="0" w:color="auto"/>
            </w:tcBorders>
            <w:vAlign w:val="center"/>
          </w:tcPr>
          <w:p w14:paraId="005C9BA2"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p90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BCB584F" w14:textId="77777777" w:rsidR="003C2EEA" w:rsidRPr="008017F0" w:rsidRDefault="003C2EEA" w:rsidP="008C3712">
            <w:pPr>
              <w:spacing w:after="0" w:line="240" w:lineRule="auto"/>
              <w:jc w:val="center"/>
              <w:rPr>
                <w:rFonts w:eastAsia="Times New Roman" w:cstheme="minorHAnsi"/>
                <w:b/>
                <w:bCs/>
                <w:sz w:val="16"/>
                <w:szCs w:val="16"/>
                <w:lang w:val="en-GB" w:eastAsia="it-IT"/>
              </w:rPr>
            </w:pPr>
            <w:r w:rsidRPr="008017F0">
              <w:rPr>
                <w:rFonts w:eastAsia="Times New Roman" w:cstheme="minorHAnsi"/>
                <w:b/>
                <w:bCs/>
                <w:sz w:val="16"/>
                <w:szCs w:val="16"/>
                <w:lang w:val="en-GB" w:eastAsia="it-IT"/>
              </w:rPr>
              <w:t>Max</w:t>
            </w:r>
          </w:p>
        </w:tc>
      </w:tr>
      <w:tr w:rsidR="003C2EEA" w:rsidRPr="008017F0" w14:paraId="32B422BE"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E42EC59"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GDP per capita (</w:t>
            </w:r>
            <w:r w:rsidRPr="008017F0">
              <w:rPr>
                <w:rFonts w:cstheme="minorHAnsi"/>
                <w:i/>
                <w:iCs/>
                <w:sz w:val="16"/>
                <w:szCs w:val="16"/>
                <w:lang w:val="en-GB"/>
              </w:rPr>
              <w:t>y</w:t>
            </w:r>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0871D9F8"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12C3A51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24.906</w:t>
            </w:r>
          </w:p>
        </w:tc>
        <w:tc>
          <w:tcPr>
            <w:tcW w:w="643" w:type="dxa"/>
            <w:tcBorders>
              <w:top w:val="single" w:sz="4" w:space="0" w:color="auto"/>
              <w:left w:val="single" w:sz="4" w:space="0" w:color="auto"/>
              <w:bottom w:val="single" w:sz="4" w:space="0" w:color="auto"/>
              <w:right w:val="single" w:sz="4" w:space="0" w:color="auto"/>
            </w:tcBorders>
            <w:noWrap/>
            <w:vAlign w:val="center"/>
          </w:tcPr>
          <w:p w14:paraId="76A0F3FD"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1.306</w:t>
            </w:r>
          </w:p>
        </w:tc>
        <w:tc>
          <w:tcPr>
            <w:tcW w:w="694" w:type="dxa"/>
            <w:tcBorders>
              <w:top w:val="single" w:sz="4" w:space="0" w:color="auto"/>
              <w:left w:val="single" w:sz="4" w:space="0" w:color="auto"/>
              <w:bottom w:val="single" w:sz="4" w:space="0" w:color="auto"/>
              <w:right w:val="single" w:sz="4" w:space="0" w:color="auto"/>
            </w:tcBorders>
            <w:vAlign w:val="center"/>
          </w:tcPr>
          <w:p w14:paraId="17BD1731"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14.243</w:t>
            </w:r>
          </w:p>
        </w:tc>
        <w:tc>
          <w:tcPr>
            <w:tcW w:w="694" w:type="dxa"/>
            <w:tcBorders>
              <w:top w:val="single" w:sz="4" w:space="0" w:color="auto"/>
              <w:left w:val="single" w:sz="4" w:space="0" w:color="auto"/>
              <w:bottom w:val="single" w:sz="4" w:space="0" w:color="auto"/>
              <w:right w:val="single" w:sz="4" w:space="0" w:color="auto"/>
            </w:tcBorders>
            <w:vAlign w:val="center"/>
          </w:tcPr>
          <w:p w14:paraId="4C2F6407"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16.865</w:t>
            </w:r>
          </w:p>
        </w:tc>
        <w:tc>
          <w:tcPr>
            <w:tcW w:w="804" w:type="dxa"/>
            <w:tcBorders>
              <w:top w:val="single" w:sz="4" w:space="0" w:color="auto"/>
              <w:left w:val="single" w:sz="4" w:space="0" w:color="auto"/>
              <w:bottom w:val="single" w:sz="4" w:space="0" w:color="auto"/>
              <w:right w:val="single" w:sz="4" w:space="0" w:color="auto"/>
            </w:tcBorders>
            <w:noWrap/>
            <w:vAlign w:val="center"/>
          </w:tcPr>
          <w:p w14:paraId="511D475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26.955</w:t>
            </w:r>
          </w:p>
        </w:tc>
        <w:tc>
          <w:tcPr>
            <w:tcW w:w="851" w:type="dxa"/>
            <w:tcBorders>
              <w:top w:val="single" w:sz="4" w:space="0" w:color="auto"/>
              <w:left w:val="single" w:sz="4" w:space="0" w:color="auto"/>
              <w:bottom w:val="single" w:sz="4" w:space="0" w:color="auto"/>
              <w:right w:val="single" w:sz="4" w:space="0" w:color="auto"/>
            </w:tcBorders>
            <w:vAlign w:val="center"/>
          </w:tcPr>
          <w:p w14:paraId="6B46DCE6"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35.240</w:t>
            </w:r>
          </w:p>
        </w:tc>
        <w:tc>
          <w:tcPr>
            <w:tcW w:w="850" w:type="dxa"/>
            <w:tcBorders>
              <w:top w:val="single" w:sz="4" w:space="0" w:color="auto"/>
              <w:left w:val="single" w:sz="4" w:space="0" w:color="auto"/>
              <w:bottom w:val="single" w:sz="4" w:space="0" w:color="auto"/>
              <w:right w:val="single" w:sz="4" w:space="0" w:color="auto"/>
            </w:tcBorders>
            <w:noWrap/>
            <w:vAlign w:val="center"/>
          </w:tcPr>
          <w:p w14:paraId="18954CE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38.115</w:t>
            </w:r>
          </w:p>
        </w:tc>
      </w:tr>
      <w:tr w:rsidR="003C2EEA" w:rsidRPr="008017F0" w14:paraId="573AC16E"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A5B149"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Gross fixed investment / GDP (</w:t>
            </w:r>
            <w:proofErr w:type="spellStart"/>
            <w:r w:rsidRPr="008017F0">
              <w:rPr>
                <w:rFonts w:cstheme="minorHAnsi"/>
                <w:i/>
                <w:iCs/>
                <w:sz w:val="16"/>
                <w:szCs w:val="16"/>
                <w:lang w:val="en-GB"/>
              </w:rPr>
              <w:t>gfi</w:t>
            </w:r>
            <w:proofErr w:type="spellEnd"/>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468F0454"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77A5D6F0"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0.206</w:t>
            </w:r>
          </w:p>
        </w:tc>
        <w:tc>
          <w:tcPr>
            <w:tcW w:w="643" w:type="dxa"/>
            <w:tcBorders>
              <w:top w:val="single" w:sz="4" w:space="0" w:color="auto"/>
              <w:left w:val="single" w:sz="4" w:space="0" w:color="auto"/>
              <w:bottom w:val="single" w:sz="4" w:space="0" w:color="auto"/>
              <w:right w:val="single" w:sz="4" w:space="0" w:color="auto"/>
            </w:tcBorders>
            <w:noWrap/>
            <w:vAlign w:val="center"/>
          </w:tcPr>
          <w:p w14:paraId="3033BFE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1.193</w:t>
            </w:r>
          </w:p>
        </w:tc>
        <w:tc>
          <w:tcPr>
            <w:tcW w:w="694" w:type="dxa"/>
            <w:tcBorders>
              <w:top w:val="single" w:sz="4" w:space="0" w:color="auto"/>
              <w:left w:val="single" w:sz="4" w:space="0" w:color="auto"/>
              <w:bottom w:val="single" w:sz="4" w:space="0" w:color="auto"/>
              <w:right w:val="single" w:sz="4" w:space="0" w:color="auto"/>
            </w:tcBorders>
            <w:vAlign w:val="center"/>
          </w:tcPr>
          <w:p w14:paraId="4C54FCF8"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0.140</w:t>
            </w:r>
          </w:p>
        </w:tc>
        <w:tc>
          <w:tcPr>
            <w:tcW w:w="694" w:type="dxa"/>
            <w:tcBorders>
              <w:top w:val="single" w:sz="4" w:space="0" w:color="auto"/>
              <w:left w:val="single" w:sz="4" w:space="0" w:color="auto"/>
              <w:bottom w:val="single" w:sz="4" w:space="0" w:color="auto"/>
              <w:right w:val="single" w:sz="4" w:space="0" w:color="auto"/>
            </w:tcBorders>
            <w:vAlign w:val="center"/>
          </w:tcPr>
          <w:p w14:paraId="737994F3"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0.162</w:t>
            </w:r>
          </w:p>
        </w:tc>
        <w:tc>
          <w:tcPr>
            <w:tcW w:w="804" w:type="dxa"/>
            <w:tcBorders>
              <w:top w:val="single" w:sz="4" w:space="0" w:color="auto"/>
              <w:left w:val="single" w:sz="4" w:space="0" w:color="auto"/>
              <w:bottom w:val="single" w:sz="4" w:space="0" w:color="auto"/>
              <w:right w:val="single" w:sz="4" w:space="0" w:color="auto"/>
            </w:tcBorders>
            <w:noWrap/>
            <w:vAlign w:val="center"/>
          </w:tcPr>
          <w:p w14:paraId="1A542CD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0.206</w:t>
            </w:r>
          </w:p>
        </w:tc>
        <w:tc>
          <w:tcPr>
            <w:tcW w:w="851" w:type="dxa"/>
            <w:tcBorders>
              <w:top w:val="single" w:sz="4" w:space="0" w:color="auto"/>
              <w:left w:val="single" w:sz="4" w:space="0" w:color="auto"/>
              <w:bottom w:val="single" w:sz="4" w:space="0" w:color="auto"/>
              <w:right w:val="single" w:sz="4" w:space="0" w:color="auto"/>
            </w:tcBorders>
            <w:vAlign w:val="center"/>
          </w:tcPr>
          <w:p w14:paraId="2A48B947"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0.262</w:t>
            </w:r>
          </w:p>
        </w:tc>
        <w:tc>
          <w:tcPr>
            <w:tcW w:w="850" w:type="dxa"/>
            <w:tcBorders>
              <w:top w:val="single" w:sz="4" w:space="0" w:color="auto"/>
              <w:left w:val="single" w:sz="4" w:space="0" w:color="auto"/>
              <w:bottom w:val="single" w:sz="4" w:space="0" w:color="auto"/>
              <w:right w:val="single" w:sz="4" w:space="0" w:color="auto"/>
            </w:tcBorders>
            <w:noWrap/>
            <w:vAlign w:val="center"/>
          </w:tcPr>
          <w:p w14:paraId="42F8A0B9"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0.323</w:t>
            </w:r>
          </w:p>
        </w:tc>
      </w:tr>
      <w:tr w:rsidR="003C2EEA" w:rsidRPr="008017F0" w14:paraId="1ED0FDBE"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1B8C34"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Population (</w:t>
            </w:r>
            <w:r w:rsidRPr="008017F0">
              <w:rPr>
                <w:rFonts w:cstheme="minorHAnsi"/>
                <w:i/>
                <w:iCs/>
                <w:sz w:val="16"/>
                <w:szCs w:val="16"/>
                <w:lang w:val="en-GB"/>
              </w:rPr>
              <w:t>pop</w:t>
            </w:r>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2FDE684E"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025441C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1912.350</w:t>
            </w:r>
          </w:p>
        </w:tc>
        <w:tc>
          <w:tcPr>
            <w:tcW w:w="643" w:type="dxa"/>
            <w:tcBorders>
              <w:top w:val="single" w:sz="4" w:space="0" w:color="auto"/>
              <w:left w:val="single" w:sz="4" w:space="0" w:color="auto"/>
              <w:bottom w:val="single" w:sz="4" w:space="0" w:color="auto"/>
              <w:right w:val="single" w:sz="4" w:space="0" w:color="auto"/>
            </w:tcBorders>
            <w:noWrap/>
            <w:vAlign w:val="center"/>
          </w:tcPr>
          <w:p w14:paraId="756BD657"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2.894</w:t>
            </w:r>
          </w:p>
        </w:tc>
        <w:tc>
          <w:tcPr>
            <w:tcW w:w="694" w:type="dxa"/>
            <w:tcBorders>
              <w:top w:val="single" w:sz="4" w:space="0" w:color="auto"/>
              <w:left w:val="single" w:sz="4" w:space="0" w:color="auto"/>
              <w:bottom w:val="single" w:sz="4" w:space="0" w:color="auto"/>
              <w:right w:val="single" w:sz="4" w:space="0" w:color="auto"/>
            </w:tcBorders>
            <w:vAlign w:val="center"/>
          </w:tcPr>
          <w:p w14:paraId="450AB527"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116.650</w:t>
            </w:r>
          </w:p>
        </w:tc>
        <w:tc>
          <w:tcPr>
            <w:tcW w:w="694" w:type="dxa"/>
            <w:tcBorders>
              <w:top w:val="single" w:sz="4" w:space="0" w:color="auto"/>
              <w:left w:val="single" w:sz="4" w:space="0" w:color="auto"/>
              <w:bottom w:val="single" w:sz="4" w:space="0" w:color="auto"/>
              <w:right w:val="single" w:sz="4" w:space="0" w:color="auto"/>
            </w:tcBorders>
            <w:vAlign w:val="center"/>
          </w:tcPr>
          <w:p w14:paraId="46D47927"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428.495</w:t>
            </w:r>
          </w:p>
        </w:tc>
        <w:tc>
          <w:tcPr>
            <w:tcW w:w="804" w:type="dxa"/>
            <w:tcBorders>
              <w:top w:val="single" w:sz="4" w:space="0" w:color="auto"/>
              <w:left w:val="single" w:sz="4" w:space="0" w:color="auto"/>
              <w:bottom w:val="single" w:sz="4" w:space="0" w:color="auto"/>
              <w:right w:val="single" w:sz="4" w:space="0" w:color="auto"/>
            </w:tcBorders>
            <w:noWrap/>
            <w:vAlign w:val="center"/>
          </w:tcPr>
          <w:p w14:paraId="60389AC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1783.480</w:t>
            </w:r>
          </w:p>
        </w:tc>
        <w:tc>
          <w:tcPr>
            <w:tcW w:w="851" w:type="dxa"/>
            <w:tcBorders>
              <w:top w:val="single" w:sz="4" w:space="0" w:color="auto"/>
              <w:left w:val="single" w:sz="4" w:space="0" w:color="auto"/>
              <w:bottom w:val="single" w:sz="4" w:space="0" w:color="auto"/>
              <w:right w:val="single" w:sz="4" w:space="0" w:color="auto"/>
            </w:tcBorders>
            <w:vAlign w:val="center"/>
          </w:tcPr>
          <w:p w14:paraId="76973E7A"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5715.900</w:t>
            </w:r>
          </w:p>
        </w:tc>
        <w:tc>
          <w:tcPr>
            <w:tcW w:w="850" w:type="dxa"/>
            <w:tcBorders>
              <w:top w:val="single" w:sz="4" w:space="0" w:color="auto"/>
              <w:left w:val="single" w:sz="4" w:space="0" w:color="auto"/>
              <w:bottom w:val="single" w:sz="4" w:space="0" w:color="auto"/>
              <w:right w:val="single" w:sz="4" w:space="0" w:color="auto"/>
            </w:tcBorders>
            <w:noWrap/>
            <w:vAlign w:val="center"/>
          </w:tcPr>
          <w:p w14:paraId="2344BB4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10027.695</w:t>
            </w:r>
          </w:p>
        </w:tc>
      </w:tr>
      <w:tr w:rsidR="003C2EEA" w:rsidRPr="008017F0" w14:paraId="77FC0E30"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2A313ED"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EU funding plus national co-financing / GDP (</w:t>
            </w:r>
            <w:r w:rsidRPr="008017F0">
              <w:rPr>
                <w:rFonts w:cstheme="minorHAnsi"/>
                <w:i/>
                <w:iCs/>
                <w:sz w:val="16"/>
                <w:szCs w:val="16"/>
                <w:lang w:val="en-GB"/>
              </w:rPr>
              <w:t>SF</w:t>
            </w:r>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554043E3"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 xml:space="preserve">Spesa </w:t>
            </w:r>
            <w:proofErr w:type="spellStart"/>
            <w:r w:rsidRPr="008017F0">
              <w:rPr>
                <w:rFonts w:cstheme="minorHAnsi"/>
                <w:sz w:val="16"/>
                <w:szCs w:val="16"/>
                <w:lang w:val="en-GB"/>
              </w:rPr>
              <w:t>statale</w:t>
            </w:r>
            <w:proofErr w:type="spellEnd"/>
            <w:r w:rsidRPr="008017F0">
              <w:rPr>
                <w:rFonts w:cstheme="minorHAnsi"/>
                <w:sz w:val="16"/>
                <w:szCs w:val="16"/>
                <w:lang w:val="en-GB"/>
              </w:rPr>
              <w:t xml:space="preserve"> </w:t>
            </w:r>
            <w:proofErr w:type="spellStart"/>
            <w:r w:rsidRPr="008017F0">
              <w:rPr>
                <w:rFonts w:cstheme="minorHAnsi"/>
                <w:sz w:val="16"/>
                <w:szCs w:val="16"/>
                <w:lang w:val="en-GB"/>
              </w:rPr>
              <w:t>regionalizzata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1D793EAC"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0.001</w:t>
            </w:r>
          </w:p>
        </w:tc>
        <w:tc>
          <w:tcPr>
            <w:tcW w:w="643" w:type="dxa"/>
            <w:tcBorders>
              <w:top w:val="single" w:sz="4" w:space="0" w:color="auto"/>
              <w:left w:val="single" w:sz="4" w:space="0" w:color="auto"/>
              <w:bottom w:val="single" w:sz="4" w:space="0" w:color="auto"/>
              <w:right w:val="single" w:sz="4" w:space="0" w:color="auto"/>
            </w:tcBorders>
            <w:noWrap/>
            <w:vAlign w:val="center"/>
          </w:tcPr>
          <w:p w14:paraId="4F6612D7"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0.003</w:t>
            </w:r>
          </w:p>
        </w:tc>
        <w:tc>
          <w:tcPr>
            <w:tcW w:w="694" w:type="dxa"/>
            <w:tcBorders>
              <w:top w:val="single" w:sz="4" w:space="0" w:color="auto"/>
              <w:left w:val="single" w:sz="4" w:space="0" w:color="auto"/>
              <w:bottom w:val="single" w:sz="4" w:space="0" w:color="auto"/>
              <w:right w:val="single" w:sz="4" w:space="0" w:color="auto"/>
            </w:tcBorders>
            <w:vAlign w:val="center"/>
          </w:tcPr>
          <w:p w14:paraId="19EDB174"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0.000</w:t>
            </w:r>
          </w:p>
        </w:tc>
        <w:tc>
          <w:tcPr>
            <w:tcW w:w="694" w:type="dxa"/>
            <w:tcBorders>
              <w:top w:val="single" w:sz="4" w:space="0" w:color="auto"/>
              <w:left w:val="single" w:sz="4" w:space="0" w:color="auto"/>
              <w:bottom w:val="single" w:sz="4" w:space="0" w:color="auto"/>
              <w:right w:val="single" w:sz="4" w:space="0" w:color="auto"/>
            </w:tcBorders>
            <w:vAlign w:val="center"/>
          </w:tcPr>
          <w:p w14:paraId="4EBD5F78"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0.000</w:t>
            </w:r>
          </w:p>
        </w:tc>
        <w:tc>
          <w:tcPr>
            <w:tcW w:w="804" w:type="dxa"/>
            <w:tcBorders>
              <w:top w:val="single" w:sz="4" w:space="0" w:color="auto"/>
              <w:left w:val="single" w:sz="4" w:space="0" w:color="auto"/>
              <w:bottom w:val="single" w:sz="4" w:space="0" w:color="auto"/>
              <w:right w:val="single" w:sz="4" w:space="0" w:color="auto"/>
            </w:tcBorders>
            <w:noWrap/>
            <w:vAlign w:val="center"/>
          </w:tcPr>
          <w:p w14:paraId="52045E80"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0.001</w:t>
            </w:r>
          </w:p>
        </w:tc>
        <w:tc>
          <w:tcPr>
            <w:tcW w:w="851" w:type="dxa"/>
            <w:tcBorders>
              <w:top w:val="single" w:sz="4" w:space="0" w:color="auto"/>
              <w:left w:val="single" w:sz="4" w:space="0" w:color="auto"/>
              <w:bottom w:val="single" w:sz="4" w:space="0" w:color="auto"/>
              <w:right w:val="single" w:sz="4" w:space="0" w:color="auto"/>
            </w:tcBorders>
            <w:vAlign w:val="center"/>
          </w:tcPr>
          <w:p w14:paraId="0CAA4186"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0.006</w:t>
            </w:r>
          </w:p>
        </w:tc>
        <w:tc>
          <w:tcPr>
            <w:tcW w:w="850" w:type="dxa"/>
            <w:tcBorders>
              <w:top w:val="single" w:sz="4" w:space="0" w:color="auto"/>
              <w:left w:val="single" w:sz="4" w:space="0" w:color="auto"/>
              <w:bottom w:val="single" w:sz="4" w:space="0" w:color="auto"/>
              <w:right w:val="single" w:sz="4" w:space="0" w:color="auto"/>
            </w:tcBorders>
            <w:noWrap/>
            <w:vAlign w:val="center"/>
          </w:tcPr>
          <w:p w14:paraId="7AA0702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0.030</w:t>
            </w:r>
          </w:p>
        </w:tc>
      </w:tr>
      <w:tr w:rsidR="003C2EEA" w:rsidRPr="008017F0" w14:paraId="1D685C83"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BB94F49" w14:textId="77777777" w:rsidR="003C2EEA" w:rsidRPr="008017F0" w:rsidRDefault="003C2EEA" w:rsidP="008C3712">
            <w:pPr>
              <w:spacing w:after="0" w:line="240" w:lineRule="auto"/>
              <w:ind w:right="-65"/>
              <w:jc w:val="center"/>
              <w:rPr>
                <w:rFonts w:cstheme="minorHAnsi"/>
                <w:sz w:val="16"/>
                <w:szCs w:val="16"/>
                <w:lang w:val="en-GB"/>
              </w:rPr>
            </w:pPr>
            <w:r w:rsidRPr="008017F0">
              <w:rPr>
                <w:rFonts w:cstheme="minorHAnsi"/>
                <w:sz w:val="16"/>
                <w:szCs w:val="16"/>
                <w:lang w:val="en-GB"/>
              </w:rPr>
              <w:t>Current account subsidies to firms / GDP</w:t>
            </w:r>
          </w:p>
          <w:p w14:paraId="2F236323"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w:t>
            </w:r>
            <w:r w:rsidRPr="008017F0">
              <w:rPr>
                <w:rFonts w:cstheme="minorHAnsi"/>
                <w:i/>
                <w:iCs/>
                <w:sz w:val="16"/>
                <w:szCs w:val="16"/>
                <w:lang w:val="en-GB"/>
              </w:rPr>
              <w:t>Nat</w:t>
            </w:r>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7B9EF15B"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 xml:space="preserve">Spesa </w:t>
            </w:r>
            <w:proofErr w:type="spellStart"/>
            <w:r w:rsidRPr="008017F0">
              <w:rPr>
                <w:rFonts w:cstheme="minorHAnsi"/>
                <w:sz w:val="16"/>
                <w:szCs w:val="16"/>
                <w:lang w:val="en-GB"/>
              </w:rPr>
              <w:t>statale</w:t>
            </w:r>
            <w:proofErr w:type="spellEnd"/>
            <w:r w:rsidRPr="008017F0">
              <w:rPr>
                <w:rFonts w:cstheme="minorHAnsi"/>
                <w:sz w:val="16"/>
                <w:szCs w:val="16"/>
                <w:lang w:val="en-GB"/>
              </w:rPr>
              <w:t xml:space="preserve"> </w:t>
            </w:r>
            <w:proofErr w:type="spellStart"/>
            <w:r w:rsidRPr="008017F0">
              <w:rPr>
                <w:rFonts w:cstheme="minorHAnsi"/>
                <w:sz w:val="16"/>
                <w:szCs w:val="16"/>
                <w:lang w:val="en-GB"/>
              </w:rPr>
              <w:t>regionalizzata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1B9E206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0.005</w:t>
            </w:r>
          </w:p>
        </w:tc>
        <w:tc>
          <w:tcPr>
            <w:tcW w:w="643" w:type="dxa"/>
            <w:tcBorders>
              <w:top w:val="single" w:sz="4" w:space="0" w:color="auto"/>
              <w:left w:val="single" w:sz="4" w:space="0" w:color="auto"/>
              <w:bottom w:val="single" w:sz="4" w:space="0" w:color="auto"/>
              <w:right w:val="single" w:sz="4" w:space="0" w:color="auto"/>
            </w:tcBorders>
            <w:noWrap/>
            <w:vAlign w:val="center"/>
          </w:tcPr>
          <w:p w14:paraId="1C4CE78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0.004</w:t>
            </w:r>
          </w:p>
        </w:tc>
        <w:tc>
          <w:tcPr>
            <w:tcW w:w="694" w:type="dxa"/>
            <w:tcBorders>
              <w:top w:val="single" w:sz="4" w:space="0" w:color="auto"/>
              <w:left w:val="single" w:sz="4" w:space="0" w:color="auto"/>
              <w:bottom w:val="single" w:sz="4" w:space="0" w:color="auto"/>
              <w:right w:val="single" w:sz="4" w:space="0" w:color="auto"/>
            </w:tcBorders>
            <w:vAlign w:val="center"/>
          </w:tcPr>
          <w:p w14:paraId="4D5A1787"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0.000</w:t>
            </w:r>
          </w:p>
        </w:tc>
        <w:tc>
          <w:tcPr>
            <w:tcW w:w="694" w:type="dxa"/>
            <w:tcBorders>
              <w:top w:val="single" w:sz="4" w:space="0" w:color="auto"/>
              <w:left w:val="single" w:sz="4" w:space="0" w:color="auto"/>
              <w:bottom w:val="single" w:sz="4" w:space="0" w:color="auto"/>
              <w:right w:val="single" w:sz="4" w:space="0" w:color="auto"/>
            </w:tcBorders>
            <w:vAlign w:val="center"/>
          </w:tcPr>
          <w:p w14:paraId="144583D1"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0.002</w:t>
            </w:r>
          </w:p>
        </w:tc>
        <w:tc>
          <w:tcPr>
            <w:tcW w:w="804" w:type="dxa"/>
            <w:tcBorders>
              <w:top w:val="single" w:sz="4" w:space="0" w:color="auto"/>
              <w:left w:val="single" w:sz="4" w:space="0" w:color="auto"/>
              <w:bottom w:val="single" w:sz="4" w:space="0" w:color="auto"/>
              <w:right w:val="single" w:sz="4" w:space="0" w:color="auto"/>
            </w:tcBorders>
            <w:noWrap/>
            <w:vAlign w:val="center"/>
          </w:tcPr>
          <w:p w14:paraId="49DEA05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0.004</w:t>
            </w:r>
          </w:p>
        </w:tc>
        <w:tc>
          <w:tcPr>
            <w:tcW w:w="851" w:type="dxa"/>
            <w:tcBorders>
              <w:top w:val="single" w:sz="4" w:space="0" w:color="auto"/>
              <w:left w:val="single" w:sz="4" w:space="0" w:color="auto"/>
              <w:bottom w:val="single" w:sz="4" w:space="0" w:color="auto"/>
              <w:right w:val="single" w:sz="4" w:space="0" w:color="auto"/>
            </w:tcBorders>
            <w:vAlign w:val="center"/>
          </w:tcPr>
          <w:p w14:paraId="7CBB463B"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0.011</w:t>
            </w:r>
          </w:p>
        </w:tc>
        <w:tc>
          <w:tcPr>
            <w:tcW w:w="850" w:type="dxa"/>
            <w:tcBorders>
              <w:top w:val="single" w:sz="4" w:space="0" w:color="auto"/>
              <w:left w:val="single" w:sz="4" w:space="0" w:color="auto"/>
              <w:bottom w:val="single" w:sz="4" w:space="0" w:color="auto"/>
              <w:right w:val="single" w:sz="4" w:space="0" w:color="auto"/>
            </w:tcBorders>
            <w:noWrap/>
            <w:vAlign w:val="center"/>
          </w:tcPr>
          <w:p w14:paraId="378250F3"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0.027</w:t>
            </w:r>
          </w:p>
        </w:tc>
      </w:tr>
      <w:tr w:rsidR="003C2EEA" w:rsidRPr="008017F0" w14:paraId="7E8D35FA"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tcPr>
          <w:p w14:paraId="47B1C616"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sz w:val="16"/>
                <w:szCs w:val="16"/>
                <w:lang w:val="en-GB"/>
              </w:rPr>
              <w:t>Nationally financed cohesion funds / GDP (</w:t>
            </w:r>
            <w:r w:rsidRPr="008017F0">
              <w:rPr>
                <w:i/>
                <w:iCs/>
                <w:sz w:val="16"/>
                <w:szCs w:val="16"/>
                <w:lang w:val="en-GB"/>
              </w:rPr>
              <w:t>Nat</w:t>
            </w:r>
            <w:r w:rsidRPr="008017F0">
              <w:rPr>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tcPr>
          <w:p w14:paraId="0A091230"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sz w:val="16"/>
                <w:szCs w:val="16"/>
                <w:lang w:val="en-GB"/>
              </w:rPr>
              <w:t xml:space="preserve">Spesa </w:t>
            </w:r>
            <w:proofErr w:type="spellStart"/>
            <w:r w:rsidRPr="008017F0">
              <w:rPr>
                <w:sz w:val="16"/>
                <w:szCs w:val="16"/>
                <w:lang w:val="en-GB"/>
              </w:rPr>
              <w:t>statale</w:t>
            </w:r>
            <w:proofErr w:type="spellEnd"/>
            <w:r w:rsidRPr="008017F0">
              <w:rPr>
                <w:sz w:val="16"/>
                <w:szCs w:val="16"/>
                <w:lang w:val="en-GB"/>
              </w:rPr>
              <w:t xml:space="preserve"> </w:t>
            </w:r>
            <w:proofErr w:type="spellStart"/>
            <w:r w:rsidRPr="008017F0">
              <w:rPr>
                <w:sz w:val="16"/>
                <w:szCs w:val="16"/>
                <w:lang w:val="en-GB"/>
              </w:rPr>
              <w:t>regionalizzata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190B66E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0.002</w:t>
            </w:r>
          </w:p>
        </w:tc>
        <w:tc>
          <w:tcPr>
            <w:tcW w:w="643" w:type="dxa"/>
            <w:tcBorders>
              <w:top w:val="single" w:sz="4" w:space="0" w:color="auto"/>
              <w:left w:val="single" w:sz="4" w:space="0" w:color="auto"/>
              <w:bottom w:val="single" w:sz="4" w:space="0" w:color="auto"/>
              <w:right w:val="single" w:sz="4" w:space="0" w:color="auto"/>
            </w:tcBorders>
            <w:noWrap/>
            <w:vAlign w:val="center"/>
          </w:tcPr>
          <w:p w14:paraId="65774684"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0.005</w:t>
            </w:r>
          </w:p>
        </w:tc>
        <w:tc>
          <w:tcPr>
            <w:tcW w:w="694" w:type="dxa"/>
            <w:tcBorders>
              <w:top w:val="single" w:sz="4" w:space="0" w:color="auto"/>
              <w:left w:val="single" w:sz="4" w:space="0" w:color="auto"/>
              <w:bottom w:val="single" w:sz="4" w:space="0" w:color="auto"/>
              <w:right w:val="single" w:sz="4" w:space="0" w:color="auto"/>
            </w:tcBorders>
            <w:vAlign w:val="center"/>
          </w:tcPr>
          <w:p w14:paraId="2BD9224D"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0.000</w:t>
            </w:r>
          </w:p>
        </w:tc>
        <w:tc>
          <w:tcPr>
            <w:tcW w:w="694" w:type="dxa"/>
            <w:tcBorders>
              <w:top w:val="single" w:sz="4" w:space="0" w:color="auto"/>
              <w:left w:val="single" w:sz="4" w:space="0" w:color="auto"/>
              <w:bottom w:val="single" w:sz="4" w:space="0" w:color="auto"/>
              <w:right w:val="single" w:sz="4" w:space="0" w:color="auto"/>
            </w:tcBorders>
            <w:vAlign w:val="center"/>
          </w:tcPr>
          <w:p w14:paraId="4405B079"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0.000</w:t>
            </w:r>
          </w:p>
        </w:tc>
        <w:tc>
          <w:tcPr>
            <w:tcW w:w="804" w:type="dxa"/>
            <w:tcBorders>
              <w:top w:val="single" w:sz="4" w:space="0" w:color="auto"/>
              <w:left w:val="single" w:sz="4" w:space="0" w:color="auto"/>
              <w:bottom w:val="single" w:sz="4" w:space="0" w:color="auto"/>
              <w:right w:val="single" w:sz="4" w:space="0" w:color="auto"/>
            </w:tcBorders>
            <w:noWrap/>
            <w:vAlign w:val="center"/>
          </w:tcPr>
          <w:p w14:paraId="294FFD4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0.002</w:t>
            </w:r>
          </w:p>
        </w:tc>
        <w:tc>
          <w:tcPr>
            <w:tcW w:w="851" w:type="dxa"/>
            <w:tcBorders>
              <w:top w:val="single" w:sz="4" w:space="0" w:color="auto"/>
              <w:left w:val="single" w:sz="4" w:space="0" w:color="auto"/>
              <w:bottom w:val="single" w:sz="4" w:space="0" w:color="auto"/>
              <w:right w:val="single" w:sz="4" w:space="0" w:color="auto"/>
            </w:tcBorders>
            <w:vAlign w:val="center"/>
          </w:tcPr>
          <w:p w14:paraId="7CB384A5"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0.015</w:t>
            </w:r>
          </w:p>
        </w:tc>
        <w:tc>
          <w:tcPr>
            <w:tcW w:w="850" w:type="dxa"/>
            <w:tcBorders>
              <w:top w:val="single" w:sz="4" w:space="0" w:color="auto"/>
              <w:left w:val="single" w:sz="4" w:space="0" w:color="auto"/>
              <w:bottom w:val="single" w:sz="4" w:space="0" w:color="auto"/>
              <w:right w:val="single" w:sz="4" w:space="0" w:color="auto"/>
            </w:tcBorders>
            <w:noWrap/>
            <w:vAlign w:val="center"/>
          </w:tcPr>
          <w:p w14:paraId="0DF4AC93"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0.066</w:t>
            </w:r>
          </w:p>
        </w:tc>
      </w:tr>
      <w:tr w:rsidR="003C2EEA" w:rsidRPr="008017F0" w14:paraId="2D4F2E04"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5CA8F7" w14:textId="10640382" w:rsidR="003C2EEA" w:rsidRPr="008017F0" w:rsidRDefault="003C2EEA" w:rsidP="00077A4D">
            <w:pPr>
              <w:spacing w:after="0" w:line="240" w:lineRule="auto"/>
              <w:ind w:right="-65"/>
              <w:jc w:val="center"/>
              <w:rPr>
                <w:rFonts w:cstheme="minorHAnsi"/>
                <w:sz w:val="16"/>
                <w:szCs w:val="16"/>
                <w:lang w:val="en-GB"/>
              </w:rPr>
            </w:pPr>
            <w:r w:rsidRPr="008017F0">
              <w:rPr>
                <w:rFonts w:cstheme="minorHAnsi"/>
                <w:sz w:val="16"/>
                <w:szCs w:val="16"/>
                <w:lang w:val="en-GB"/>
              </w:rPr>
              <w:t xml:space="preserve">Capital </w:t>
            </w:r>
            <w:r w:rsidR="00E83DB8" w:rsidRPr="008017F0">
              <w:rPr>
                <w:rFonts w:cstheme="minorHAnsi"/>
                <w:sz w:val="16"/>
                <w:szCs w:val="16"/>
                <w:lang w:val="en-GB"/>
              </w:rPr>
              <w:t xml:space="preserve">account </w:t>
            </w:r>
            <w:r w:rsidRPr="008017F0">
              <w:rPr>
                <w:rFonts w:cstheme="minorHAnsi"/>
                <w:sz w:val="16"/>
                <w:szCs w:val="16"/>
                <w:lang w:val="en-GB"/>
              </w:rPr>
              <w:t>subsidies</w:t>
            </w:r>
            <w:r w:rsidR="00077A4D" w:rsidRPr="008017F0">
              <w:rPr>
                <w:rFonts w:cstheme="minorHAnsi"/>
                <w:sz w:val="16"/>
                <w:szCs w:val="16"/>
                <w:lang w:val="en-GB"/>
              </w:rPr>
              <w:t xml:space="preserve"> / </w:t>
            </w:r>
            <w:r w:rsidRPr="008017F0">
              <w:rPr>
                <w:rFonts w:cstheme="minorHAnsi"/>
                <w:sz w:val="16"/>
                <w:szCs w:val="16"/>
                <w:lang w:val="en-GB"/>
              </w:rPr>
              <w:t>GDP</w:t>
            </w:r>
          </w:p>
          <w:p w14:paraId="1FCACA00" w14:textId="77777777" w:rsidR="003C2EEA" w:rsidRPr="008017F0" w:rsidRDefault="003C2EEA" w:rsidP="008C3712">
            <w:pPr>
              <w:spacing w:after="0" w:line="240" w:lineRule="auto"/>
              <w:ind w:right="-65"/>
              <w:jc w:val="center"/>
              <w:rPr>
                <w:rFonts w:cstheme="minorHAnsi"/>
                <w:sz w:val="16"/>
                <w:szCs w:val="16"/>
                <w:lang w:val="en-GB"/>
              </w:rPr>
            </w:pPr>
            <w:r w:rsidRPr="008017F0">
              <w:rPr>
                <w:rFonts w:cstheme="minorHAnsi"/>
                <w:sz w:val="16"/>
                <w:szCs w:val="16"/>
                <w:lang w:val="en-GB"/>
              </w:rPr>
              <w:t>(</w:t>
            </w:r>
            <w:r w:rsidRPr="008017F0">
              <w:rPr>
                <w:rFonts w:cstheme="minorHAnsi"/>
                <w:i/>
                <w:iCs/>
                <w:sz w:val="16"/>
                <w:szCs w:val="16"/>
                <w:lang w:val="en-GB"/>
              </w:rPr>
              <w:t>Nat</w:t>
            </w:r>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41B4134E"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 xml:space="preserve">Spesa </w:t>
            </w:r>
            <w:proofErr w:type="spellStart"/>
            <w:r w:rsidRPr="008017F0">
              <w:rPr>
                <w:rFonts w:cstheme="minorHAnsi"/>
                <w:sz w:val="16"/>
                <w:szCs w:val="16"/>
                <w:lang w:val="en-GB"/>
              </w:rPr>
              <w:t>statale</w:t>
            </w:r>
            <w:proofErr w:type="spellEnd"/>
            <w:r w:rsidRPr="008017F0">
              <w:rPr>
                <w:rFonts w:cstheme="minorHAnsi"/>
                <w:sz w:val="16"/>
                <w:szCs w:val="16"/>
                <w:lang w:val="en-GB"/>
              </w:rPr>
              <w:t xml:space="preserve"> </w:t>
            </w:r>
            <w:proofErr w:type="spellStart"/>
            <w:r w:rsidRPr="008017F0">
              <w:rPr>
                <w:rFonts w:cstheme="minorHAnsi"/>
                <w:sz w:val="16"/>
                <w:szCs w:val="16"/>
                <w:lang w:val="en-GB"/>
              </w:rPr>
              <w:t>regionalizzata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34555EBE" w14:textId="31CBD27D"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w:t>
            </w:r>
            <w:r w:rsidR="00077BC0" w:rsidRPr="008017F0">
              <w:rPr>
                <w:sz w:val="16"/>
                <w:szCs w:val="16"/>
                <w:lang w:val="en-GB"/>
              </w:rPr>
              <w:t>28</w:t>
            </w:r>
          </w:p>
        </w:tc>
        <w:tc>
          <w:tcPr>
            <w:tcW w:w="643" w:type="dxa"/>
            <w:tcBorders>
              <w:top w:val="single" w:sz="4" w:space="0" w:color="auto"/>
              <w:left w:val="single" w:sz="4" w:space="0" w:color="auto"/>
              <w:bottom w:val="single" w:sz="4" w:space="0" w:color="auto"/>
              <w:right w:val="single" w:sz="4" w:space="0" w:color="auto"/>
            </w:tcBorders>
            <w:noWrap/>
            <w:vAlign w:val="center"/>
          </w:tcPr>
          <w:p w14:paraId="4A207CD5" w14:textId="6532C945"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0.02</w:t>
            </w:r>
            <w:r w:rsidR="00077BC0" w:rsidRPr="008017F0">
              <w:rPr>
                <w:sz w:val="16"/>
                <w:szCs w:val="16"/>
                <w:lang w:val="en-GB"/>
              </w:rPr>
              <w:t>0</w:t>
            </w:r>
          </w:p>
        </w:tc>
        <w:tc>
          <w:tcPr>
            <w:tcW w:w="694" w:type="dxa"/>
            <w:tcBorders>
              <w:top w:val="single" w:sz="4" w:space="0" w:color="auto"/>
              <w:left w:val="single" w:sz="4" w:space="0" w:color="auto"/>
              <w:bottom w:val="single" w:sz="4" w:space="0" w:color="auto"/>
              <w:right w:val="single" w:sz="4" w:space="0" w:color="auto"/>
            </w:tcBorders>
            <w:vAlign w:val="center"/>
          </w:tcPr>
          <w:p w14:paraId="5B61E11A" w14:textId="4F204A05"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w:t>
            </w:r>
            <w:r w:rsidR="00077BC0" w:rsidRPr="008017F0">
              <w:rPr>
                <w:sz w:val="16"/>
                <w:szCs w:val="16"/>
                <w:lang w:val="en-GB"/>
              </w:rPr>
              <w:t>3</w:t>
            </w:r>
          </w:p>
        </w:tc>
        <w:tc>
          <w:tcPr>
            <w:tcW w:w="694" w:type="dxa"/>
            <w:tcBorders>
              <w:top w:val="single" w:sz="4" w:space="0" w:color="auto"/>
              <w:left w:val="single" w:sz="4" w:space="0" w:color="auto"/>
              <w:bottom w:val="single" w:sz="4" w:space="0" w:color="auto"/>
              <w:right w:val="single" w:sz="4" w:space="0" w:color="auto"/>
            </w:tcBorders>
            <w:vAlign w:val="center"/>
          </w:tcPr>
          <w:p w14:paraId="55058799" w14:textId="2232DD69"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w:t>
            </w:r>
            <w:r w:rsidR="00077BC0" w:rsidRPr="008017F0">
              <w:rPr>
                <w:sz w:val="16"/>
                <w:szCs w:val="16"/>
                <w:lang w:val="en-GB"/>
              </w:rPr>
              <w:t>9</w:t>
            </w:r>
          </w:p>
        </w:tc>
        <w:tc>
          <w:tcPr>
            <w:tcW w:w="804" w:type="dxa"/>
            <w:tcBorders>
              <w:top w:val="single" w:sz="4" w:space="0" w:color="auto"/>
              <w:left w:val="single" w:sz="4" w:space="0" w:color="auto"/>
              <w:bottom w:val="single" w:sz="4" w:space="0" w:color="auto"/>
              <w:right w:val="single" w:sz="4" w:space="0" w:color="auto"/>
            </w:tcBorders>
            <w:noWrap/>
            <w:vAlign w:val="center"/>
          </w:tcPr>
          <w:p w14:paraId="502FDAAA" w14:textId="0896BDD3"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w:t>
            </w:r>
            <w:r w:rsidR="00077BC0" w:rsidRPr="008017F0">
              <w:rPr>
                <w:sz w:val="16"/>
                <w:szCs w:val="16"/>
                <w:lang w:val="en-GB"/>
              </w:rPr>
              <w:t>23</w:t>
            </w:r>
          </w:p>
        </w:tc>
        <w:tc>
          <w:tcPr>
            <w:tcW w:w="851" w:type="dxa"/>
            <w:tcBorders>
              <w:top w:val="single" w:sz="4" w:space="0" w:color="auto"/>
              <w:left w:val="single" w:sz="4" w:space="0" w:color="auto"/>
              <w:bottom w:val="single" w:sz="4" w:space="0" w:color="auto"/>
              <w:right w:val="single" w:sz="4" w:space="0" w:color="auto"/>
            </w:tcBorders>
            <w:vAlign w:val="center"/>
          </w:tcPr>
          <w:p w14:paraId="56E47CAE" w14:textId="71CE412E"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w:t>
            </w:r>
            <w:r w:rsidR="00077BC0" w:rsidRPr="008017F0">
              <w:rPr>
                <w:sz w:val="16"/>
                <w:szCs w:val="16"/>
                <w:lang w:val="en-GB"/>
              </w:rPr>
              <w:t>53</w:t>
            </w:r>
          </w:p>
        </w:tc>
        <w:tc>
          <w:tcPr>
            <w:tcW w:w="850" w:type="dxa"/>
            <w:tcBorders>
              <w:top w:val="single" w:sz="4" w:space="0" w:color="auto"/>
              <w:left w:val="single" w:sz="4" w:space="0" w:color="auto"/>
              <w:bottom w:val="single" w:sz="4" w:space="0" w:color="auto"/>
              <w:right w:val="single" w:sz="4" w:space="0" w:color="auto"/>
            </w:tcBorders>
            <w:noWrap/>
            <w:vAlign w:val="center"/>
          </w:tcPr>
          <w:p w14:paraId="168FFFA6" w14:textId="53400D8D"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w:t>
            </w:r>
            <w:r w:rsidR="00077BC0" w:rsidRPr="008017F0">
              <w:rPr>
                <w:sz w:val="16"/>
                <w:szCs w:val="16"/>
                <w:lang w:val="en-GB"/>
              </w:rPr>
              <w:t>42</w:t>
            </w:r>
          </w:p>
        </w:tc>
      </w:tr>
      <w:tr w:rsidR="003C2EEA" w:rsidRPr="008017F0" w14:paraId="3E09C485"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1A51775"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sz w:val="16"/>
                <w:szCs w:val="16"/>
                <w:lang w:val="en-GB"/>
              </w:rPr>
              <w:t>Nationally financed public investments</w:t>
            </w:r>
            <w:r w:rsidRPr="008017F0">
              <w:rPr>
                <w:rFonts w:cstheme="minorHAnsi"/>
                <w:sz w:val="16"/>
                <w:szCs w:val="16"/>
                <w:lang w:val="en-GB"/>
              </w:rPr>
              <w:t xml:space="preserve"> / GDP (</w:t>
            </w:r>
            <w:r w:rsidRPr="008017F0">
              <w:rPr>
                <w:rFonts w:cstheme="minorHAnsi"/>
                <w:i/>
                <w:iCs/>
                <w:sz w:val="16"/>
                <w:szCs w:val="16"/>
                <w:lang w:val="en-GB"/>
              </w:rPr>
              <w:t>Nat</w:t>
            </w:r>
            <w:r w:rsidRPr="008017F0">
              <w:rPr>
                <w:rFonts w:cstheme="minorHAnsi"/>
                <w:sz w:val="16"/>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4581D2B3"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 xml:space="preserve">Spesa </w:t>
            </w:r>
            <w:proofErr w:type="spellStart"/>
            <w:r w:rsidRPr="008017F0">
              <w:rPr>
                <w:rFonts w:cstheme="minorHAnsi"/>
                <w:sz w:val="16"/>
                <w:szCs w:val="16"/>
                <w:lang w:val="en-GB"/>
              </w:rPr>
              <w:t>statale</w:t>
            </w:r>
            <w:proofErr w:type="spellEnd"/>
            <w:r w:rsidRPr="008017F0">
              <w:rPr>
                <w:rFonts w:cstheme="minorHAnsi"/>
                <w:sz w:val="16"/>
                <w:szCs w:val="16"/>
                <w:lang w:val="en-GB"/>
              </w:rPr>
              <w:t xml:space="preserve"> </w:t>
            </w:r>
            <w:proofErr w:type="spellStart"/>
            <w:r w:rsidRPr="008017F0">
              <w:rPr>
                <w:rFonts w:cstheme="minorHAnsi"/>
                <w:sz w:val="16"/>
                <w:szCs w:val="16"/>
                <w:lang w:val="en-GB"/>
              </w:rPr>
              <w:t>regionalizzata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207CE5C9"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0.023</w:t>
            </w:r>
          </w:p>
        </w:tc>
        <w:tc>
          <w:tcPr>
            <w:tcW w:w="643" w:type="dxa"/>
            <w:tcBorders>
              <w:top w:val="single" w:sz="4" w:space="0" w:color="auto"/>
              <w:left w:val="single" w:sz="4" w:space="0" w:color="auto"/>
              <w:bottom w:val="single" w:sz="4" w:space="0" w:color="auto"/>
              <w:right w:val="single" w:sz="4" w:space="0" w:color="auto"/>
            </w:tcBorders>
            <w:noWrap/>
            <w:vAlign w:val="center"/>
          </w:tcPr>
          <w:p w14:paraId="728811C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0.022</w:t>
            </w:r>
          </w:p>
        </w:tc>
        <w:tc>
          <w:tcPr>
            <w:tcW w:w="694" w:type="dxa"/>
            <w:tcBorders>
              <w:top w:val="single" w:sz="4" w:space="0" w:color="auto"/>
              <w:left w:val="single" w:sz="4" w:space="0" w:color="auto"/>
              <w:bottom w:val="single" w:sz="4" w:space="0" w:color="auto"/>
              <w:right w:val="single" w:sz="4" w:space="0" w:color="auto"/>
            </w:tcBorders>
            <w:vAlign w:val="center"/>
          </w:tcPr>
          <w:p w14:paraId="691FF81B"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0.001</w:t>
            </w:r>
          </w:p>
        </w:tc>
        <w:tc>
          <w:tcPr>
            <w:tcW w:w="694" w:type="dxa"/>
            <w:tcBorders>
              <w:top w:val="single" w:sz="4" w:space="0" w:color="auto"/>
              <w:left w:val="single" w:sz="4" w:space="0" w:color="auto"/>
              <w:bottom w:val="single" w:sz="4" w:space="0" w:color="auto"/>
              <w:right w:val="single" w:sz="4" w:space="0" w:color="auto"/>
            </w:tcBorders>
            <w:vAlign w:val="center"/>
          </w:tcPr>
          <w:p w14:paraId="0A7E0FC9"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0.009</w:t>
            </w:r>
          </w:p>
        </w:tc>
        <w:tc>
          <w:tcPr>
            <w:tcW w:w="804" w:type="dxa"/>
            <w:tcBorders>
              <w:top w:val="single" w:sz="4" w:space="0" w:color="auto"/>
              <w:left w:val="single" w:sz="4" w:space="0" w:color="auto"/>
              <w:bottom w:val="single" w:sz="4" w:space="0" w:color="auto"/>
              <w:right w:val="single" w:sz="4" w:space="0" w:color="auto"/>
            </w:tcBorders>
            <w:noWrap/>
            <w:vAlign w:val="center"/>
          </w:tcPr>
          <w:p w14:paraId="21303BA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0.024</w:t>
            </w:r>
          </w:p>
        </w:tc>
        <w:tc>
          <w:tcPr>
            <w:tcW w:w="851" w:type="dxa"/>
            <w:tcBorders>
              <w:top w:val="single" w:sz="4" w:space="0" w:color="auto"/>
              <w:left w:val="single" w:sz="4" w:space="0" w:color="auto"/>
              <w:bottom w:val="single" w:sz="4" w:space="0" w:color="auto"/>
              <w:right w:val="single" w:sz="4" w:space="0" w:color="auto"/>
            </w:tcBorders>
            <w:vAlign w:val="center"/>
          </w:tcPr>
          <w:p w14:paraId="526E5BC0" w14:textId="77777777" w:rsidR="003C2EEA" w:rsidRPr="008017F0" w:rsidRDefault="003C2EEA" w:rsidP="008C3712">
            <w:pPr>
              <w:spacing w:after="0" w:line="240" w:lineRule="auto"/>
              <w:jc w:val="center"/>
              <w:rPr>
                <w:rFonts w:ascii="Calibri" w:hAnsi="Calibri" w:cs="Calibri"/>
                <w:sz w:val="16"/>
                <w:szCs w:val="16"/>
                <w:lang w:val="en-GB"/>
              </w:rPr>
            </w:pPr>
            <w:r w:rsidRPr="008017F0">
              <w:rPr>
                <w:sz w:val="16"/>
                <w:szCs w:val="16"/>
                <w:lang w:val="en-GB"/>
              </w:rPr>
              <w:t>0.065</w:t>
            </w:r>
          </w:p>
        </w:tc>
        <w:tc>
          <w:tcPr>
            <w:tcW w:w="850" w:type="dxa"/>
            <w:tcBorders>
              <w:top w:val="single" w:sz="4" w:space="0" w:color="auto"/>
              <w:left w:val="single" w:sz="4" w:space="0" w:color="auto"/>
              <w:bottom w:val="single" w:sz="4" w:space="0" w:color="auto"/>
              <w:right w:val="single" w:sz="4" w:space="0" w:color="auto"/>
            </w:tcBorders>
            <w:noWrap/>
            <w:vAlign w:val="center"/>
          </w:tcPr>
          <w:p w14:paraId="6EC2B0E9"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0.333</w:t>
            </w:r>
          </w:p>
        </w:tc>
      </w:tr>
      <w:tr w:rsidR="003C2EEA" w:rsidRPr="008017F0" w14:paraId="366CF9A4"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7C4EF1F"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Golden-Picci corruption index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vAlign w:val="center"/>
          </w:tcPr>
          <w:p w14:paraId="791632B4"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eastAsia="Times New Roman" w:cstheme="minorHAnsi"/>
                <w:sz w:val="16"/>
                <w:szCs w:val="16"/>
                <w:lang w:val="en-GB" w:eastAsia="it-IT"/>
              </w:rPr>
              <w:t>Golden and Picci, 2005</w:t>
            </w:r>
          </w:p>
        </w:tc>
        <w:tc>
          <w:tcPr>
            <w:tcW w:w="850" w:type="dxa"/>
            <w:tcBorders>
              <w:top w:val="single" w:sz="4" w:space="0" w:color="auto"/>
              <w:left w:val="single" w:sz="4" w:space="0" w:color="auto"/>
              <w:bottom w:val="single" w:sz="4" w:space="0" w:color="auto"/>
              <w:right w:val="single" w:sz="4" w:space="0" w:color="auto"/>
            </w:tcBorders>
            <w:noWrap/>
            <w:vAlign w:val="center"/>
          </w:tcPr>
          <w:p w14:paraId="63A4174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1.000</w:t>
            </w:r>
          </w:p>
        </w:tc>
        <w:tc>
          <w:tcPr>
            <w:tcW w:w="643" w:type="dxa"/>
            <w:tcBorders>
              <w:top w:val="single" w:sz="4" w:space="0" w:color="auto"/>
              <w:left w:val="single" w:sz="4" w:space="0" w:color="auto"/>
              <w:bottom w:val="single" w:sz="4" w:space="0" w:color="auto"/>
              <w:right w:val="single" w:sz="4" w:space="0" w:color="auto"/>
            </w:tcBorders>
            <w:noWrap/>
            <w:vAlign w:val="center"/>
          </w:tcPr>
          <w:p w14:paraId="291EE52D"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0.494</w:t>
            </w:r>
          </w:p>
        </w:tc>
        <w:tc>
          <w:tcPr>
            <w:tcW w:w="694" w:type="dxa"/>
            <w:tcBorders>
              <w:top w:val="single" w:sz="4" w:space="0" w:color="auto"/>
              <w:left w:val="single" w:sz="4" w:space="0" w:color="auto"/>
              <w:bottom w:val="single" w:sz="4" w:space="0" w:color="auto"/>
              <w:right w:val="single" w:sz="4" w:space="0" w:color="auto"/>
            </w:tcBorders>
            <w:vAlign w:val="center"/>
          </w:tcPr>
          <w:p w14:paraId="214AC10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0.182</w:t>
            </w:r>
          </w:p>
        </w:tc>
        <w:tc>
          <w:tcPr>
            <w:tcW w:w="694" w:type="dxa"/>
            <w:tcBorders>
              <w:top w:val="single" w:sz="4" w:space="0" w:color="auto"/>
              <w:left w:val="single" w:sz="4" w:space="0" w:color="auto"/>
              <w:bottom w:val="single" w:sz="4" w:space="0" w:color="auto"/>
              <w:right w:val="single" w:sz="4" w:space="0" w:color="auto"/>
            </w:tcBorders>
            <w:vAlign w:val="center"/>
          </w:tcPr>
          <w:p w14:paraId="4BDBB63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0.323</w:t>
            </w:r>
          </w:p>
        </w:tc>
        <w:tc>
          <w:tcPr>
            <w:tcW w:w="804" w:type="dxa"/>
            <w:tcBorders>
              <w:top w:val="single" w:sz="4" w:space="0" w:color="auto"/>
              <w:left w:val="single" w:sz="4" w:space="0" w:color="auto"/>
              <w:bottom w:val="single" w:sz="4" w:space="0" w:color="auto"/>
              <w:right w:val="single" w:sz="4" w:space="0" w:color="auto"/>
            </w:tcBorders>
            <w:noWrap/>
            <w:vAlign w:val="center"/>
          </w:tcPr>
          <w:p w14:paraId="46E9DD7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0.955</w:t>
            </w:r>
          </w:p>
        </w:tc>
        <w:tc>
          <w:tcPr>
            <w:tcW w:w="851" w:type="dxa"/>
            <w:tcBorders>
              <w:top w:val="single" w:sz="4" w:space="0" w:color="auto"/>
              <w:left w:val="single" w:sz="4" w:space="0" w:color="auto"/>
              <w:bottom w:val="single" w:sz="4" w:space="0" w:color="auto"/>
              <w:right w:val="single" w:sz="4" w:space="0" w:color="auto"/>
            </w:tcBorders>
            <w:vAlign w:val="center"/>
          </w:tcPr>
          <w:p w14:paraId="14E28370"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1.687</w:t>
            </w:r>
          </w:p>
        </w:tc>
        <w:tc>
          <w:tcPr>
            <w:tcW w:w="850" w:type="dxa"/>
            <w:tcBorders>
              <w:top w:val="single" w:sz="4" w:space="0" w:color="auto"/>
              <w:left w:val="single" w:sz="4" w:space="0" w:color="auto"/>
              <w:bottom w:val="single" w:sz="4" w:space="0" w:color="auto"/>
              <w:right w:val="single" w:sz="4" w:space="0" w:color="auto"/>
            </w:tcBorders>
            <w:noWrap/>
            <w:vAlign w:val="center"/>
          </w:tcPr>
          <w:p w14:paraId="50D92BAA"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1.767</w:t>
            </w:r>
          </w:p>
        </w:tc>
      </w:tr>
      <w:tr w:rsidR="003C2EEA" w:rsidRPr="008017F0" w14:paraId="5E7635A0"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DB1DD1A"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IQI General index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vAlign w:val="center"/>
          </w:tcPr>
          <w:p w14:paraId="7B7BDDB9"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eastAsia="Times New Roman" w:cstheme="minorHAnsi"/>
                <w:sz w:val="16"/>
                <w:szCs w:val="16"/>
                <w:lang w:val="en-GB" w:eastAsia="it-IT"/>
              </w:rPr>
              <w:t>Charron et al., 2014</w:t>
            </w:r>
          </w:p>
        </w:tc>
        <w:tc>
          <w:tcPr>
            <w:tcW w:w="850" w:type="dxa"/>
            <w:tcBorders>
              <w:top w:val="single" w:sz="4" w:space="0" w:color="auto"/>
              <w:left w:val="single" w:sz="4" w:space="0" w:color="auto"/>
              <w:bottom w:val="single" w:sz="4" w:space="0" w:color="auto"/>
              <w:right w:val="single" w:sz="4" w:space="0" w:color="auto"/>
            </w:tcBorders>
            <w:noWrap/>
            <w:vAlign w:val="center"/>
          </w:tcPr>
          <w:p w14:paraId="59F5F3A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0.568</w:t>
            </w:r>
          </w:p>
        </w:tc>
        <w:tc>
          <w:tcPr>
            <w:tcW w:w="643" w:type="dxa"/>
            <w:tcBorders>
              <w:top w:val="single" w:sz="4" w:space="0" w:color="auto"/>
              <w:left w:val="single" w:sz="4" w:space="0" w:color="auto"/>
              <w:bottom w:val="single" w:sz="4" w:space="0" w:color="auto"/>
              <w:right w:val="single" w:sz="4" w:space="0" w:color="auto"/>
            </w:tcBorders>
            <w:noWrap/>
            <w:vAlign w:val="center"/>
          </w:tcPr>
          <w:p w14:paraId="4B91017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0.225</w:t>
            </w:r>
          </w:p>
        </w:tc>
        <w:tc>
          <w:tcPr>
            <w:tcW w:w="694" w:type="dxa"/>
            <w:tcBorders>
              <w:top w:val="single" w:sz="4" w:space="0" w:color="auto"/>
              <w:left w:val="single" w:sz="4" w:space="0" w:color="auto"/>
              <w:bottom w:val="single" w:sz="4" w:space="0" w:color="auto"/>
              <w:right w:val="single" w:sz="4" w:space="0" w:color="auto"/>
            </w:tcBorders>
            <w:vAlign w:val="center"/>
          </w:tcPr>
          <w:p w14:paraId="14F13999"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0.130</w:t>
            </w:r>
          </w:p>
        </w:tc>
        <w:tc>
          <w:tcPr>
            <w:tcW w:w="694" w:type="dxa"/>
            <w:tcBorders>
              <w:top w:val="single" w:sz="4" w:space="0" w:color="auto"/>
              <w:left w:val="single" w:sz="4" w:space="0" w:color="auto"/>
              <w:bottom w:val="single" w:sz="4" w:space="0" w:color="auto"/>
              <w:right w:val="single" w:sz="4" w:space="0" w:color="auto"/>
            </w:tcBorders>
            <w:vAlign w:val="center"/>
          </w:tcPr>
          <w:p w14:paraId="053B6B7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0.198</w:t>
            </w:r>
          </w:p>
        </w:tc>
        <w:tc>
          <w:tcPr>
            <w:tcW w:w="804" w:type="dxa"/>
            <w:tcBorders>
              <w:top w:val="single" w:sz="4" w:space="0" w:color="auto"/>
              <w:left w:val="single" w:sz="4" w:space="0" w:color="auto"/>
              <w:bottom w:val="single" w:sz="4" w:space="0" w:color="auto"/>
              <w:right w:val="single" w:sz="4" w:space="0" w:color="auto"/>
            </w:tcBorders>
            <w:noWrap/>
            <w:vAlign w:val="center"/>
          </w:tcPr>
          <w:p w14:paraId="53976A2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0.617</w:t>
            </w:r>
          </w:p>
        </w:tc>
        <w:tc>
          <w:tcPr>
            <w:tcW w:w="851" w:type="dxa"/>
            <w:tcBorders>
              <w:top w:val="single" w:sz="4" w:space="0" w:color="auto"/>
              <w:left w:val="single" w:sz="4" w:space="0" w:color="auto"/>
              <w:bottom w:val="single" w:sz="4" w:space="0" w:color="auto"/>
              <w:right w:val="single" w:sz="4" w:space="0" w:color="auto"/>
            </w:tcBorders>
            <w:vAlign w:val="center"/>
          </w:tcPr>
          <w:p w14:paraId="72CF7E6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0.831</w:t>
            </w:r>
          </w:p>
        </w:tc>
        <w:tc>
          <w:tcPr>
            <w:tcW w:w="850" w:type="dxa"/>
            <w:tcBorders>
              <w:top w:val="single" w:sz="4" w:space="0" w:color="auto"/>
              <w:left w:val="single" w:sz="4" w:space="0" w:color="auto"/>
              <w:bottom w:val="single" w:sz="4" w:space="0" w:color="auto"/>
              <w:right w:val="single" w:sz="4" w:space="0" w:color="auto"/>
            </w:tcBorders>
            <w:noWrap/>
            <w:vAlign w:val="center"/>
          </w:tcPr>
          <w:p w14:paraId="1D303BE3"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0.881</w:t>
            </w:r>
          </w:p>
        </w:tc>
      </w:tr>
      <w:tr w:rsidR="003C2EEA" w:rsidRPr="008017F0" w14:paraId="719C98F6"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7F423DF"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IQI corruption index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tcPr>
          <w:p w14:paraId="6C111FAA"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eastAsia="Times New Roman" w:cstheme="minorHAnsi"/>
                <w:sz w:val="16"/>
                <w:szCs w:val="16"/>
                <w:lang w:val="en-GB" w:eastAsia="it-IT"/>
              </w:rPr>
              <w:t>Charron et al., 2014</w:t>
            </w:r>
          </w:p>
        </w:tc>
        <w:tc>
          <w:tcPr>
            <w:tcW w:w="850" w:type="dxa"/>
            <w:tcBorders>
              <w:top w:val="single" w:sz="4" w:space="0" w:color="auto"/>
              <w:left w:val="single" w:sz="4" w:space="0" w:color="auto"/>
              <w:bottom w:val="single" w:sz="4" w:space="0" w:color="auto"/>
              <w:right w:val="single" w:sz="4" w:space="0" w:color="auto"/>
            </w:tcBorders>
            <w:noWrap/>
            <w:vAlign w:val="center"/>
          </w:tcPr>
          <w:p w14:paraId="67F8AE1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0.750</w:t>
            </w:r>
          </w:p>
        </w:tc>
        <w:tc>
          <w:tcPr>
            <w:tcW w:w="643" w:type="dxa"/>
            <w:tcBorders>
              <w:top w:val="single" w:sz="4" w:space="0" w:color="auto"/>
              <w:left w:val="single" w:sz="4" w:space="0" w:color="auto"/>
              <w:bottom w:val="single" w:sz="4" w:space="0" w:color="auto"/>
              <w:right w:val="single" w:sz="4" w:space="0" w:color="auto"/>
            </w:tcBorders>
            <w:noWrap/>
            <w:vAlign w:val="center"/>
          </w:tcPr>
          <w:p w14:paraId="4A3CD4B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0.157</w:t>
            </w:r>
          </w:p>
        </w:tc>
        <w:tc>
          <w:tcPr>
            <w:tcW w:w="694" w:type="dxa"/>
            <w:tcBorders>
              <w:top w:val="single" w:sz="4" w:space="0" w:color="auto"/>
              <w:left w:val="single" w:sz="4" w:space="0" w:color="auto"/>
              <w:bottom w:val="single" w:sz="4" w:space="0" w:color="auto"/>
              <w:right w:val="single" w:sz="4" w:space="0" w:color="auto"/>
            </w:tcBorders>
            <w:vAlign w:val="center"/>
          </w:tcPr>
          <w:p w14:paraId="1AB9818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0.309</w:t>
            </w:r>
          </w:p>
        </w:tc>
        <w:tc>
          <w:tcPr>
            <w:tcW w:w="694" w:type="dxa"/>
            <w:tcBorders>
              <w:top w:val="single" w:sz="4" w:space="0" w:color="auto"/>
              <w:left w:val="single" w:sz="4" w:space="0" w:color="auto"/>
              <w:bottom w:val="single" w:sz="4" w:space="0" w:color="auto"/>
              <w:right w:val="single" w:sz="4" w:space="0" w:color="auto"/>
            </w:tcBorders>
            <w:vAlign w:val="center"/>
          </w:tcPr>
          <w:p w14:paraId="59AB7E2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0.525</w:t>
            </w:r>
          </w:p>
        </w:tc>
        <w:tc>
          <w:tcPr>
            <w:tcW w:w="804" w:type="dxa"/>
            <w:tcBorders>
              <w:top w:val="single" w:sz="4" w:space="0" w:color="auto"/>
              <w:left w:val="single" w:sz="4" w:space="0" w:color="auto"/>
              <w:bottom w:val="single" w:sz="4" w:space="0" w:color="auto"/>
              <w:right w:val="single" w:sz="4" w:space="0" w:color="auto"/>
            </w:tcBorders>
            <w:noWrap/>
            <w:vAlign w:val="center"/>
          </w:tcPr>
          <w:p w14:paraId="23134AAD"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0.811</w:t>
            </w:r>
          </w:p>
        </w:tc>
        <w:tc>
          <w:tcPr>
            <w:tcW w:w="851" w:type="dxa"/>
            <w:tcBorders>
              <w:top w:val="single" w:sz="4" w:space="0" w:color="auto"/>
              <w:left w:val="single" w:sz="4" w:space="0" w:color="auto"/>
              <w:bottom w:val="single" w:sz="4" w:space="0" w:color="auto"/>
              <w:right w:val="single" w:sz="4" w:space="0" w:color="auto"/>
            </w:tcBorders>
            <w:vAlign w:val="center"/>
          </w:tcPr>
          <w:p w14:paraId="3624A4A4"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0.886</w:t>
            </w:r>
          </w:p>
        </w:tc>
        <w:tc>
          <w:tcPr>
            <w:tcW w:w="850" w:type="dxa"/>
            <w:tcBorders>
              <w:top w:val="single" w:sz="4" w:space="0" w:color="auto"/>
              <w:left w:val="single" w:sz="4" w:space="0" w:color="auto"/>
              <w:bottom w:val="single" w:sz="4" w:space="0" w:color="auto"/>
              <w:right w:val="single" w:sz="4" w:space="0" w:color="auto"/>
            </w:tcBorders>
            <w:noWrap/>
            <w:vAlign w:val="center"/>
          </w:tcPr>
          <w:p w14:paraId="36CD009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0.933</w:t>
            </w:r>
          </w:p>
        </w:tc>
      </w:tr>
      <w:tr w:rsidR="003C2EEA" w:rsidRPr="008017F0" w14:paraId="6C2118D3"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FA51C17"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IQI government effectiveness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tcPr>
          <w:p w14:paraId="1C33689D"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eastAsia="Times New Roman" w:cstheme="minorHAnsi"/>
                <w:sz w:val="16"/>
                <w:szCs w:val="16"/>
                <w:lang w:val="en-GB" w:eastAsia="it-IT"/>
              </w:rPr>
              <w:t>Charron et al., 2014</w:t>
            </w:r>
          </w:p>
        </w:tc>
        <w:tc>
          <w:tcPr>
            <w:tcW w:w="850" w:type="dxa"/>
            <w:tcBorders>
              <w:top w:val="single" w:sz="4" w:space="0" w:color="auto"/>
              <w:left w:val="single" w:sz="4" w:space="0" w:color="auto"/>
              <w:bottom w:val="single" w:sz="4" w:space="0" w:color="auto"/>
              <w:right w:val="single" w:sz="4" w:space="0" w:color="auto"/>
            </w:tcBorders>
            <w:noWrap/>
            <w:vAlign w:val="center"/>
          </w:tcPr>
          <w:p w14:paraId="7B4102B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0.345</w:t>
            </w:r>
          </w:p>
        </w:tc>
        <w:tc>
          <w:tcPr>
            <w:tcW w:w="643" w:type="dxa"/>
            <w:tcBorders>
              <w:top w:val="single" w:sz="4" w:space="0" w:color="auto"/>
              <w:left w:val="single" w:sz="4" w:space="0" w:color="auto"/>
              <w:bottom w:val="single" w:sz="4" w:space="0" w:color="auto"/>
              <w:right w:val="single" w:sz="4" w:space="0" w:color="auto"/>
            </w:tcBorders>
            <w:noWrap/>
            <w:vAlign w:val="center"/>
          </w:tcPr>
          <w:p w14:paraId="0812CCE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0.138</w:t>
            </w:r>
          </w:p>
        </w:tc>
        <w:tc>
          <w:tcPr>
            <w:tcW w:w="694" w:type="dxa"/>
            <w:tcBorders>
              <w:top w:val="single" w:sz="4" w:space="0" w:color="auto"/>
              <w:left w:val="single" w:sz="4" w:space="0" w:color="auto"/>
              <w:bottom w:val="single" w:sz="4" w:space="0" w:color="auto"/>
              <w:right w:val="single" w:sz="4" w:space="0" w:color="auto"/>
            </w:tcBorders>
            <w:vAlign w:val="center"/>
          </w:tcPr>
          <w:p w14:paraId="544A7A7A"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0.096</w:t>
            </w:r>
          </w:p>
        </w:tc>
        <w:tc>
          <w:tcPr>
            <w:tcW w:w="694" w:type="dxa"/>
            <w:tcBorders>
              <w:top w:val="single" w:sz="4" w:space="0" w:color="auto"/>
              <w:left w:val="single" w:sz="4" w:space="0" w:color="auto"/>
              <w:bottom w:val="single" w:sz="4" w:space="0" w:color="auto"/>
              <w:right w:val="single" w:sz="4" w:space="0" w:color="auto"/>
            </w:tcBorders>
            <w:vAlign w:val="center"/>
          </w:tcPr>
          <w:p w14:paraId="484970A3"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0.148</w:t>
            </w:r>
          </w:p>
        </w:tc>
        <w:tc>
          <w:tcPr>
            <w:tcW w:w="804" w:type="dxa"/>
            <w:tcBorders>
              <w:top w:val="single" w:sz="4" w:space="0" w:color="auto"/>
              <w:left w:val="single" w:sz="4" w:space="0" w:color="auto"/>
              <w:bottom w:val="single" w:sz="4" w:space="0" w:color="auto"/>
              <w:right w:val="single" w:sz="4" w:space="0" w:color="auto"/>
            </w:tcBorders>
            <w:noWrap/>
            <w:vAlign w:val="center"/>
          </w:tcPr>
          <w:p w14:paraId="447300A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0.389</w:t>
            </w:r>
          </w:p>
        </w:tc>
        <w:tc>
          <w:tcPr>
            <w:tcW w:w="851" w:type="dxa"/>
            <w:tcBorders>
              <w:top w:val="single" w:sz="4" w:space="0" w:color="auto"/>
              <w:left w:val="single" w:sz="4" w:space="0" w:color="auto"/>
              <w:bottom w:val="single" w:sz="4" w:space="0" w:color="auto"/>
              <w:right w:val="single" w:sz="4" w:space="0" w:color="auto"/>
            </w:tcBorders>
            <w:vAlign w:val="center"/>
          </w:tcPr>
          <w:p w14:paraId="0AEC953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0.500</w:t>
            </w:r>
          </w:p>
        </w:tc>
        <w:tc>
          <w:tcPr>
            <w:tcW w:w="850" w:type="dxa"/>
            <w:tcBorders>
              <w:top w:val="single" w:sz="4" w:space="0" w:color="auto"/>
              <w:left w:val="single" w:sz="4" w:space="0" w:color="auto"/>
              <w:bottom w:val="single" w:sz="4" w:space="0" w:color="auto"/>
              <w:right w:val="single" w:sz="4" w:space="0" w:color="auto"/>
            </w:tcBorders>
            <w:noWrap/>
            <w:vAlign w:val="center"/>
          </w:tcPr>
          <w:p w14:paraId="3124CED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0.570</w:t>
            </w:r>
          </w:p>
        </w:tc>
      </w:tr>
      <w:tr w:rsidR="003C2EEA" w:rsidRPr="008017F0" w14:paraId="6016BEE2"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CC2525C"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EQI General index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tcPr>
          <w:p w14:paraId="55DE6910"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proofErr w:type="spellStart"/>
            <w:r w:rsidRPr="008017F0">
              <w:rPr>
                <w:sz w:val="16"/>
                <w:szCs w:val="16"/>
                <w:lang w:val="en-GB"/>
              </w:rPr>
              <w:t>Nifo</w:t>
            </w:r>
            <w:proofErr w:type="spellEnd"/>
            <w:r w:rsidRPr="008017F0">
              <w:rPr>
                <w:sz w:val="16"/>
                <w:szCs w:val="16"/>
                <w:lang w:val="en-GB"/>
              </w:rPr>
              <w:t xml:space="preserve"> and Vecchione, 2014, 2015</w:t>
            </w:r>
          </w:p>
        </w:tc>
        <w:tc>
          <w:tcPr>
            <w:tcW w:w="850" w:type="dxa"/>
            <w:tcBorders>
              <w:top w:val="single" w:sz="4" w:space="0" w:color="auto"/>
              <w:left w:val="single" w:sz="4" w:space="0" w:color="auto"/>
              <w:bottom w:val="single" w:sz="4" w:space="0" w:color="auto"/>
              <w:right w:val="single" w:sz="4" w:space="0" w:color="auto"/>
            </w:tcBorders>
            <w:noWrap/>
            <w:vAlign w:val="center"/>
          </w:tcPr>
          <w:p w14:paraId="50717C4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-0.950</w:t>
            </w:r>
          </w:p>
        </w:tc>
        <w:tc>
          <w:tcPr>
            <w:tcW w:w="643" w:type="dxa"/>
            <w:tcBorders>
              <w:top w:val="single" w:sz="4" w:space="0" w:color="auto"/>
              <w:left w:val="single" w:sz="4" w:space="0" w:color="auto"/>
              <w:bottom w:val="single" w:sz="4" w:space="0" w:color="auto"/>
              <w:right w:val="single" w:sz="4" w:space="0" w:color="auto"/>
            </w:tcBorders>
            <w:noWrap/>
            <w:vAlign w:val="center"/>
          </w:tcPr>
          <w:p w14:paraId="2CB8A39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0.625</w:t>
            </w:r>
          </w:p>
        </w:tc>
        <w:tc>
          <w:tcPr>
            <w:tcW w:w="694" w:type="dxa"/>
            <w:tcBorders>
              <w:top w:val="single" w:sz="4" w:space="0" w:color="auto"/>
              <w:left w:val="single" w:sz="4" w:space="0" w:color="auto"/>
              <w:bottom w:val="single" w:sz="4" w:space="0" w:color="auto"/>
              <w:right w:val="single" w:sz="4" w:space="0" w:color="auto"/>
            </w:tcBorders>
            <w:vAlign w:val="center"/>
          </w:tcPr>
          <w:p w14:paraId="42692A8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-1.906</w:t>
            </w:r>
          </w:p>
        </w:tc>
        <w:tc>
          <w:tcPr>
            <w:tcW w:w="694" w:type="dxa"/>
            <w:tcBorders>
              <w:top w:val="single" w:sz="4" w:space="0" w:color="auto"/>
              <w:left w:val="single" w:sz="4" w:space="0" w:color="auto"/>
              <w:bottom w:val="single" w:sz="4" w:space="0" w:color="auto"/>
              <w:right w:val="single" w:sz="4" w:space="0" w:color="auto"/>
            </w:tcBorders>
            <w:vAlign w:val="center"/>
          </w:tcPr>
          <w:p w14:paraId="57925AB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-1.764</w:t>
            </w:r>
          </w:p>
        </w:tc>
        <w:tc>
          <w:tcPr>
            <w:tcW w:w="804" w:type="dxa"/>
            <w:tcBorders>
              <w:top w:val="single" w:sz="4" w:space="0" w:color="auto"/>
              <w:left w:val="single" w:sz="4" w:space="0" w:color="auto"/>
              <w:bottom w:val="single" w:sz="4" w:space="0" w:color="auto"/>
              <w:right w:val="single" w:sz="4" w:space="0" w:color="auto"/>
            </w:tcBorders>
            <w:noWrap/>
            <w:vAlign w:val="center"/>
          </w:tcPr>
          <w:p w14:paraId="24AFAD4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-0.874</w:t>
            </w:r>
          </w:p>
        </w:tc>
        <w:tc>
          <w:tcPr>
            <w:tcW w:w="851" w:type="dxa"/>
            <w:tcBorders>
              <w:top w:val="single" w:sz="4" w:space="0" w:color="auto"/>
              <w:left w:val="single" w:sz="4" w:space="0" w:color="auto"/>
              <w:bottom w:val="single" w:sz="4" w:space="0" w:color="auto"/>
              <w:right w:val="single" w:sz="4" w:space="0" w:color="auto"/>
            </w:tcBorders>
            <w:vAlign w:val="center"/>
          </w:tcPr>
          <w:p w14:paraId="02971B2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-0.003</w:t>
            </w:r>
          </w:p>
        </w:tc>
        <w:tc>
          <w:tcPr>
            <w:tcW w:w="850" w:type="dxa"/>
            <w:tcBorders>
              <w:top w:val="single" w:sz="4" w:space="0" w:color="auto"/>
              <w:left w:val="single" w:sz="4" w:space="0" w:color="auto"/>
              <w:bottom w:val="single" w:sz="4" w:space="0" w:color="auto"/>
              <w:right w:val="single" w:sz="4" w:space="0" w:color="auto"/>
            </w:tcBorders>
            <w:noWrap/>
            <w:vAlign w:val="center"/>
          </w:tcPr>
          <w:p w14:paraId="79F8FD34"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0.293</w:t>
            </w:r>
          </w:p>
        </w:tc>
      </w:tr>
      <w:tr w:rsidR="003C2EEA" w:rsidRPr="008017F0" w14:paraId="71B5D78A"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3A5D2C5"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EQI Corruption index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tcPr>
          <w:p w14:paraId="6B93B445"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proofErr w:type="spellStart"/>
            <w:r w:rsidRPr="008017F0">
              <w:rPr>
                <w:sz w:val="16"/>
                <w:szCs w:val="16"/>
                <w:lang w:val="en-GB"/>
              </w:rPr>
              <w:t>Nifo</w:t>
            </w:r>
            <w:proofErr w:type="spellEnd"/>
            <w:r w:rsidRPr="008017F0">
              <w:rPr>
                <w:sz w:val="16"/>
                <w:szCs w:val="16"/>
                <w:lang w:val="en-GB"/>
              </w:rPr>
              <w:t xml:space="preserve"> and Vecchione, 2014, 2015</w:t>
            </w:r>
          </w:p>
        </w:tc>
        <w:tc>
          <w:tcPr>
            <w:tcW w:w="850" w:type="dxa"/>
            <w:tcBorders>
              <w:top w:val="single" w:sz="4" w:space="0" w:color="auto"/>
              <w:left w:val="single" w:sz="4" w:space="0" w:color="auto"/>
              <w:bottom w:val="single" w:sz="4" w:space="0" w:color="auto"/>
              <w:right w:val="single" w:sz="4" w:space="0" w:color="auto"/>
            </w:tcBorders>
            <w:noWrap/>
            <w:vAlign w:val="center"/>
          </w:tcPr>
          <w:p w14:paraId="1C7799B4"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-0.966</w:t>
            </w:r>
          </w:p>
        </w:tc>
        <w:tc>
          <w:tcPr>
            <w:tcW w:w="643" w:type="dxa"/>
            <w:tcBorders>
              <w:top w:val="single" w:sz="4" w:space="0" w:color="auto"/>
              <w:left w:val="single" w:sz="4" w:space="0" w:color="auto"/>
              <w:bottom w:val="single" w:sz="4" w:space="0" w:color="auto"/>
              <w:right w:val="single" w:sz="4" w:space="0" w:color="auto"/>
            </w:tcBorders>
            <w:noWrap/>
            <w:vAlign w:val="center"/>
          </w:tcPr>
          <w:p w14:paraId="335051C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0.573</w:t>
            </w:r>
          </w:p>
        </w:tc>
        <w:tc>
          <w:tcPr>
            <w:tcW w:w="694" w:type="dxa"/>
            <w:tcBorders>
              <w:top w:val="single" w:sz="4" w:space="0" w:color="auto"/>
              <w:left w:val="single" w:sz="4" w:space="0" w:color="auto"/>
              <w:bottom w:val="single" w:sz="4" w:space="0" w:color="auto"/>
              <w:right w:val="single" w:sz="4" w:space="0" w:color="auto"/>
            </w:tcBorders>
            <w:vAlign w:val="center"/>
          </w:tcPr>
          <w:p w14:paraId="2B5D17E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-1.849</w:t>
            </w:r>
          </w:p>
        </w:tc>
        <w:tc>
          <w:tcPr>
            <w:tcW w:w="694" w:type="dxa"/>
            <w:tcBorders>
              <w:top w:val="single" w:sz="4" w:space="0" w:color="auto"/>
              <w:left w:val="single" w:sz="4" w:space="0" w:color="auto"/>
              <w:bottom w:val="single" w:sz="4" w:space="0" w:color="auto"/>
              <w:right w:val="single" w:sz="4" w:space="0" w:color="auto"/>
            </w:tcBorders>
            <w:vAlign w:val="center"/>
          </w:tcPr>
          <w:p w14:paraId="2D6ADB00"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-1.606</w:t>
            </w:r>
          </w:p>
        </w:tc>
        <w:tc>
          <w:tcPr>
            <w:tcW w:w="804" w:type="dxa"/>
            <w:tcBorders>
              <w:top w:val="single" w:sz="4" w:space="0" w:color="auto"/>
              <w:left w:val="single" w:sz="4" w:space="0" w:color="auto"/>
              <w:bottom w:val="single" w:sz="4" w:space="0" w:color="auto"/>
              <w:right w:val="single" w:sz="4" w:space="0" w:color="auto"/>
            </w:tcBorders>
            <w:noWrap/>
            <w:vAlign w:val="center"/>
          </w:tcPr>
          <w:p w14:paraId="77605FE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-0.956</w:t>
            </w:r>
          </w:p>
        </w:tc>
        <w:tc>
          <w:tcPr>
            <w:tcW w:w="851" w:type="dxa"/>
            <w:tcBorders>
              <w:top w:val="single" w:sz="4" w:space="0" w:color="auto"/>
              <w:left w:val="single" w:sz="4" w:space="0" w:color="auto"/>
              <w:bottom w:val="single" w:sz="4" w:space="0" w:color="auto"/>
              <w:right w:val="single" w:sz="4" w:space="0" w:color="auto"/>
            </w:tcBorders>
            <w:vAlign w:val="center"/>
          </w:tcPr>
          <w:p w14:paraId="474CC12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-0.036</w:t>
            </w:r>
          </w:p>
        </w:tc>
        <w:tc>
          <w:tcPr>
            <w:tcW w:w="850" w:type="dxa"/>
            <w:tcBorders>
              <w:top w:val="single" w:sz="4" w:space="0" w:color="auto"/>
              <w:left w:val="single" w:sz="4" w:space="0" w:color="auto"/>
              <w:bottom w:val="single" w:sz="4" w:space="0" w:color="auto"/>
              <w:right w:val="single" w:sz="4" w:space="0" w:color="auto"/>
            </w:tcBorders>
            <w:noWrap/>
            <w:vAlign w:val="center"/>
          </w:tcPr>
          <w:p w14:paraId="669B5FC4"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0.185</w:t>
            </w:r>
          </w:p>
        </w:tc>
      </w:tr>
      <w:tr w:rsidR="003C2EEA" w:rsidRPr="008017F0" w14:paraId="3842A4AC"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81AB434"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EQI Quality of government index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tcPr>
          <w:p w14:paraId="63801E75"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proofErr w:type="spellStart"/>
            <w:r w:rsidRPr="008017F0">
              <w:rPr>
                <w:sz w:val="16"/>
                <w:szCs w:val="16"/>
                <w:lang w:val="en-GB"/>
              </w:rPr>
              <w:t>Nifo</w:t>
            </w:r>
            <w:proofErr w:type="spellEnd"/>
            <w:r w:rsidRPr="008017F0">
              <w:rPr>
                <w:sz w:val="16"/>
                <w:szCs w:val="16"/>
                <w:lang w:val="en-GB"/>
              </w:rPr>
              <w:t xml:space="preserve"> and Vecchione, 2014, 2015</w:t>
            </w:r>
          </w:p>
        </w:tc>
        <w:tc>
          <w:tcPr>
            <w:tcW w:w="850" w:type="dxa"/>
            <w:tcBorders>
              <w:top w:val="single" w:sz="4" w:space="0" w:color="auto"/>
              <w:left w:val="single" w:sz="4" w:space="0" w:color="auto"/>
              <w:bottom w:val="single" w:sz="4" w:space="0" w:color="auto"/>
              <w:right w:val="single" w:sz="4" w:space="0" w:color="auto"/>
            </w:tcBorders>
            <w:noWrap/>
            <w:vAlign w:val="center"/>
          </w:tcPr>
          <w:p w14:paraId="451D5A1A"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-0.838</w:t>
            </w:r>
          </w:p>
        </w:tc>
        <w:tc>
          <w:tcPr>
            <w:tcW w:w="643" w:type="dxa"/>
            <w:tcBorders>
              <w:top w:val="single" w:sz="4" w:space="0" w:color="auto"/>
              <w:left w:val="single" w:sz="4" w:space="0" w:color="auto"/>
              <w:bottom w:val="single" w:sz="4" w:space="0" w:color="auto"/>
              <w:right w:val="single" w:sz="4" w:space="0" w:color="auto"/>
            </w:tcBorders>
            <w:noWrap/>
            <w:vAlign w:val="center"/>
          </w:tcPr>
          <w:p w14:paraId="12166AF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0.715</w:t>
            </w:r>
          </w:p>
        </w:tc>
        <w:tc>
          <w:tcPr>
            <w:tcW w:w="694" w:type="dxa"/>
            <w:tcBorders>
              <w:top w:val="single" w:sz="4" w:space="0" w:color="auto"/>
              <w:left w:val="single" w:sz="4" w:space="0" w:color="auto"/>
              <w:bottom w:val="single" w:sz="4" w:space="0" w:color="auto"/>
              <w:right w:val="single" w:sz="4" w:space="0" w:color="auto"/>
            </w:tcBorders>
            <w:vAlign w:val="center"/>
          </w:tcPr>
          <w:p w14:paraId="01135A0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-2.158</w:t>
            </w:r>
          </w:p>
        </w:tc>
        <w:tc>
          <w:tcPr>
            <w:tcW w:w="694" w:type="dxa"/>
            <w:tcBorders>
              <w:top w:val="single" w:sz="4" w:space="0" w:color="auto"/>
              <w:left w:val="single" w:sz="4" w:space="0" w:color="auto"/>
              <w:bottom w:val="single" w:sz="4" w:space="0" w:color="auto"/>
              <w:right w:val="single" w:sz="4" w:space="0" w:color="auto"/>
            </w:tcBorders>
            <w:vAlign w:val="center"/>
          </w:tcPr>
          <w:p w14:paraId="5E72A55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-1.835</w:t>
            </w:r>
          </w:p>
        </w:tc>
        <w:tc>
          <w:tcPr>
            <w:tcW w:w="804" w:type="dxa"/>
            <w:tcBorders>
              <w:top w:val="single" w:sz="4" w:space="0" w:color="auto"/>
              <w:left w:val="single" w:sz="4" w:space="0" w:color="auto"/>
              <w:bottom w:val="single" w:sz="4" w:space="0" w:color="auto"/>
              <w:right w:val="single" w:sz="4" w:space="0" w:color="auto"/>
            </w:tcBorders>
            <w:noWrap/>
            <w:vAlign w:val="center"/>
          </w:tcPr>
          <w:p w14:paraId="6F3F28F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-0.733</w:t>
            </w:r>
          </w:p>
        </w:tc>
        <w:tc>
          <w:tcPr>
            <w:tcW w:w="851" w:type="dxa"/>
            <w:tcBorders>
              <w:top w:val="single" w:sz="4" w:space="0" w:color="auto"/>
              <w:left w:val="single" w:sz="4" w:space="0" w:color="auto"/>
              <w:bottom w:val="single" w:sz="4" w:space="0" w:color="auto"/>
              <w:right w:val="single" w:sz="4" w:space="0" w:color="auto"/>
            </w:tcBorders>
            <w:vAlign w:val="center"/>
          </w:tcPr>
          <w:p w14:paraId="65148AC3"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0.106</w:t>
            </w:r>
          </w:p>
        </w:tc>
        <w:tc>
          <w:tcPr>
            <w:tcW w:w="850" w:type="dxa"/>
            <w:tcBorders>
              <w:top w:val="single" w:sz="4" w:space="0" w:color="auto"/>
              <w:left w:val="single" w:sz="4" w:space="0" w:color="auto"/>
              <w:bottom w:val="single" w:sz="4" w:space="0" w:color="auto"/>
              <w:right w:val="single" w:sz="4" w:space="0" w:color="auto"/>
            </w:tcBorders>
            <w:noWrap/>
            <w:vAlign w:val="center"/>
          </w:tcPr>
          <w:p w14:paraId="601C49A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0.236</w:t>
            </w:r>
          </w:p>
        </w:tc>
      </w:tr>
      <w:tr w:rsidR="003C2EEA" w:rsidRPr="008017F0" w14:paraId="02FA6E66"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FB430E0" w14:textId="141237A1"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Public Spending Productivity Index for all assets,</w:t>
            </w:r>
            <w:r w:rsidR="003F2503" w:rsidRPr="008017F0">
              <w:rPr>
                <w:rFonts w:eastAsia="Times New Roman" w:cstheme="minorHAnsi"/>
                <w:sz w:val="16"/>
                <w:szCs w:val="16"/>
                <w:lang w:val="en-GB" w:eastAsia="it-IT"/>
              </w:rPr>
              <w:t xml:space="preserve"> </w:t>
            </w:r>
            <w:r w:rsidRPr="008017F0">
              <w:rPr>
                <w:rFonts w:eastAsia="Times New Roman" w:cstheme="minorHAnsi"/>
                <w:sz w:val="16"/>
                <w:szCs w:val="16"/>
                <w:lang w:val="en-GB" w:eastAsia="it-IT"/>
              </w:rPr>
              <w:t>(q)</w:t>
            </w:r>
          </w:p>
        </w:tc>
        <w:tc>
          <w:tcPr>
            <w:tcW w:w="1417" w:type="dxa"/>
            <w:tcBorders>
              <w:top w:val="single" w:sz="4" w:space="0" w:color="auto"/>
              <w:left w:val="single" w:sz="4" w:space="0" w:color="auto"/>
              <w:bottom w:val="single" w:sz="4" w:space="0" w:color="auto"/>
              <w:right w:val="single" w:sz="4" w:space="0" w:color="auto"/>
            </w:tcBorders>
            <w:vAlign w:val="center"/>
          </w:tcPr>
          <w:p w14:paraId="6EC3EBC5"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Own elaboration</w:t>
            </w:r>
          </w:p>
        </w:tc>
        <w:tc>
          <w:tcPr>
            <w:tcW w:w="850" w:type="dxa"/>
            <w:tcBorders>
              <w:top w:val="single" w:sz="4" w:space="0" w:color="auto"/>
              <w:left w:val="single" w:sz="4" w:space="0" w:color="auto"/>
              <w:bottom w:val="single" w:sz="4" w:space="0" w:color="auto"/>
              <w:right w:val="single" w:sz="4" w:space="0" w:color="auto"/>
            </w:tcBorders>
            <w:noWrap/>
            <w:vAlign w:val="center"/>
          </w:tcPr>
          <w:p w14:paraId="6D38E21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0.386</w:t>
            </w:r>
          </w:p>
        </w:tc>
        <w:tc>
          <w:tcPr>
            <w:tcW w:w="643" w:type="dxa"/>
            <w:tcBorders>
              <w:top w:val="single" w:sz="4" w:space="0" w:color="auto"/>
              <w:left w:val="single" w:sz="4" w:space="0" w:color="auto"/>
              <w:bottom w:val="single" w:sz="4" w:space="0" w:color="auto"/>
              <w:right w:val="single" w:sz="4" w:space="0" w:color="auto"/>
            </w:tcBorders>
            <w:noWrap/>
            <w:vAlign w:val="center"/>
          </w:tcPr>
          <w:p w14:paraId="3A45AFF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0.035</w:t>
            </w:r>
          </w:p>
        </w:tc>
        <w:tc>
          <w:tcPr>
            <w:tcW w:w="694" w:type="dxa"/>
            <w:tcBorders>
              <w:top w:val="single" w:sz="4" w:space="0" w:color="auto"/>
              <w:left w:val="single" w:sz="4" w:space="0" w:color="auto"/>
              <w:bottom w:val="single" w:sz="4" w:space="0" w:color="auto"/>
              <w:right w:val="single" w:sz="4" w:space="0" w:color="auto"/>
            </w:tcBorders>
            <w:vAlign w:val="center"/>
          </w:tcPr>
          <w:p w14:paraId="1E7C986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0.324</w:t>
            </w:r>
          </w:p>
        </w:tc>
        <w:tc>
          <w:tcPr>
            <w:tcW w:w="694" w:type="dxa"/>
            <w:tcBorders>
              <w:top w:val="single" w:sz="4" w:space="0" w:color="auto"/>
              <w:left w:val="single" w:sz="4" w:space="0" w:color="auto"/>
              <w:bottom w:val="single" w:sz="4" w:space="0" w:color="auto"/>
              <w:right w:val="single" w:sz="4" w:space="0" w:color="auto"/>
            </w:tcBorders>
            <w:vAlign w:val="center"/>
          </w:tcPr>
          <w:p w14:paraId="2CF09DE9"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0.345</w:t>
            </w:r>
          </w:p>
        </w:tc>
        <w:tc>
          <w:tcPr>
            <w:tcW w:w="804" w:type="dxa"/>
            <w:tcBorders>
              <w:top w:val="single" w:sz="4" w:space="0" w:color="auto"/>
              <w:left w:val="single" w:sz="4" w:space="0" w:color="auto"/>
              <w:bottom w:val="single" w:sz="4" w:space="0" w:color="auto"/>
              <w:right w:val="single" w:sz="4" w:space="0" w:color="auto"/>
            </w:tcBorders>
            <w:noWrap/>
            <w:vAlign w:val="center"/>
          </w:tcPr>
          <w:p w14:paraId="25E6C757"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0.382</w:t>
            </w:r>
          </w:p>
        </w:tc>
        <w:tc>
          <w:tcPr>
            <w:tcW w:w="851" w:type="dxa"/>
            <w:tcBorders>
              <w:top w:val="single" w:sz="4" w:space="0" w:color="auto"/>
              <w:left w:val="single" w:sz="4" w:space="0" w:color="auto"/>
              <w:bottom w:val="single" w:sz="4" w:space="0" w:color="auto"/>
              <w:right w:val="single" w:sz="4" w:space="0" w:color="auto"/>
            </w:tcBorders>
            <w:vAlign w:val="center"/>
          </w:tcPr>
          <w:p w14:paraId="217A2A53"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0.441</w:t>
            </w:r>
          </w:p>
        </w:tc>
        <w:tc>
          <w:tcPr>
            <w:tcW w:w="850" w:type="dxa"/>
            <w:tcBorders>
              <w:top w:val="single" w:sz="4" w:space="0" w:color="auto"/>
              <w:left w:val="single" w:sz="4" w:space="0" w:color="auto"/>
              <w:bottom w:val="single" w:sz="4" w:space="0" w:color="auto"/>
              <w:right w:val="single" w:sz="4" w:space="0" w:color="auto"/>
            </w:tcBorders>
            <w:noWrap/>
            <w:vAlign w:val="center"/>
          </w:tcPr>
          <w:p w14:paraId="66B6843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0.444</w:t>
            </w:r>
          </w:p>
        </w:tc>
      </w:tr>
      <w:tr w:rsidR="003C2EEA" w:rsidRPr="008017F0" w14:paraId="132B6A63"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3E8F30E" w14:textId="2EDD939C"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Public Spending Productivity Index for core assets,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vAlign w:val="center"/>
          </w:tcPr>
          <w:p w14:paraId="2AC13AFA"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Own elaboration</w:t>
            </w:r>
          </w:p>
        </w:tc>
        <w:tc>
          <w:tcPr>
            <w:tcW w:w="850" w:type="dxa"/>
            <w:tcBorders>
              <w:top w:val="single" w:sz="4" w:space="0" w:color="auto"/>
              <w:left w:val="single" w:sz="4" w:space="0" w:color="auto"/>
              <w:bottom w:val="single" w:sz="4" w:space="0" w:color="auto"/>
              <w:right w:val="single" w:sz="4" w:space="0" w:color="auto"/>
            </w:tcBorders>
            <w:noWrap/>
            <w:vAlign w:val="center"/>
          </w:tcPr>
          <w:p w14:paraId="520048F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2.157</w:t>
            </w:r>
          </w:p>
        </w:tc>
        <w:tc>
          <w:tcPr>
            <w:tcW w:w="643" w:type="dxa"/>
            <w:tcBorders>
              <w:top w:val="single" w:sz="4" w:space="0" w:color="auto"/>
              <w:left w:val="single" w:sz="4" w:space="0" w:color="auto"/>
              <w:bottom w:val="single" w:sz="4" w:space="0" w:color="auto"/>
              <w:right w:val="single" w:sz="4" w:space="0" w:color="auto"/>
            </w:tcBorders>
            <w:noWrap/>
            <w:vAlign w:val="center"/>
          </w:tcPr>
          <w:p w14:paraId="6FFBCB6C"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0.083</w:t>
            </w:r>
          </w:p>
        </w:tc>
        <w:tc>
          <w:tcPr>
            <w:tcW w:w="694" w:type="dxa"/>
            <w:tcBorders>
              <w:top w:val="single" w:sz="4" w:space="0" w:color="auto"/>
              <w:left w:val="single" w:sz="4" w:space="0" w:color="auto"/>
              <w:bottom w:val="single" w:sz="4" w:space="0" w:color="auto"/>
              <w:right w:val="single" w:sz="4" w:space="0" w:color="auto"/>
            </w:tcBorders>
            <w:vAlign w:val="center"/>
          </w:tcPr>
          <w:p w14:paraId="29B7E812"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1.980</w:t>
            </w:r>
          </w:p>
        </w:tc>
        <w:tc>
          <w:tcPr>
            <w:tcW w:w="694" w:type="dxa"/>
            <w:tcBorders>
              <w:top w:val="single" w:sz="4" w:space="0" w:color="auto"/>
              <w:left w:val="single" w:sz="4" w:space="0" w:color="auto"/>
              <w:bottom w:val="single" w:sz="4" w:space="0" w:color="auto"/>
              <w:right w:val="single" w:sz="4" w:space="0" w:color="auto"/>
            </w:tcBorders>
            <w:vAlign w:val="center"/>
          </w:tcPr>
          <w:p w14:paraId="0F4EBB8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2.059</w:t>
            </w:r>
          </w:p>
        </w:tc>
        <w:tc>
          <w:tcPr>
            <w:tcW w:w="804" w:type="dxa"/>
            <w:tcBorders>
              <w:top w:val="single" w:sz="4" w:space="0" w:color="auto"/>
              <w:left w:val="single" w:sz="4" w:space="0" w:color="auto"/>
              <w:bottom w:val="single" w:sz="4" w:space="0" w:color="auto"/>
              <w:right w:val="single" w:sz="4" w:space="0" w:color="auto"/>
            </w:tcBorders>
            <w:noWrap/>
            <w:vAlign w:val="center"/>
          </w:tcPr>
          <w:p w14:paraId="5A7C09D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2.153</w:t>
            </w:r>
          </w:p>
        </w:tc>
        <w:tc>
          <w:tcPr>
            <w:tcW w:w="851" w:type="dxa"/>
            <w:tcBorders>
              <w:top w:val="single" w:sz="4" w:space="0" w:color="auto"/>
              <w:left w:val="single" w:sz="4" w:space="0" w:color="auto"/>
              <w:bottom w:val="single" w:sz="4" w:space="0" w:color="auto"/>
              <w:right w:val="single" w:sz="4" w:space="0" w:color="auto"/>
            </w:tcBorders>
            <w:vAlign w:val="center"/>
          </w:tcPr>
          <w:p w14:paraId="63929655"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2.272</w:t>
            </w:r>
          </w:p>
        </w:tc>
        <w:tc>
          <w:tcPr>
            <w:tcW w:w="850" w:type="dxa"/>
            <w:tcBorders>
              <w:top w:val="single" w:sz="4" w:space="0" w:color="auto"/>
              <w:left w:val="single" w:sz="4" w:space="0" w:color="auto"/>
              <w:bottom w:val="single" w:sz="4" w:space="0" w:color="auto"/>
              <w:right w:val="single" w:sz="4" w:space="0" w:color="auto"/>
            </w:tcBorders>
            <w:noWrap/>
            <w:vAlign w:val="center"/>
          </w:tcPr>
          <w:p w14:paraId="099E262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2.284</w:t>
            </w:r>
          </w:p>
        </w:tc>
      </w:tr>
      <w:tr w:rsidR="003C2EEA" w:rsidRPr="008017F0" w14:paraId="18DB70DB"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B6BC96D" w14:textId="19ECDCC1"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Public Spending Productivity Index for noncore assets, (</w:t>
            </w:r>
            <w:r w:rsidRPr="008017F0">
              <w:rPr>
                <w:rFonts w:eastAsia="Times New Roman" w:cstheme="minorHAnsi"/>
                <w:i/>
                <w:iCs/>
                <w:sz w:val="16"/>
                <w:szCs w:val="16"/>
                <w:lang w:val="en-GB" w:eastAsia="it-IT"/>
              </w:rPr>
              <w:t>q</w:t>
            </w:r>
            <w:r w:rsidRPr="008017F0">
              <w:rPr>
                <w:rFonts w:eastAsia="Times New Roman" w:cstheme="minorHAnsi"/>
                <w:sz w:val="16"/>
                <w:szCs w:val="16"/>
                <w:lang w:val="en-GB" w:eastAsia="it-IT"/>
              </w:rPr>
              <w:t>)</w:t>
            </w:r>
          </w:p>
        </w:tc>
        <w:tc>
          <w:tcPr>
            <w:tcW w:w="1417" w:type="dxa"/>
            <w:tcBorders>
              <w:top w:val="single" w:sz="4" w:space="0" w:color="auto"/>
              <w:left w:val="single" w:sz="4" w:space="0" w:color="auto"/>
              <w:bottom w:val="single" w:sz="4" w:space="0" w:color="auto"/>
              <w:right w:val="single" w:sz="4" w:space="0" w:color="auto"/>
            </w:tcBorders>
            <w:vAlign w:val="center"/>
          </w:tcPr>
          <w:p w14:paraId="011B2501" w14:textId="77777777" w:rsidR="003C2EEA" w:rsidRPr="008017F0" w:rsidRDefault="003C2EEA" w:rsidP="008C3712">
            <w:pPr>
              <w:spacing w:after="0" w:line="240" w:lineRule="auto"/>
              <w:ind w:right="-76"/>
              <w:jc w:val="center"/>
              <w:rPr>
                <w:rFonts w:eastAsia="Times New Roman" w:cstheme="minorHAnsi"/>
                <w:sz w:val="16"/>
                <w:szCs w:val="16"/>
                <w:lang w:val="en-GB" w:eastAsia="it-IT"/>
              </w:rPr>
            </w:pPr>
            <w:r w:rsidRPr="008017F0">
              <w:rPr>
                <w:rFonts w:cstheme="minorHAnsi"/>
                <w:sz w:val="16"/>
                <w:szCs w:val="16"/>
                <w:lang w:val="en-GB"/>
              </w:rPr>
              <w:t>Own elaboration</w:t>
            </w:r>
          </w:p>
        </w:tc>
        <w:tc>
          <w:tcPr>
            <w:tcW w:w="850" w:type="dxa"/>
            <w:tcBorders>
              <w:top w:val="single" w:sz="4" w:space="0" w:color="auto"/>
              <w:left w:val="single" w:sz="4" w:space="0" w:color="auto"/>
              <w:bottom w:val="single" w:sz="4" w:space="0" w:color="auto"/>
              <w:right w:val="single" w:sz="4" w:space="0" w:color="auto"/>
            </w:tcBorders>
            <w:noWrap/>
            <w:vAlign w:val="center"/>
          </w:tcPr>
          <w:p w14:paraId="09675901"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0.509</w:t>
            </w:r>
          </w:p>
        </w:tc>
        <w:tc>
          <w:tcPr>
            <w:tcW w:w="643" w:type="dxa"/>
            <w:tcBorders>
              <w:top w:val="single" w:sz="4" w:space="0" w:color="auto"/>
              <w:left w:val="single" w:sz="4" w:space="0" w:color="auto"/>
              <w:bottom w:val="single" w:sz="4" w:space="0" w:color="auto"/>
              <w:right w:val="single" w:sz="4" w:space="0" w:color="auto"/>
            </w:tcBorders>
            <w:noWrap/>
            <w:vAlign w:val="center"/>
          </w:tcPr>
          <w:p w14:paraId="5CCE3356"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0.080</w:t>
            </w:r>
          </w:p>
        </w:tc>
        <w:tc>
          <w:tcPr>
            <w:tcW w:w="694" w:type="dxa"/>
            <w:tcBorders>
              <w:top w:val="single" w:sz="4" w:space="0" w:color="auto"/>
              <w:left w:val="single" w:sz="4" w:space="0" w:color="auto"/>
              <w:bottom w:val="single" w:sz="4" w:space="0" w:color="auto"/>
              <w:right w:val="single" w:sz="4" w:space="0" w:color="auto"/>
            </w:tcBorders>
            <w:vAlign w:val="center"/>
          </w:tcPr>
          <w:p w14:paraId="6D944384"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0.361</w:t>
            </w:r>
          </w:p>
        </w:tc>
        <w:tc>
          <w:tcPr>
            <w:tcW w:w="694" w:type="dxa"/>
            <w:tcBorders>
              <w:top w:val="single" w:sz="4" w:space="0" w:color="auto"/>
              <w:left w:val="single" w:sz="4" w:space="0" w:color="auto"/>
              <w:bottom w:val="single" w:sz="4" w:space="0" w:color="auto"/>
              <w:right w:val="single" w:sz="4" w:space="0" w:color="auto"/>
            </w:tcBorders>
            <w:vAlign w:val="center"/>
          </w:tcPr>
          <w:p w14:paraId="6BEF1C3B"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0.394</w:t>
            </w:r>
          </w:p>
        </w:tc>
        <w:tc>
          <w:tcPr>
            <w:tcW w:w="804" w:type="dxa"/>
            <w:tcBorders>
              <w:top w:val="single" w:sz="4" w:space="0" w:color="auto"/>
              <w:left w:val="single" w:sz="4" w:space="0" w:color="auto"/>
              <w:bottom w:val="single" w:sz="4" w:space="0" w:color="auto"/>
              <w:right w:val="single" w:sz="4" w:space="0" w:color="auto"/>
            </w:tcBorders>
            <w:noWrap/>
            <w:vAlign w:val="center"/>
          </w:tcPr>
          <w:p w14:paraId="4F1AF83F"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0.526</w:t>
            </w:r>
          </w:p>
        </w:tc>
        <w:tc>
          <w:tcPr>
            <w:tcW w:w="851" w:type="dxa"/>
            <w:tcBorders>
              <w:top w:val="single" w:sz="4" w:space="0" w:color="auto"/>
              <w:left w:val="single" w:sz="4" w:space="0" w:color="auto"/>
              <w:bottom w:val="single" w:sz="4" w:space="0" w:color="auto"/>
              <w:right w:val="single" w:sz="4" w:space="0" w:color="auto"/>
            </w:tcBorders>
            <w:vAlign w:val="center"/>
          </w:tcPr>
          <w:p w14:paraId="58B2699E"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0.613</w:t>
            </w:r>
          </w:p>
        </w:tc>
        <w:tc>
          <w:tcPr>
            <w:tcW w:w="850" w:type="dxa"/>
            <w:tcBorders>
              <w:top w:val="single" w:sz="4" w:space="0" w:color="auto"/>
              <w:left w:val="single" w:sz="4" w:space="0" w:color="auto"/>
              <w:bottom w:val="single" w:sz="4" w:space="0" w:color="auto"/>
              <w:right w:val="single" w:sz="4" w:space="0" w:color="auto"/>
            </w:tcBorders>
            <w:noWrap/>
            <w:vAlign w:val="center"/>
          </w:tcPr>
          <w:p w14:paraId="4F8ABF58" w14:textId="77777777" w:rsidR="003C2EEA" w:rsidRPr="008017F0" w:rsidRDefault="003C2EEA" w:rsidP="008C3712">
            <w:pPr>
              <w:spacing w:after="0" w:line="240" w:lineRule="auto"/>
              <w:jc w:val="center"/>
              <w:rPr>
                <w:rFonts w:eastAsia="Times New Roman" w:cstheme="minorHAnsi"/>
                <w:sz w:val="16"/>
                <w:szCs w:val="16"/>
                <w:lang w:val="en-GB" w:eastAsia="it-IT"/>
              </w:rPr>
            </w:pPr>
            <w:r w:rsidRPr="008017F0">
              <w:rPr>
                <w:sz w:val="16"/>
                <w:szCs w:val="16"/>
                <w:lang w:val="en-GB"/>
              </w:rPr>
              <w:t>0.681</w:t>
            </w:r>
          </w:p>
        </w:tc>
      </w:tr>
      <w:tr w:rsidR="003C2EEA" w:rsidRPr="008017F0" w14:paraId="479EE131"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0690B4B" w14:textId="04E031CC"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Current account subsidies to household</w:t>
            </w:r>
            <w:r w:rsidR="003F2503" w:rsidRPr="008017F0">
              <w:rPr>
                <w:rFonts w:eastAsia="Times New Roman" w:cstheme="minorHAnsi"/>
                <w:sz w:val="16"/>
                <w:szCs w:val="16"/>
                <w:lang w:val="en-GB" w:eastAsia="it-IT"/>
              </w:rPr>
              <w:t>s</w:t>
            </w:r>
            <w:r w:rsidRPr="008017F0">
              <w:rPr>
                <w:rFonts w:eastAsia="Times New Roman" w:cstheme="minorHAnsi"/>
                <w:sz w:val="16"/>
                <w:szCs w:val="16"/>
                <w:lang w:val="en-GB" w:eastAsia="it-IT"/>
              </w:rPr>
              <w:t>/GDP</w:t>
            </w:r>
          </w:p>
        </w:tc>
        <w:tc>
          <w:tcPr>
            <w:tcW w:w="1417" w:type="dxa"/>
            <w:tcBorders>
              <w:top w:val="single" w:sz="4" w:space="0" w:color="auto"/>
              <w:left w:val="single" w:sz="4" w:space="0" w:color="auto"/>
              <w:bottom w:val="single" w:sz="4" w:space="0" w:color="auto"/>
              <w:right w:val="single" w:sz="4" w:space="0" w:color="auto"/>
            </w:tcBorders>
            <w:vAlign w:val="center"/>
          </w:tcPr>
          <w:p w14:paraId="68E30A9E" w14:textId="77777777" w:rsidR="003C2EEA" w:rsidRPr="008017F0" w:rsidRDefault="003C2EEA" w:rsidP="008C3712">
            <w:pPr>
              <w:spacing w:after="0" w:line="240" w:lineRule="auto"/>
              <w:ind w:right="-76"/>
              <w:jc w:val="center"/>
              <w:rPr>
                <w:rFonts w:cstheme="minorHAnsi"/>
                <w:sz w:val="16"/>
                <w:szCs w:val="16"/>
                <w:lang w:val="en-GB"/>
              </w:rPr>
            </w:pPr>
            <w:r w:rsidRPr="008017F0">
              <w:rPr>
                <w:rFonts w:cstheme="minorHAnsi"/>
                <w:sz w:val="16"/>
                <w:szCs w:val="16"/>
                <w:lang w:val="en-GB"/>
              </w:rPr>
              <w:t xml:space="preserve">Spesa </w:t>
            </w:r>
            <w:proofErr w:type="spellStart"/>
            <w:r w:rsidRPr="008017F0">
              <w:rPr>
                <w:rFonts w:cstheme="minorHAnsi"/>
                <w:sz w:val="16"/>
                <w:szCs w:val="16"/>
                <w:lang w:val="en-GB"/>
              </w:rPr>
              <w:t>statale</w:t>
            </w:r>
            <w:proofErr w:type="spellEnd"/>
            <w:r w:rsidRPr="008017F0">
              <w:rPr>
                <w:rFonts w:cstheme="minorHAnsi"/>
                <w:sz w:val="16"/>
                <w:szCs w:val="16"/>
                <w:lang w:val="en-GB"/>
              </w:rPr>
              <w:t xml:space="preserve"> </w:t>
            </w:r>
            <w:proofErr w:type="spellStart"/>
            <w:r w:rsidRPr="008017F0">
              <w:rPr>
                <w:rFonts w:cstheme="minorHAnsi"/>
                <w:sz w:val="16"/>
                <w:szCs w:val="16"/>
                <w:lang w:val="en-GB"/>
              </w:rPr>
              <w:t>regionalizzata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691B4F73" w14:textId="77777777" w:rsidR="003C2EEA" w:rsidRPr="008017F0" w:rsidRDefault="003C2EEA" w:rsidP="008C3712">
            <w:pPr>
              <w:spacing w:after="0" w:line="240" w:lineRule="auto"/>
              <w:jc w:val="center"/>
              <w:rPr>
                <w:sz w:val="16"/>
                <w:szCs w:val="16"/>
                <w:lang w:val="en-GB"/>
              </w:rPr>
            </w:pPr>
            <w:r w:rsidRPr="008017F0">
              <w:rPr>
                <w:sz w:val="16"/>
                <w:szCs w:val="16"/>
                <w:lang w:val="en-GB"/>
              </w:rPr>
              <w:t>0.007</w:t>
            </w:r>
          </w:p>
        </w:tc>
        <w:tc>
          <w:tcPr>
            <w:tcW w:w="643" w:type="dxa"/>
            <w:tcBorders>
              <w:top w:val="single" w:sz="4" w:space="0" w:color="auto"/>
              <w:left w:val="single" w:sz="4" w:space="0" w:color="auto"/>
              <w:bottom w:val="single" w:sz="4" w:space="0" w:color="auto"/>
              <w:right w:val="single" w:sz="4" w:space="0" w:color="auto"/>
            </w:tcBorders>
            <w:noWrap/>
            <w:vAlign w:val="center"/>
          </w:tcPr>
          <w:p w14:paraId="57C3D8E0" w14:textId="77777777" w:rsidR="003C2EEA" w:rsidRPr="008017F0" w:rsidRDefault="003C2EEA" w:rsidP="008C3712">
            <w:pPr>
              <w:spacing w:after="0" w:line="240" w:lineRule="auto"/>
              <w:jc w:val="center"/>
              <w:rPr>
                <w:sz w:val="16"/>
                <w:szCs w:val="16"/>
                <w:lang w:val="en-GB"/>
              </w:rPr>
            </w:pPr>
            <w:r w:rsidRPr="008017F0">
              <w:rPr>
                <w:sz w:val="16"/>
                <w:szCs w:val="16"/>
                <w:lang w:val="en-GB"/>
              </w:rPr>
              <w:t>0.006</w:t>
            </w:r>
          </w:p>
        </w:tc>
        <w:tc>
          <w:tcPr>
            <w:tcW w:w="694" w:type="dxa"/>
            <w:tcBorders>
              <w:top w:val="single" w:sz="4" w:space="0" w:color="auto"/>
              <w:left w:val="single" w:sz="4" w:space="0" w:color="auto"/>
              <w:bottom w:val="single" w:sz="4" w:space="0" w:color="auto"/>
              <w:right w:val="single" w:sz="4" w:space="0" w:color="auto"/>
            </w:tcBorders>
            <w:vAlign w:val="center"/>
          </w:tcPr>
          <w:p w14:paraId="0F63EB03" w14:textId="77777777" w:rsidR="003C2EEA" w:rsidRPr="008017F0" w:rsidRDefault="003C2EEA" w:rsidP="008C3712">
            <w:pPr>
              <w:spacing w:after="0" w:line="240" w:lineRule="auto"/>
              <w:jc w:val="center"/>
              <w:rPr>
                <w:sz w:val="16"/>
                <w:szCs w:val="16"/>
                <w:lang w:val="en-GB"/>
              </w:rPr>
            </w:pPr>
            <w:r w:rsidRPr="008017F0">
              <w:rPr>
                <w:sz w:val="16"/>
                <w:szCs w:val="16"/>
                <w:lang w:val="en-GB"/>
              </w:rPr>
              <w:t>0.001</w:t>
            </w:r>
          </w:p>
        </w:tc>
        <w:tc>
          <w:tcPr>
            <w:tcW w:w="694" w:type="dxa"/>
            <w:tcBorders>
              <w:top w:val="single" w:sz="4" w:space="0" w:color="auto"/>
              <w:left w:val="single" w:sz="4" w:space="0" w:color="auto"/>
              <w:bottom w:val="single" w:sz="4" w:space="0" w:color="auto"/>
              <w:right w:val="single" w:sz="4" w:space="0" w:color="auto"/>
            </w:tcBorders>
            <w:vAlign w:val="center"/>
          </w:tcPr>
          <w:p w14:paraId="073B7935" w14:textId="77777777" w:rsidR="003C2EEA" w:rsidRPr="008017F0" w:rsidRDefault="003C2EEA" w:rsidP="008C3712">
            <w:pPr>
              <w:spacing w:after="0" w:line="240" w:lineRule="auto"/>
              <w:jc w:val="center"/>
              <w:rPr>
                <w:sz w:val="16"/>
                <w:szCs w:val="16"/>
                <w:lang w:val="en-GB"/>
              </w:rPr>
            </w:pPr>
            <w:r w:rsidRPr="008017F0">
              <w:rPr>
                <w:sz w:val="16"/>
                <w:szCs w:val="16"/>
                <w:lang w:val="en-GB"/>
              </w:rPr>
              <w:t>0.002</w:t>
            </w:r>
          </w:p>
        </w:tc>
        <w:tc>
          <w:tcPr>
            <w:tcW w:w="804" w:type="dxa"/>
            <w:tcBorders>
              <w:top w:val="single" w:sz="4" w:space="0" w:color="auto"/>
              <w:left w:val="single" w:sz="4" w:space="0" w:color="auto"/>
              <w:bottom w:val="single" w:sz="4" w:space="0" w:color="auto"/>
              <w:right w:val="single" w:sz="4" w:space="0" w:color="auto"/>
            </w:tcBorders>
            <w:noWrap/>
            <w:vAlign w:val="center"/>
          </w:tcPr>
          <w:p w14:paraId="0FA592B1" w14:textId="77777777" w:rsidR="003C2EEA" w:rsidRPr="008017F0" w:rsidRDefault="003C2EEA" w:rsidP="008C3712">
            <w:pPr>
              <w:spacing w:after="0" w:line="240" w:lineRule="auto"/>
              <w:jc w:val="center"/>
              <w:rPr>
                <w:sz w:val="16"/>
                <w:szCs w:val="16"/>
                <w:lang w:val="en-GB"/>
              </w:rPr>
            </w:pPr>
            <w:r w:rsidRPr="008017F0">
              <w:rPr>
                <w:sz w:val="16"/>
                <w:szCs w:val="16"/>
                <w:lang w:val="en-GB"/>
              </w:rPr>
              <w:t>0.005</w:t>
            </w:r>
          </w:p>
        </w:tc>
        <w:tc>
          <w:tcPr>
            <w:tcW w:w="851" w:type="dxa"/>
            <w:tcBorders>
              <w:top w:val="single" w:sz="4" w:space="0" w:color="auto"/>
              <w:left w:val="single" w:sz="4" w:space="0" w:color="auto"/>
              <w:bottom w:val="single" w:sz="4" w:space="0" w:color="auto"/>
              <w:right w:val="single" w:sz="4" w:space="0" w:color="auto"/>
            </w:tcBorders>
            <w:vAlign w:val="center"/>
          </w:tcPr>
          <w:p w14:paraId="5DF938C3" w14:textId="77777777" w:rsidR="003C2EEA" w:rsidRPr="008017F0" w:rsidRDefault="003C2EEA" w:rsidP="008C3712">
            <w:pPr>
              <w:spacing w:after="0" w:line="240" w:lineRule="auto"/>
              <w:jc w:val="center"/>
              <w:rPr>
                <w:sz w:val="16"/>
                <w:szCs w:val="16"/>
                <w:lang w:val="en-GB"/>
              </w:rPr>
            </w:pPr>
            <w:r w:rsidRPr="008017F0">
              <w:rPr>
                <w:sz w:val="16"/>
                <w:szCs w:val="16"/>
                <w:lang w:val="en-GB"/>
              </w:rPr>
              <w:t>0.016</w:t>
            </w:r>
          </w:p>
        </w:tc>
        <w:tc>
          <w:tcPr>
            <w:tcW w:w="850" w:type="dxa"/>
            <w:tcBorders>
              <w:top w:val="single" w:sz="4" w:space="0" w:color="auto"/>
              <w:left w:val="single" w:sz="4" w:space="0" w:color="auto"/>
              <w:bottom w:val="single" w:sz="4" w:space="0" w:color="auto"/>
              <w:right w:val="single" w:sz="4" w:space="0" w:color="auto"/>
            </w:tcBorders>
            <w:noWrap/>
            <w:vAlign w:val="center"/>
          </w:tcPr>
          <w:p w14:paraId="3D036DFA" w14:textId="77777777" w:rsidR="003C2EEA" w:rsidRPr="008017F0" w:rsidRDefault="003C2EEA" w:rsidP="008C3712">
            <w:pPr>
              <w:spacing w:after="0" w:line="240" w:lineRule="auto"/>
              <w:jc w:val="center"/>
              <w:rPr>
                <w:sz w:val="16"/>
                <w:szCs w:val="16"/>
                <w:lang w:val="en-GB"/>
              </w:rPr>
            </w:pPr>
            <w:r w:rsidRPr="008017F0">
              <w:rPr>
                <w:sz w:val="16"/>
                <w:szCs w:val="16"/>
                <w:lang w:val="en-GB"/>
              </w:rPr>
              <w:t>0.034</w:t>
            </w:r>
          </w:p>
        </w:tc>
      </w:tr>
      <w:tr w:rsidR="003C2EEA" w:rsidRPr="008017F0" w14:paraId="69B79FA3"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531F8AE"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Manufacturing sector (value added) share</w:t>
            </w:r>
          </w:p>
        </w:tc>
        <w:tc>
          <w:tcPr>
            <w:tcW w:w="1417" w:type="dxa"/>
            <w:tcBorders>
              <w:top w:val="single" w:sz="4" w:space="0" w:color="auto"/>
              <w:left w:val="single" w:sz="4" w:space="0" w:color="auto"/>
              <w:bottom w:val="single" w:sz="4" w:space="0" w:color="auto"/>
              <w:right w:val="single" w:sz="4" w:space="0" w:color="auto"/>
            </w:tcBorders>
            <w:vAlign w:val="center"/>
          </w:tcPr>
          <w:p w14:paraId="591E09EB"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706F6CFC" w14:textId="77777777" w:rsidR="003C2EEA" w:rsidRPr="008017F0" w:rsidRDefault="003C2EEA" w:rsidP="008C3712">
            <w:pPr>
              <w:spacing w:after="0" w:line="240" w:lineRule="auto"/>
              <w:jc w:val="center"/>
              <w:rPr>
                <w:sz w:val="16"/>
                <w:szCs w:val="16"/>
                <w:lang w:val="en-GB"/>
              </w:rPr>
            </w:pPr>
            <w:r w:rsidRPr="008017F0">
              <w:rPr>
                <w:sz w:val="16"/>
                <w:szCs w:val="16"/>
                <w:lang w:val="en-GB"/>
              </w:rPr>
              <w:t>0.19</w:t>
            </w:r>
          </w:p>
        </w:tc>
        <w:tc>
          <w:tcPr>
            <w:tcW w:w="643" w:type="dxa"/>
            <w:tcBorders>
              <w:top w:val="single" w:sz="4" w:space="0" w:color="auto"/>
              <w:left w:val="single" w:sz="4" w:space="0" w:color="auto"/>
              <w:bottom w:val="single" w:sz="4" w:space="0" w:color="auto"/>
              <w:right w:val="single" w:sz="4" w:space="0" w:color="auto"/>
            </w:tcBorders>
            <w:noWrap/>
            <w:vAlign w:val="center"/>
          </w:tcPr>
          <w:p w14:paraId="7DB4FFF8" w14:textId="77777777" w:rsidR="003C2EEA" w:rsidRPr="008017F0" w:rsidRDefault="003C2EEA" w:rsidP="008C3712">
            <w:pPr>
              <w:spacing w:after="0" w:line="240" w:lineRule="auto"/>
              <w:jc w:val="center"/>
              <w:rPr>
                <w:sz w:val="16"/>
                <w:szCs w:val="16"/>
                <w:lang w:val="en-GB"/>
              </w:rPr>
            </w:pPr>
            <w:r w:rsidRPr="008017F0">
              <w:rPr>
                <w:sz w:val="16"/>
                <w:szCs w:val="16"/>
                <w:lang w:val="en-GB"/>
              </w:rPr>
              <w:t>0.06</w:t>
            </w:r>
          </w:p>
        </w:tc>
        <w:tc>
          <w:tcPr>
            <w:tcW w:w="694" w:type="dxa"/>
            <w:tcBorders>
              <w:top w:val="single" w:sz="4" w:space="0" w:color="auto"/>
              <w:left w:val="single" w:sz="4" w:space="0" w:color="auto"/>
              <w:bottom w:val="single" w:sz="4" w:space="0" w:color="auto"/>
              <w:right w:val="single" w:sz="4" w:space="0" w:color="auto"/>
            </w:tcBorders>
            <w:vAlign w:val="center"/>
          </w:tcPr>
          <w:p w14:paraId="23CCDA30" w14:textId="77777777" w:rsidR="003C2EEA" w:rsidRPr="008017F0" w:rsidRDefault="003C2EEA" w:rsidP="008C3712">
            <w:pPr>
              <w:spacing w:after="0" w:line="240" w:lineRule="auto"/>
              <w:jc w:val="center"/>
              <w:rPr>
                <w:sz w:val="16"/>
                <w:szCs w:val="16"/>
                <w:lang w:val="en-GB"/>
              </w:rPr>
            </w:pPr>
            <w:r w:rsidRPr="008017F0">
              <w:rPr>
                <w:sz w:val="16"/>
                <w:szCs w:val="16"/>
                <w:lang w:val="en-GB"/>
              </w:rPr>
              <w:t>0.07</w:t>
            </w:r>
          </w:p>
        </w:tc>
        <w:tc>
          <w:tcPr>
            <w:tcW w:w="694" w:type="dxa"/>
            <w:tcBorders>
              <w:top w:val="single" w:sz="4" w:space="0" w:color="auto"/>
              <w:left w:val="single" w:sz="4" w:space="0" w:color="auto"/>
              <w:bottom w:val="single" w:sz="4" w:space="0" w:color="auto"/>
              <w:right w:val="single" w:sz="4" w:space="0" w:color="auto"/>
            </w:tcBorders>
            <w:vAlign w:val="center"/>
          </w:tcPr>
          <w:p w14:paraId="04DB181E" w14:textId="77777777" w:rsidR="003C2EEA" w:rsidRPr="008017F0" w:rsidRDefault="003C2EEA" w:rsidP="008C3712">
            <w:pPr>
              <w:spacing w:after="0" w:line="240" w:lineRule="auto"/>
              <w:jc w:val="center"/>
              <w:rPr>
                <w:sz w:val="16"/>
                <w:szCs w:val="16"/>
                <w:lang w:val="en-GB"/>
              </w:rPr>
            </w:pPr>
            <w:r w:rsidRPr="008017F0">
              <w:rPr>
                <w:sz w:val="16"/>
                <w:szCs w:val="16"/>
                <w:lang w:val="en-GB"/>
              </w:rPr>
              <w:t>0.10</w:t>
            </w:r>
          </w:p>
        </w:tc>
        <w:tc>
          <w:tcPr>
            <w:tcW w:w="804" w:type="dxa"/>
            <w:tcBorders>
              <w:top w:val="single" w:sz="4" w:space="0" w:color="auto"/>
              <w:left w:val="single" w:sz="4" w:space="0" w:color="auto"/>
              <w:bottom w:val="single" w:sz="4" w:space="0" w:color="auto"/>
              <w:right w:val="single" w:sz="4" w:space="0" w:color="auto"/>
            </w:tcBorders>
            <w:noWrap/>
            <w:vAlign w:val="center"/>
          </w:tcPr>
          <w:p w14:paraId="6438DE9C" w14:textId="77777777" w:rsidR="003C2EEA" w:rsidRPr="008017F0" w:rsidRDefault="003C2EEA" w:rsidP="008C3712">
            <w:pPr>
              <w:spacing w:after="0" w:line="240" w:lineRule="auto"/>
              <w:jc w:val="center"/>
              <w:rPr>
                <w:sz w:val="16"/>
                <w:szCs w:val="16"/>
                <w:lang w:val="en-GB"/>
              </w:rPr>
            </w:pPr>
            <w:r w:rsidRPr="008017F0">
              <w:rPr>
                <w:sz w:val="16"/>
                <w:szCs w:val="16"/>
                <w:lang w:val="en-GB"/>
              </w:rPr>
              <w:t>0.19</w:t>
            </w:r>
          </w:p>
        </w:tc>
        <w:tc>
          <w:tcPr>
            <w:tcW w:w="851" w:type="dxa"/>
            <w:tcBorders>
              <w:top w:val="single" w:sz="4" w:space="0" w:color="auto"/>
              <w:left w:val="single" w:sz="4" w:space="0" w:color="auto"/>
              <w:bottom w:val="single" w:sz="4" w:space="0" w:color="auto"/>
              <w:right w:val="single" w:sz="4" w:space="0" w:color="auto"/>
            </w:tcBorders>
            <w:vAlign w:val="center"/>
          </w:tcPr>
          <w:p w14:paraId="74C0EAD9" w14:textId="77777777" w:rsidR="003C2EEA" w:rsidRPr="008017F0" w:rsidRDefault="003C2EEA" w:rsidP="008C3712">
            <w:pPr>
              <w:spacing w:after="0" w:line="240" w:lineRule="auto"/>
              <w:jc w:val="center"/>
              <w:rPr>
                <w:sz w:val="16"/>
                <w:szCs w:val="16"/>
                <w:lang w:val="en-GB"/>
              </w:rPr>
            </w:pPr>
            <w:r w:rsidRPr="008017F0">
              <w:rPr>
                <w:sz w:val="16"/>
                <w:szCs w:val="16"/>
                <w:lang w:val="en-GB"/>
              </w:rPr>
              <w:t>0.26</w:t>
            </w:r>
          </w:p>
        </w:tc>
        <w:tc>
          <w:tcPr>
            <w:tcW w:w="850" w:type="dxa"/>
            <w:tcBorders>
              <w:top w:val="single" w:sz="4" w:space="0" w:color="auto"/>
              <w:left w:val="single" w:sz="4" w:space="0" w:color="auto"/>
              <w:bottom w:val="single" w:sz="4" w:space="0" w:color="auto"/>
              <w:right w:val="single" w:sz="4" w:space="0" w:color="auto"/>
            </w:tcBorders>
            <w:noWrap/>
            <w:vAlign w:val="center"/>
          </w:tcPr>
          <w:p w14:paraId="27FE816B" w14:textId="77777777" w:rsidR="003C2EEA" w:rsidRPr="008017F0" w:rsidRDefault="003C2EEA" w:rsidP="008C3712">
            <w:pPr>
              <w:spacing w:after="0" w:line="240" w:lineRule="auto"/>
              <w:jc w:val="center"/>
              <w:rPr>
                <w:sz w:val="16"/>
                <w:szCs w:val="16"/>
                <w:lang w:val="en-GB"/>
              </w:rPr>
            </w:pPr>
            <w:r w:rsidRPr="008017F0">
              <w:rPr>
                <w:sz w:val="16"/>
                <w:szCs w:val="16"/>
                <w:lang w:val="en-GB"/>
              </w:rPr>
              <w:t>0.34</w:t>
            </w:r>
          </w:p>
        </w:tc>
      </w:tr>
      <w:tr w:rsidR="003C2EEA" w:rsidRPr="008017F0" w14:paraId="509822D6"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4743224"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Manufacturing sector (employment) share</w:t>
            </w:r>
          </w:p>
        </w:tc>
        <w:tc>
          <w:tcPr>
            <w:tcW w:w="1417" w:type="dxa"/>
            <w:tcBorders>
              <w:top w:val="single" w:sz="4" w:space="0" w:color="auto"/>
              <w:left w:val="single" w:sz="4" w:space="0" w:color="auto"/>
              <w:bottom w:val="single" w:sz="4" w:space="0" w:color="auto"/>
              <w:right w:val="single" w:sz="4" w:space="0" w:color="auto"/>
            </w:tcBorders>
            <w:vAlign w:val="center"/>
          </w:tcPr>
          <w:p w14:paraId="38B46792"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7BF6135E" w14:textId="77777777" w:rsidR="003C2EEA" w:rsidRPr="008017F0" w:rsidRDefault="003C2EEA" w:rsidP="008C3712">
            <w:pPr>
              <w:spacing w:after="0" w:line="240" w:lineRule="auto"/>
              <w:jc w:val="center"/>
              <w:rPr>
                <w:sz w:val="16"/>
                <w:szCs w:val="16"/>
                <w:lang w:val="en-GB"/>
              </w:rPr>
            </w:pPr>
            <w:r w:rsidRPr="008017F0">
              <w:rPr>
                <w:sz w:val="16"/>
                <w:szCs w:val="16"/>
                <w:lang w:val="en-GB"/>
              </w:rPr>
              <w:t>0.18</w:t>
            </w:r>
          </w:p>
        </w:tc>
        <w:tc>
          <w:tcPr>
            <w:tcW w:w="643" w:type="dxa"/>
            <w:tcBorders>
              <w:top w:val="single" w:sz="4" w:space="0" w:color="auto"/>
              <w:left w:val="single" w:sz="4" w:space="0" w:color="auto"/>
              <w:bottom w:val="single" w:sz="4" w:space="0" w:color="auto"/>
              <w:right w:val="single" w:sz="4" w:space="0" w:color="auto"/>
            </w:tcBorders>
            <w:noWrap/>
            <w:vAlign w:val="center"/>
          </w:tcPr>
          <w:p w14:paraId="2A51FA5B" w14:textId="77777777" w:rsidR="003C2EEA" w:rsidRPr="008017F0" w:rsidRDefault="003C2EEA" w:rsidP="008C3712">
            <w:pPr>
              <w:spacing w:after="0" w:line="240" w:lineRule="auto"/>
              <w:jc w:val="center"/>
              <w:rPr>
                <w:sz w:val="16"/>
                <w:szCs w:val="16"/>
                <w:lang w:val="en-GB"/>
              </w:rPr>
            </w:pPr>
            <w:r w:rsidRPr="008017F0">
              <w:rPr>
                <w:sz w:val="16"/>
                <w:szCs w:val="16"/>
                <w:lang w:val="en-GB"/>
              </w:rPr>
              <w:t>0.07</w:t>
            </w:r>
          </w:p>
        </w:tc>
        <w:tc>
          <w:tcPr>
            <w:tcW w:w="694" w:type="dxa"/>
            <w:tcBorders>
              <w:top w:val="single" w:sz="4" w:space="0" w:color="auto"/>
              <w:left w:val="single" w:sz="4" w:space="0" w:color="auto"/>
              <w:bottom w:val="single" w:sz="4" w:space="0" w:color="auto"/>
              <w:right w:val="single" w:sz="4" w:space="0" w:color="auto"/>
            </w:tcBorders>
            <w:vAlign w:val="center"/>
          </w:tcPr>
          <w:p w14:paraId="25FE3C9E" w14:textId="77777777" w:rsidR="003C2EEA" w:rsidRPr="008017F0" w:rsidRDefault="003C2EEA" w:rsidP="008C3712">
            <w:pPr>
              <w:spacing w:after="0" w:line="240" w:lineRule="auto"/>
              <w:jc w:val="center"/>
              <w:rPr>
                <w:sz w:val="16"/>
                <w:szCs w:val="16"/>
                <w:lang w:val="en-GB"/>
              </w:rPr>
            </w:pPr>
            <w:r w:rsidRPr="008017F0">
              <w:rPr>
                <w:sz w:val="16"/>
                <w:szCs w:val="16"/>
                <w:lang w:val="en-GB"/>
              </w:rPr>
              <w:t>0.07</w:t>
            </w:r>
          </w:p>
        </w:tc>
        <w:tc>
          <w:tcPr>
            <w:tcW w:w="694" w:type="dxa"/>
            <w:tcBorders>
              <w:top w:val="single" w:sz="4" w:space="0" w:color="auto"/>
              <w:left w:val="single" w:sz="4" w:space="0" w:color="auto"/>
              <w:bottom w:val="single" w:sz="4" w:space="0" w:color="auto"/>
              <w:right w:val="single" w:sz="4" w:space="0" w:color="auto"/>
            </w:tcBorders>
            <w:vAlign w:val="center"/>
          </w:tcPr>
          <w:p w14:paraId="25683EC9" w14:textId="77777777" w:rsidR="003C2EEA" w:rsidRPr="008017F0" w:rsidRDefault="003C2EEA" w:rsidP="008C3712">
            <w:pPr>
              <w:spacing w:after="0" w:line="240" w:lineRule="auto"/>
              <w:jc w:val="center"/>
              <w:rPr>
                <w:sz w:val="16"/>
                <w:szCs w:val="16"/>
                <w:lang w:val="en-GB"/>
              </w:rPr>
            </w:pPr>
            <w:r w:rsidRPr="008017F0">
              <w:rPr>
                <w:sz w:val="16"/>
                <w:szCs w:val="16"/>
                <w:lang w:val="en-GB"/>
              </w:rPr>
              <w:t>0.09</w:t>
            </w:r>
          </w:p>
        </w:tc>
        <w:tc>
          <w:tcPr>
            <w:tcW w:w="804" w:type="dxa"/>
            <w:tcBorders>
              <w:top w:val="single" w:sz="4" w:space="0" w:color="auto"/>
              <w:left w:val="single" w:sz="4" w:space="0" w:color="auto"/>
              <w:bottom w:val="single" w:sz="4" w:space="0" w:color="auto"/>
              <w:right w:val="single" w:sz="4" w:space="0" w:color="auto"/>
            </w:tcBorders>
            <w:noWrap/>
            <w:vAlign w:val="center"/>
          </w:tcPr>
          <w:p w14:paraId="2B3D6024" w14:textId="77777777" w:rsidR="003C2EEA" w:rsidRPr="008017F0" w:rsidRDefault="003C2EEA" w:rsidP="008C3712">
            <w:pPr>
              <w:spacing w:after="0" w:line="240" w:lineRule="auto"/>
              <w:jc w:val="center"/>
              <w:rPr>
                <w:sz w:val="16"/>
                <w:szCs w:val="16"/>
                <w:lang w:val="en-GB"/>
              </w:rPr>
            </w:pPr>
            <w:r w:rsidRPr="008017F0">
              <w:rPr>
                <w:sz w:val="16"/>
                <w:szCs w:val="16"/>
                <w:lang w:val="en-GB"/>
              </w:rPr>
              <w:t>0.17</w:t>
            </w:r>
          </w:p>
        </w:tc>
        <w:tc>
          <w:tcPr>
            <w:tcW w:w="851" w:type="dxa"/>
            <w:tcBorders>
              <w:top w:val="single" w:sz="4" w:space="0" w:color="auto"/>
              <w:left w:val="single" w:sz="4" w:space="0" w:color="auto"/>
              <w:bottom w:val="single" w:sz="4" w:space="0" w:color="auto"/>
              <w:right w:val="single" w:sz="4" w:space="0" w:color="auto"/>
            </w:tcBorders>
            <w:vAlign w:val="center"/>
          </w:tcPr>
          <w:p w14:paraId="6C9E049D" w14:textId="77777777" w:rsidR="003C2EEA" w:rsidRPr="008017F0" w:rsidRDefault="003C2EEA" w:rsidP="008C3712">
            <w:pPr>
              <w:spacing w:after="0" w:line="240" w:lineRule="auto"/>
              <w:jc w:val="center"/>
              <w:rPr>
                <w:sz w:val="16"/>
                <w:szCs w:val="16"/>
                <w:lang w:val="en-GB"/>
              </w:rPr>
            </w:pPr>
            <w:r w:rsidRPr="008017F0">
              <w:rPr>
                <w:sz w:val="16"/>
                <w:szCs w:val="16"/>
                <w:lang w:val="en-GB"/>
              </w:rPr>
              <w:t>0.27</w:t>
            </w:r>
          </w:p>
        </w:tc>
        <w:tc>
          <w:tcPr>
            <w:tcW w:w="850" w:type="dxa"/>
            <w:tcBorders>
              <w:top w:val="single" w:sz="4" w:space="0" w:color="auto"/>
              <w:left w:val="single" w:sz="4" w:space="0" w:color="auto"/>
              <w:bottom w:val="single" w:sz="4" w:space="0" w:color="auto"/>
              <w:right w:val="single" w:sz="4" w:space="0" w:color="auto"/>
            </w:tcBorders>
            <w:noWrap/>
            <w:vAlign w:val="center"/>
          </w:tcPr>
          <w:p w14:paraId="0523FC71" w14:textId="77777777" w:rsidR="003C2EEA" w:rsidRPr="008017F0" w:rsidRDefault="003C2EEA" w:rsidP="008C3712">
            <w:pPr>
              <w:spacing w:after="0" w:line="240" w:lineRule="auto"/>
              <w:jc w:val="center"/>
              <w:rPr>
                <w:sz w:val="16"/>
                <w:szCs w:val="16"/>
                <w:lang w:val="en-GB"/>
              </w:rPr>
            </w:pPr>
            <w:r w:rsidRPr="008017F0">
              <w:rPr>
                <w:sz w:val="16"/>
                <w:szCs w:val="16"/>
                <w:lang w:val="en-GB"/>
              </w:rPr>
              <w:t>0.32</w:t>
            </w:r>
          </w:p>
        </w:tc>
      </w:tr>
      <w:tr w:rsidR="003C2EEA" w:rsidRPr="008017F0" w14:paraId="5D04FF9E"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77D56E3"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Construction sector (employment) share</w:t>
            </w:r>
          </w:p>
        </w:tc>
        <w:tc>
          <w:tcPr>
            <w:tcW w:w="1417" w:type="dxa"/>
            <w:tcBorders>
              <w:top w:val="single" w:sz="4" w:space="0" w:color="auto"/>
              <w:left w:val="single" w:sz="4" w:space="0" w:color="auto"/>
              <w:bottom w:val="single" w:sz="4" w:space="0" w:color="auto"/>
              <w:right w:val="single" w:sz="4" w:space="0" w:color="auto"/>
            </w:tcBorders>
            <w:vAlign w:val="center"/>
          </w:tcPr>
          <w:p w14:paraId="1E7B38EE"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7843BCAD" w14:textId="77777777" w:rsidR="003C2EEA" w:rsidRPr="008017F0" w:rsidRDefault="003C2EEA" w:rsidP="008C3712">
            <w:pPr>
              <w:spacing w:after="0" w:line="240" w:lineRule="auto"/>
              <w:jc w:val="center"/>
              <w:rPr>
                <w:sz w:val="16"/>
                <w:szCs w:val="16"/>
                <w:lang w:val="en-GB"/>
              </w:rPr>
            </w:pPr>
            <w:r w:rsidRPr="008017F0">
              <w:rPr>
                <w:sz w:val="16"/>
                <w:szCs w:val="16"/>
                <w:lang w:val="en-GB"/>
              </w:rPr>
              <w:t>0.07</w:t>
            </w:r>
          </w:p>
        </w:tc>
        <w:tc>
          <w:tcPr>
            <w:tcW w:w="643" w:type="dxa"/>
            <w:tcBorders>
              <w:top w:val="single" w:sz="4" w:space="0" w:color="auto"/>
              <w:left w:val="single" w:sz="4" w:space="0" w:color="auto"/>
              <w:bottom w:val="single" w:sz="4" w:space="0" w:color="auto"/>
              <w:right w:val="single" w:sz="4" w:space="0" w:color="auto"/>
            </w:tcBorders>
            <w:noWrap/>
            <w:vAlign w:val="center"/>
          </w:tcPr>
          <w:p w14:paraId="59AA3E38" w14:textId="77777777" w:rsidR="003C2EEA" w:rsidRPr="008017F0" w:rsidRDefault="003C2EEA" w:rsidP="008C3712">
            <w:pPr>
              <w:spacing w:after="0" w:line="240" w:lineRule="auto"/>
              <w:jc w:val="center"/>
              <w:rPr>
                <w:sz w:val="16"/>
                <w:szCs w:val="16"/>
                <w:lang w:val="en-GB"/>
              </w:rPr>
            </w:pPr>
            <w:r w:rsidRPr="008017F0">
              <w:rPr>
                <w:sz w:val="16"/>
                <w:szCs w:val="16"/>
                <w:lang w:val="en-GB"/>
              </w:rPr>
              <w:t>0.01</w:t>
            </w:r>
          </w:p>
        </w:tc>
        <w:tc>
          <w:tcPr>
            <w:tcW w:w="694" w:type="dxa"/>
            <w:tcBorders>
              <w:top w:val="single" w:sz="4" w:space="0" w:color="auto"/>
              <w:left w:val="single" w:sz="4" w:space="0" w:color="auto"/>
              <w:bottom w:val="single" w:sz="4" w:space="0" w:color="auto"/>
              <w:right w:val="single" w:sz="4" w:space="0" w:color="auto"/>
            </w:tcBorders>
            <w:vAlign w:val="center"/>
          </w:tcPr>
          <w:p w14:paraId="7321D078" w14:textId="77777777" w:rsidR="003C2EEA" w:rsidRPr="008017F0" w:rsidRDefault="003C2EEA" w:rsidP="008C3712">
            <w:pPr>
              <w:spacing w:after="0" w:line="240" w:lineRule="auto"/>
              <w:jc w:val="center"/>
              <w:rPr>
                <w:sz w:val="16"/>
                <w:szCs w:val="16"/>
                <w:lang w:val="en-GB"/>
              </w:rPr>
            </w:pPr>
            <w:r w:rsidRPr="008017F0">
              <w:rPr>
                <w:sz w:val="16"/>
                <w:szCs w:val="16"/>
                <w:lang w:val="en-GB"/>
              </w:rPr>
              <w:t>0.05</w:t>
            </w:r>
          </w:p>
        </w:tc>
        <w:tc>
          <w:tcPr>
            <w:tcW w:w="694" w:type="dxa"/>
            <w:tcBorders>
              <w:top w:val="single" w:sz="4" w:space="0" w:color="auto"/>
              <w:left w:val="single" w:sz="4" w:space="0" w:color="auto"/>
              <w:bottom w:val="single" w:sz="4" w:space="0" w:color="auto"/>
              <w:right w:val="single" w:sz="4" w:space="0" w:color="auto"/>
            </w:tcBorders>
            <w:vAlign w:val="center"/>
          </w:tcPr>
          <w:p w14:paraId="73477B89" w14:textId="77777777" w:rsidR="003C2EEA" w:rsidRPr="008017F0" w:rsidRDefault="003C2EEA" w:rsidP="008C3712">
            <w:pPr>
              <w:spacing w:after="0" w:line="240" w:lineRule="auto"/>
              <w:jc w:val="center"/>
              <w:rPr>
                <w:sz w:val="16"/>
                <w:szCs w:val="16"/>
                <w:lang w:val="en-GB"/>
              </w:rPr>
            </w:pPr>
            <w:r w:rsidRPr="008017F0">
              <w:rPr>
                <w:sz w:val="16"/>
                <w:szCs w:val="16"/>
                <w:lang w:val="en-GB"/>
              </w:rPr>
              <w:t>0.06</w:t>
            </w:r>
          </w:p>
        </w:tc>
        <w:tc>
          <w:tcPr>
            <w:tcW w:w="804" w:type="dxa"/>
            <w:tcBorders>
              <w:top w:val="single" w:sz="4" w:space="0" w:color="auto"/>
              <w:left w:val="single" w:sz="4" w:space="0" w:color="auto"/>
              <w:bottom w:val="single" w:sz="4" w:space="0" w:color="auto"/>
              <w:right w:val="single" w:sz="4" w:space="0" w:color="auto"/>
            </w:tcBorders>
            <w:noWrap/>
            <w:vAlign w:val="center"/>
          </w:tcPr>
          <w:p w14:paraId="185B1EFF" w14:textId="77777777" w:rsidR="003C2EEA" w:rsidRPr="008017F0" w:rsidRDefault="003C2EEA" w:rsidP="008C3712">
            <w:pPr>
              <w:spacing w:after="0" w:line="240" w:lineRule="auto"/>
              <w:jc w:val="center"/>
              <w:rPr>
                <w:sz w:val="16"/>
                <w:szCs w:val="16"/>
                <w:lang w:val="en-GB"/>
              </w:rPr>
            </w:pPr>
            <w:r w:rsidRPr="008017F0">
              <w:rPr>
                <w:sz w:val="16"/>
                <w:szCs w:val="16"/>
                <w:lang w:val="en-GB"/>
              </w:rPr>
              <w:t>0.07</w:t>
            </w:r>
          </w:p>
        </w:tc>
        <w:tc>
          <w:tcPr>
            <w:tcW w:w="851" w:type="dxa"/>
            <w:tcBorders>
              <w:top w:val="single" w:sz="4" w:space="0" w:color="auto"/>
              <w:left w:val="single" w:sz="4" w:space="0" w:color="auto"/>
              <w:bottom w:val="single" w:sz="4" w:space="0" w:color="auto"/>
              <w:right w:val="single" w:sz="4" w:space="0" w:color="auto"/>
            </w:tcBorders>
            <w:vAlign w:val="center"/>
          </w:tcPr>
          <w:p w14:paraId="7AC0E996" w14:textId="77777777" w:rsidR="003C2EEA" w:rsidRPr="008017F0" w:rsidRDefault="003C2EEA" w:rsidP="008C3712">
            <w:pPr>
              <w:spacing w:after="0" w:line="240" w:lineRule="auto"/>
              <w:jc w:val="center"/>
              <w:rPr>
                <w:sz w:val="16"/>
                <w:szCs w:val="16"/>
                <w:lang w:val="en-GB"/>
              </w:rPr>
            </w:pPr>
            <w:r w:rsidRPr="008017F0">
              <w:rPr>
                <w:sz w:val="16"/>
                <w:szCs w:val="16"/>
                <w:lang w:val="en-GB"/>
              </w:rPr>
              <w:t>0.09</w:t>
            </w:r>
          </w:p>
        </w:tc>
        <w:tc>
          <w:tcPr>
            <w:tcW w:w="850" w:type="dxa"/>
            <w:tcBorders>
              <w:top w:val="single" w:sz="4" w:space="0" w:color="auto"/>
              <w:left w:val="single" w:sz="4" w:space="0" w:color="auto"/>
              <w:bottom w:val="single" w:sz="4" w:space="0" w:color="auto"/>
              <w:right w:val="single" w:sz="4" w:space="0" w:color="auto"/>
            </w:tcBorders>
            <w:noWrap/>
            <w:vAlign w:val="center"/>
          </w:tcPr>
          <w:p w14:paraId="55CE0E3C" w14:textId="77777777" w:rsidR="003C2EEA" w:rsidRPr="008017F0" w:rsidRDefault="003C2EEA" w:rsidP="008C3712">
            <w:pPr>
              <w:spacing w:after="0" w:line="240" w:lineRule="auto"/>
              <w:jc w:val="center"/>
              <w:rPr>
                <w:sz w:val="16"/>
                <w:szCs w:val="16"/>
                <w:lang w:val="en-GB"/>
              </w:rPr>
            </w:pPr>
            <w:r w:rsidRPr="008017F0">
              <w:rPr>
                <w:sz w:val="16"/>
                <w:szCs w:val="16"/>
                <w:lang w:val="en-GB"/>
              </w:rPr>
              <w:t>0.12</w:t>
            </w:r>
          </w:p>
        </w:tc>
      </w:tr>
      <w:tr w:rsidR="003C2EEA" w:rsidRPr="008017F0" w14:paraId="0F25ED2B"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3CF38DA"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Public sector (value added) share</w:t>
            </w:r>
          </w:p>
        </w:tc>
        <w:tc>
          <w:tcPr>
            <w:tcW w:w="1417" w:type="dxa"/>
            <w:tcBorders>
              <w:top w:val="single" w:sz="4" w:space="0" w:color="auto"/>
              <w:left w:val="single" w:sz="4" w:space="0" w:color="auto"/>
              <w:bottom w:val="single" w:sz="4" w:space="0" w:color="auto"/>
              <w:right w:val="single" w:sz="4" w:space="0" w:color="auto"/>
            </w:tcBorders>
            <w:vAlign w:val="center"/>
          </w:tcPr>
          <w:p w14:paraId="5FC4BE9D"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19D16873" w14:textId="77777777" w:rsidR="003C2EEA" w:rsidRPr="008017F0" w:rsidRDefault="003C2EEA" w:rsidP="008C3712">
            <w:pPr>
              <w:spacing w:after="0" w:line="240" w:lineRule="auto"/>
              <w:jc w:val="center"/>
              <w:rPr>
                <w:sz w:val="16"/>
                <w:szCs w:val="16"/>
                <w:lang w:val="en-GB"/>
              </w:rPr>
            </w:pPr>
            <w:r w:rsidRPr="008017F0">
              <w:rPr>
                <w:sz w:val="16"/>
                <w:szCs w:val="16"/>
                <w:lang w:val="en-GB"/>
              </w:rPr>
              <w:t>0.20</w:t>
            </w:r>
          </w:p>
        </w:tc>
        <w:tc>
          <w:tcPr>
            <w:tcW w:w="643" w:type="dxa"/>
            <w:tcBorders>
              <w:top w:val="single" w:sz="4" w:space="0" w:color="auto"/>
              <w:left w:val="single" w:sz="4" w:space="0" w:color="auto"/>
              <w:bottom w:val="single" w:sz="4" w:space="0" w:color="auto"/>
              <w:right w:val="single" w:sz="4" w:space="0" w:color="auto"/>
            </w:tcBorders>
            <w:noWrap/>
            <w:vAlign w:val="center"/>
          </w:tcPr>
          <w:p w14:paraId="11A0CE56" w14:textId="77777777" w:rsidR="003C2EEA" w:rsidRPr="008017F0" w:rsidRDefault="003C2EEA" w:rsidP="008C3712">
            <w:pPr>
              <w:spacing w:after="0" w:line="240" w:lineRule="auto"/>
              <w:jc w:val="center"/>
              <w:rPr>
                <w:sz w:val="16"/>
                <w:szCs w:val="16"/>
                <w:lang w:val="en-GB"/>
              </w:rPr>
            </w:pPr>
            <w:r w:rsidRPr="008017F0">
              <w:rPr>
                <w:sz w:val="16"/>
                <w:szCs w:val="16"/>
                <w:lang w:val="en-GB"/>
              </w:rPr>
              <w:t>0.05</w:t>
            </w:r>
          </w:p>
        </w:tc>
        <w:tc>
          <w:tcPr>
            <w:tcW w:w="694" w:type="dxa"/>
            <w:tcBorders>
              <w:top w:val="single" w:sz="4" w:space="0" w:color="auto"/>
              <w:left w:val="single" w:sz="4" w:space="0" w:color="auto"/>
              <w:bottom w:val="single" w:sz="4" w:space="0" w:color="auto"/>
              <w:right w:val="single" w:sz="4" w:space="0" w:color="auto"/>
            </w:tcBorders>
            <w:vAlign w:val="center"/>
          </w:tcPr>
          <w:p w14:paraId="61186273" w14:textId="77777777" w:rsidR="003C2EEA" w:rsidRPr="008017F0" w:rsidRDefault="003C2EEA" w:rsidP="008C3712">
            <w:pPr>
              <w:spacing w:after="0" w:line="240" w:lineRule="auto"/>
              <w:jc w:val="center"/>
              <w:rPr>
                <w:sz w:val="16"/>
                <w:szCs w:val="16"/>
                <w:lang w:val="en-GB"/>
              </w:rPr>
            </w:pPr>
            <w:r w:rsidRPr="008017F0">
              <w:rPr>
                <w:sz w:val="16"/>
                <w:szCs w:val="16"/>
                <w:lang w:val="en-GB"/>
              </w:rPr>
              <w:t>0.10</w:t>
            </w:r>
          </w:p>
        </w:tc>
        <w:tc>
          <w:tcPr>
            <w:tcW w:w="694" w:type="dxa"/>
            <w:tcBorders>
              <w:top w:val="single" w:sz="4" w:space="0" w:color="auto"/>
              <w:left w:val="single" w:sz="4" w:space="0" w:color="auto"/>
              <w:bottom w:val="single" w:sz="4" w:space="0" w:color="auto"/>
              <w:right w:val="single" w:sz="4" w:space="0" w:color="auto"/>
            </w:tcBorders>
            <w:vAlign w:val="center"/>
          </w:tcPr>
          <w:p w14:paraId="7F85D23B" w14:textId="77777777" w:rsidR="003C2EEA" w:rsidRPr="008017F0" w:rsidRDefault="003C2EEA" w:rsidP="008C3712">
            <w:pPr>
              <w:spacing w:after="0" w:line="240" w:lineRule="auto"/>
              <w:jc w:val="center"/>
              <w:rPr>
                <w:sz w:val="16"/>
                <w:szCs w:val="16"/>
                <w:lang w:val="en-GB"/>
              </w:rPr>
            </w:pPr>
            <w:r w:rsidRPr="008017F0">
              <w:rPr>
                <w:sz w:val="16"/>
                <w:szCs w:val="16"/>
                <w:lang w:val="en-GB"/>
              </w:rPr>
              <w:t>0.13</w:t>
            </w:r>
          </w:p>
        </w:tc>
        <w:tc>
          <w:tcPr>
            <w:tcW w:w="804" w:type="dxa"/>
            <w:tcBorders>
              <w:top w:val="single" w:sz="4" w:space="0" w:color="auto"/>
              <w:left w:val="single" w:sz="4" w:space="0" w:color="auto"/>
              <w:bottom w:val="single" w:sz="4" w:space="0" w:color="auto"/>
              <w:right w:val="single" w:sz="4" w:space="0" w:color="auto"/>
            </w:tcBorders>
            <w:noWrap/>
            <w:vAlign w:val="center"/>
          </w:tcPr>
          <w:p w14:paraId="4BDF1652" w14:textId="77777777" w:rsidR="003C2EEA" w:rsidRPr="008017F0" w:rsidRDefault="003C2EEA" w:rsidP="008C3712">
            <w:pPr>
              <w:spacing w:after="0" w:line="240" w:lineRule="auto"/>
              <w:jc w:val="center"/>
              <w:rPr>
                <w:sz w:val="16"/>
                <w:szCs w:val="16"/>
                <w:lang w:val="en-GB"/>
              </w:rPr>
            </w:pPr>
            <w:r w:rsidRPr="008017F0">
              <w:rPr>
                <w:sz w:val="16"/>
                <w:szCs w:val="16"/>
                <w:lang w:val="en-GB"/>
              </w:rPr>
              <w:t>0.19</w:t>
            </w:r>
          </w:p>
        </w:tc>
        <w:tc>
          <w:tcPr>
            <w:tcW w:w="851" w:type="dxa"/>
            <w:tcBorders>
              <w:top w:val="single" w:sz="4" w:space="0" w:color="auto"/>
              <w:left w:val="single" w:sz="4" w:space="0" w:color="auto"/>
              <w:bottom w:val="single" w:sz="4" w:space="0" w:color="auto"/>
              <w:right w:val="single" w:sz="4" w:space="0" w:color="auto"/>
            </w:tcBorders>
            <w:vAlign w:val="center"/>
          </w:tcPr>
          <w:p w14:paraId="48682F6A" w14:textId="77777777" w:rsidR="003C2EEA" w:rsidRPr="008017F0" w:rsidRDefault="003C2EEA" w:rsidP="008C3712">
            <w:pPr>
              <w:spacing w:after="0" w:line="240" w:lineRule="auto"/>
              <w:jc w:val="center"/>
              <w:rPr>
                <w:sz w:val="16"/>
                <w:szCs w:val="16"/>
                <w:lang w:val="en-GB"/>
              </w:rPr>
            </w:pPr>
            <w:r w:rsidRPr="008017F0">
              <w:rPr>
                <w:sz w:val="16"/>
                <w:szCs w:val="16"/>
                <w:lang w:val="en-GB"/>
              </w:rPr>
              <w:t>0.28</w:t>
            </w:r>
          </w:p>
        </w:tc>
        <w:tc>
          <w:tcPr>
            <w:tcW w:w="850" w:type="dxa"/>
            <w:tcBorders>
              <w:top w:val="single" w:sz="4" w:space="0" w:color="auto"/>
              <w:left w:val="single" w:sz="4" w:space="0" w:color="auto"/>
              <w:bottom w:val="single" w:sz="4" w:space="0" w:color="auto"/>
              <w:right w:val="single" w:sz="4" w:space="0" w:color="auto"/>
            </w:tcBorders>
            <w:noWrap/>
            <w:vAlign w:val="center"/>
          </w:tcPr>
          <w:p w14:paraId="5FEFD75D" w14:textId="77777777" w:rsidR="003C2EEA" w:rsidRPr="008017F0" w:rsidRDefault="003C2EEA" w:rsidP="008C3712">
            <w:pPr>
              <w:spacing w:after="0" w:line="240" w:lineRule="auto"/>
              <w:jc w:val="center"/>
              <w:rPr>
                <w:sz w:val="16"/>
                <w:szCs w:val="16"/>
                <w:lang w:val="en-GB"/>
              </w:rPr>
            </w:pPr>
            <w:r w:rsidRPr="008017F0">
              <w:rPr>
                <w:sz w:val="16"/>
                <w:szCs w:val="16"/>
                <w:lang w:val="en-GB"/>
              </w:rPr>
              <w:t>0.33</w:t>
            </w:r>
          </w:p>
        </w:tc>
      </w:tr>
      <w:tr w:rsidR="003C2EEA" w:rsidRPr="008017F0" w14:paraId="784A6FD7"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D08510E"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Unit labour cost, services</w:t>
            </w:r>
          </w:p>
        </w:tc>
        <w:tc>
          <w:tcPr>
            <w:tcW w:w="1417" w:type="dxa"/>
            <w:tcBorders>
              <w:top w:val="single" w:sz="4" w:space="0" w:color="auto"/>
              <w:left w:val="single" w:sz="4" w:space="0" w:color="auto"/>
              <w:bottom w:val="single" w:sz="4" w:space="0" w:color="auto"/>
              <w:right w:val="single" w:sz="4" w:space="0" w:color="auto"/>
            </w:tcBorders>
            <w:vAlign w:val="center"/>
          </w:tcPr>
          <w:p w14:paraId="031A560A"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246369D8" w14:textId="77777777" w:rsidR="003C2EEA" w:rsidRPr="008017F0" w:rsidRDefault="003C2EEA" w:rsidP="008C3712">
            <w:pPr>
              <w:spacing w:after="0" w:line="240" w:lineRule="auto"/>
              <w:jc w:val="center"/>
              <w:rPr>
                <w:sz w:val="16"/>
                <w:szCs w:val="16"/>
                <w:lang w:val="en-GB"/>
              </w:rPr>
            </w:pPr>
            <w:r w:rsidRPr="008017F0">
              <w:rPr>
                <w:sz w:val="16"/>
                <w:szCs w:val="16"/>
                <w:lang w:val="en-GB"/>
              </w:rPr>
              <w:t>59.64</w:t>
            </w:r>
          </w:p>
        </w:tc>
        <w:tc>
          <w:tcPr>
            <w:tcW w:w="643" w:type="dxa"/>
            <w:tcBorders>
              <w:top w:val="single" w:sz="4" w:space="0" w:color="auto"/>
              <w:left w:val="single" w:sz="4" w:space="0" w:color="auto"/>
              <w:bottom w:val="single" w:sz="4" w:space="0" w:color="auto"/>
              <w:right w:val="single" w:sz="4" w:space="0" w:color="auto"/>
            </w:tcBorders>
            <w:noWrap/>
            <w:vAlign w:val="center"/>
          </w:tcPr>
          <w:p w14:paraId="14E03D65" w14:textId="77777777" w:rsidR="003C2EEA" w:rsidRPr="008017F0" w:rsidRDefault="003C2EEA" w:rsidP="008C3712">
            <w:pPr>
              <w:spacing w:after="0" w:line="240" w:lineRule="auto"/>
              <w:jc w:val="center"/>
              <w:rPr>
                <w:sz w:val="16"/>
                <w:szCs w:val="16"/>
                <w:lang w:val="en-GB"/>
              </w:rPr>
            </w:pPr>
            <w:r w:rsidRPr="008017F0">
              <w:rPr>
                <w:sz w:val="16"/>
                <w:szCs w:val="16"/>
                <w:lang w:val="en-GB"/>
              </w:rPr>
              <w:t>6.18</w:t>
            </w:r>
          </w:p>
        </w:tc>
        <w:tc>
          <w:tcPr>
            <w:tcW w:w="694" w:type="dxa"/>
            <w:tcBorders>
              <w:top w:val="single" w:sz="4" w:space="0" w:color="auto"/>
              <w:left w:val="single" w:sz="4" w:space="0" w:color="auto"/>
              <w:bottom w:val="single" w:sz="4" w:space="0" w:color="auto"/>
              <w:right w:val="single" w:sz="4" w:space="0" w:color="auto"/>
            </w:tcBorders>
            <w:vAlign w:val="center"/>
          </w:tcPr>
          <w:p w14:paraId="799FFF77" w14:textId="77777777" w:rsidR="003C2EEA" w:rsidRPr="008017F0" w:rsidRDefault="003C2EEA" w:rsidP="008C3712">
            <w:pPr>
              <w:spacing w:after="0" w:line="240" w:lineRule="auto"/>
              <w:jc w:val="center"/>
              <w:rPr>
                <w:sz w:val="16"/>
                <w:szCs w:val="16"/>
                <w:lang w:val="en-GB"/>
              </w:rPr>
            </w:pPr>
            <w:r w:rsidRPr="008017F0">
              <w:rPr>
                <w:sz w:val="16"/>
                <w:szCs w:val="16"/>
                <w:lang w:val="en-GB"/>
              </w:rPr>
              <w:t>46.37</w:t>
            </w:r>
          </w:p>
        </w:tc>
        <w:tc>
          <w:tcPr>
            <w:tcW w:w="694" w:type="dxa"/>
            <w:tcBorders>
              <w:top w:val="single" w:sz="4" w:space="0" w:color="auto"/>
              <w:left w:val="single" w:sz="4" w:space="0" w:color="auto"/>
              <w:bottom w:val="single" w:sz="4" w:space="0" w:color="auto"/>
              <w:right w:val="single" w:sz="4" w:space="0" w:color="auto"/>
            </w:tcBorders>
            <w:vAlign w:val="center"/>
          </w:tcPr>
          <w:p w14:paraId="0A1865C7" w14:textId="77777777" w:rsidR="003C2EEA" w:rsidRPr="008017F0" w:rsidRDefault="003C2EEA" w:rsidP="008C3712">
            <w:pPr>
              <w:spacing w:after="0" w:line="240" w:lineRule="auto"/>
              <w:jc w:val="center"/>
              <w:rPr>
                <w:sz w:val="16"/>
                <w:szCs w:val="16"/>
                <w:lang w:val="en-GB"/>
              </w:rPr>
            </w:pPr>
            <w:r w:rsidRPr="008017F0">
              <w:rPr>
                <w:sz w:val="16"/>
                <w:szCs w:val="16"/>
                <w:lang w:val="en-GB"/>
              </w:rPr>
              <w:t>51.67</w:t>
            </w:r>
          </w:p>
        </w:tc>
        <w:tc>
          <w:tcPr>
            <w:tcW w:w="804" w:type="dxa"/>
            <w:tcBorders>
              <w:top w:val="single" w:sz="4" w:space="0" w:color="auto"/>
              <w:left w:val="single" w:sz="4" w:space="0" w:color="auto"/>
              <w:bottom w:val="single" w:sz="4" w:space="0" w:color="auto"/>
              <w:right w:val="single" w:sz="4" w:space="0" w:color="auto"/>
            </w:tcBorders>
            <w:noWrap/>
            <w:vAlign w:val="center"/>
          </w:tcPr>
          <w:p w14:paraId="65054C59" w14:textId="77777777" w:rsidR="003C2EEA" w:rsidRPr="008017F0" w:rsidRDefault="003C2EEA" w:rsidP="008C3712">
            <w:pPr>
              <w:spacing w:after="0" w:line="240" w:lineRule="auto"/>
              <w:jc w:val="center"/>
              <w:rPr>
                <w:sz w:val="16"/>
                <w:szCs w:val="16"/>
                <w:lang w:val="en-GB"/>
              </w:rPr>
            </w:pPr>
            <w:r w:rsidRPr="008017F0">
              <w:rPr>
                <w:sz w:val="16"/>
                <w:szCs w:val="16"/>
                <w:lang w:val="en-GB"/>
              </w:rPr>
              <w:t>60.93</w:t>
            </w:r>
          </w:p>
        </w:tc>
        <w:tc>
          <w:tcPr>
            <w:tcW w:w="851" w:type="dxa"/>
            <w:tcBorders>
              <w:top w:val="single" w:sz="4" w:space="0" w:color="auto"/>
              <w:left w:val="single" w:sz="4" w:space="0" w:color="auto"/>
              <w:bottom w:val="single" w:sz="4" w:space="0" w:color="auto"/>
              <w:right w:val="single" w:sz="4" w:space="0" w:color="auto"/>
            </w:tcBorders>
            <w:vAlign w:val="center"/>
          </w:tcPr>
          <w:p w14:paraId="174ECFFF" w14:textId="77777777" w:rsidR="003C2EEA" w:rsidRPr="008017F0" w:rsidRDefault="003C2EEA" w:rsidP="008C3712">
            <w:pPr>
              <w:spacing w:after="0" w:line="240" w:lineRule="auto"/>
              <w:jc w:val="center"/>
              <w:rPr>
                <w:sz w:val="16"/>
                <w:szCs w:val="16"/>
                <w:lang w:val="en-GB"/>
              </w:rPr>
            </w:pPr>
            <w:r w:rsidRPr="008017F0">
              <w:rPr>
                <w:sz w:val="16"/>
                <w:szCs w:val="16"/>
                <w:lang w:val="en-GB"/>
              </w:rPr>
              <w:t>67.60</w:t>
            </w:r>
          </w:p>
        </w:tc>
        <w:tc>
          <w:tcPr>
            <w:tcW w:w="850" w:type="dxa"/>
            <w:tcBorders>
              <w:top w:val="single" w:sz="4" w:space="0" w:color="auto"/>
              <w:left w:val="single" w:sz="4" w:space="0" w:color="auto"/>
              <w:bottom w:val="single" w:sz="4" w:space="0" w:color="auto"/>
              <w:right w:val="single" w:sz="4" w:space="0" w:color="auto"/>
            </w:tcBorders>
            <w:noWrap/>
            <w:vAlign w:val="center"/>
          </w:tcPr>
          <w:p w14:paraId="458E1F10" w14:textId="77777777" w:rsidR="003C2EEA" w:rsidRPr="008017F0" w:rsidRDefault="003C2EEA" w:rsidP="008C3712">
            <w:pPr>
              <w:spacing w:after="0" w:line="240" w:lineRule="auto"/>
              <w:jc w:val="center"/>
              <w:rPr>
                <w:sz w:val="16"/>
                <w:szCs w:val="16"/>
                <w:lang w:val="en-GB"/>
              </w:rPr>
            </w:pPr>
            <w:r w:rsidRPr="008017F0">
              <w:rPr>
                <w:sz w:val="16"/>
                <w:szCs w:val="16"/>
                <w:lang w:val="en-GB"/>
              </w:rPr>
              <w:t>71.80</w:t>
            </w:r>
          </w:p>
        </w:tc>
      </w:tr>
      <w:tr w:rsidR="003C2EEA" w:rsidRPr="008017F0" w14:paraId="0A66E777"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AB192CD"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eastAsia="Times New Roman" w:cstheme="minorHAnsi"/>
                <w:sz w:val="16"/>
                <w:szCs w:val="16"/>
                <w:lang w:val="en-GB" w:eastAsia="it-IT"/>
              </w:rPr>
              <w:t>Female unemployment rate</w:t>
            </w:r>
          </w:p>
        </w:tc>
        <w:tc>
          <w:tcPr>
            <w:tcW w:w="1417" w:type="dxa"/>
            <w:tcBorders>
              <w:top w:val="single" w:sz="4" w:space="0" w:color="auto"/>
              <w:left w:val="single" w:sz="4" w:space="0" w:color="auto"/>
              <w:bottom w:val="single" w:sz="4" w:space="0" w:color="auto"/>
              <w:right w:val="single" w:sz="4" w:space="0" w:color="auto"/>
            </w:tcBorders>
            <w:vAlign w:val="center"/>
          </w:tcPr>
          <w:p w14:paraId="69599A83" w14:textId="77777777" w:rsidR="003C2EEA" w:rsidRPr="008017F0" w:rsidRDefault="003C2EEA" w:rsidP="008C3712">
            <w:pPr>
              <w:spacing w:after="0" w:line="240" w:lineRule="auto"/>
              <w:ind w:right="-76"/>
              <w:jc w:val="center"/>
              <w:rPr>
                <w:rFonts w:cstheme="minorHAnsi"/>
                <w:sz w:val="16"/>
                <w:szCs w:val="16"/>
                <w:lang w:val="en-GB"/>
              </w:rPr>
            </w:pPr>
            <w:r w:rsidRPr="008017F0">
              <w:rPr>
                <w:rFonts w:cstheme="minorHAnsi"/>
                <w:sz w:val="16"/>
                <w:szCs w:val="16"/>
                <w:lang w:val="en-GB"/>
              </w:rPr>
              <w:t>Istat</w:t>
            </w:r>
          </w:p>
        </w:tc>
        <w:tc>
          <w:tcPr>
            <w:tcW w:w="850" w:type="dxa"/>
            <w:tcBorders>
              <w:top w:val="single" w:sz="4" w:space="0" w:color="auto"/>
              <w:left w:val="single" w:sz="4" w:space="0" w:color="auto"/>
              <w:bottom w:val="single" w:sz="4" w:space="0" w:color="auto"/>
              <w:right w:val="single" w:sz="4" w:space="0" w:color="auto"/>
            </w:tcBorders>
            <w:noWrap/>
            <w:vAlign w:val="center"/>
          </w:tcPr>
          <w:p w14:paraId="2D897DD7" w14:textId="77777777" w:rsidR="003C2EEA" w:rsidRPr="008017F0" w:rsidRDefault="003C2EEA" w:rsidP="008C3712">
            <w:pPr>
              <w:spacing w:after="0" w:line="240" w:lineRule="auto"/>
              <w:jc w:val="center"/>
              <w:rPr>
                <w:sz w:val="16"/>
                <w:szCs w:val="16"/>
                <w:lang w:val="en-GB"/>
              </w:rPr>
            </w:pPr>
            <w:r w:rsidRPr="008017F0">
              <w:rPr>
                <w:sz w:val="16"/>
                <w:szCs w:val="16"/>
                <w:lang w:val="en-GB"/>
              </w:rPr>
              <w:t>12.65</w:t>
            </w:r>
          </w:p>
        </w:tc>
        <w:tc>
          <w:tcPr>
            <w:tcW w:w="643" w:type="dxa"/>
            <w:tcBorders>
              <w:top w:val="single" w:sz="4" w:space="0" w:color="auto"/>
              <w:left w:val="single" w:sz="4" w:space="0" w:color="auto"/>
              <w:bottom w:val="single" w:sz="4" w:space="0" w:color="auto"/>
              <w:right w:val="single" w:sz="4" w:space="0" w:color="auto"/>
            </w:tcBorders>
            <w:noWrap/>
            <w:vAlign w:val="center"/>
          </w:tcPr>
          <w:p w14:paraId="0EAD6A50" w14:textId="77777777" w:rsidR="003C2EEA" w:rsidRPr="008017F0" w:rsidRDefault="003C2EEA" w:rsidP="008C3712">
            <w:pPr>
              <w:spacing w:after="0" w:line="240" w:lineRule="auto"/>
              <w:jc w:val="center"/>
              <w:rPr>
                <w:sz w:val="16"/>
                <w:szCs w:val="16"/>
                <w:lang w:val="en-GB"/>
              </w:rPr>
            </w:pPr>
            <w:r w:rsidRPr="008017F0">
              <w:rPr>
                <w:sz w:val="16"/>
                <w:szCs w:val="16"/>
                <w:lang w:val="en-GB"/>
              </w:rPr>
              <w:t>6.67</w:t>
            </w:r>
          </w:p>
        </w:tc>
        <w:tc>
          <w:tcPr>
            <w:tcW w:w="694" w:type="dxa"/>
            <w:tcBorders>
              <w:top w:val="single" w:sz="4" w:space="0" w:color="auto"/>
              <w:left w:val="single" w:sz="4" w:space="0" w:color="auto"/>
              <w:bottom w:val="single" w:sz="4" w:space="0" w:color="auto"/>
              <w:right w:val="single" w:sz="4" w:space="0" w:color="auto"/>
            </w:tcBorders>
            <w:vAlign w:val="center"/>
          </w:tcPr>
          <w:p w14:paraId="2DD4444C" w14:textId="77777777" w:rsidR="003C2EEA" w:rsidRPr="008017F0" w:rsidRDefault="003C2EEA" w:rsidP="008C3712">
            <w:pPr>
              <w:spacing w:after="0" w:line="240" w:lineRule="auto"/>
              <w:jc w:val="center"/>
              <w:rPr>
                <w:sz w:val="16"/>
                <w:szCs w:val="16"/>
                <w:lang w:val="en-GB"/>
              </w:rPr>
            </w:pPr>
            <w:r w:rsidRPr="008017F0">
              <w:rPr>
                <w:sz w:val="16"/>
                <w:szCs w:val="16"/>
                <w:lang w:val="en-GB"/>
              </w:rPr>
              <w:t>2.59</w:t>
            </w:r>
          </w:p>
        </w:tc>
        <w:tc>
          <w:tcPr>
            <w:tcW w:w="694" w:type="dxa"/>
            <w:tcBorders>
              <w:top w:val="single" w:sz="4" w:space="0" w:color="auto"/>
              <w:left w:val="single" w:sz="4" w:space="0" w:color="auto"/>
              <w:bottom w:val="single" w:sz="4" w:space="0" w:color="auto"/>
              <w:right w:val="single" w:sz="4" w:space="0" w:color="auto"/>
            </w:tcBorders>
            <w:vAlign w:val="center"/>
          </w:tcPr>
          <w:p w14:paraId="434CEB28" w14:textId="77777777" w:rsidR="003C2EEA" w:rsidRPr="008017F0" w:rsidRDefault="003C2EEA" w:rsidP="008C3712">
            <w:pPr>
              <w:spacing w:after="0" w:line="240" w:lineRule="auto"/>
              <w:jc w:val="center"/>
              <w:rPr>
                <w:sz w:val="16"/>
                <w:szCs w:val="16"/>
                <w:lang w:val="en-GB"/>
              </w:rPr>
            </w:pPr>
            <w:r w:rsidRPr="008017F0">
              <w:rPr>
                <w:sz w:val="16"/>
                <w:szCs w:val="16"/>
                <w:lang w:val="en-GB"/>
              </w:rPr>
              <w:t>5.43</w:t>
            </w:r>
          </w:p>
        </w:tc>
        <w:tc>
          <w:tcPr>
            <w:tcW w:w="804" w:type="dxa"/>
            <w:tcBorders>
              <w:top w:val="single" w:sz="4" w:space="0" w:color="auto"/>
              <w:left w:val="single" w:sz="4" w:space="0" w:color="auto"/>
              <w:bottom w:val="single" w:sz="4" w:space="0" w:color="auto"/>
              <w:right w:val="single" w:sz="4" w:space="0" w:color="auto"/>
            </w:tcBorders>
            <w:noWrap/>
            <w:vAlign w:val="center"/>
          </w:tcPr>
          <w:p w14:paraId="78E6254F" w14:textId="77777777" w:rsidR="003C2EEA" w:rsidRPr="008017F0" w:rsidRDefault="003C2EEA" w:rsidP="008C3712">
            <w:pPr>
              <w:spacing w:after="0" w:line="240" w:lineRule="auto"/>
              <w:jc w:val="center"/>
              <w:rPr>
                <w:sz w:val="16"/>
                <w:szCs w:val="16"/>
                <w:lang w:val="en-GB"/>
              </w:rPr>
            </w:pPr>
            <w:r w:rsidRPr="008017F0">
              <w:rPr>
                <w:sz w:val="16"/>
                <w:szCs w:val="16"/>
                <w:lang w:val="en-GB"/>
              </w:rPr>
              <w:t>11.20</w:t>
            </w:r>
          </w:p>
        </w:tc>
        <w:tc>
          <w:tcPr>
            <w:tcW w:w="851" w:type="dxa"/>
            <w:tcBorders>
              <w:top w:val="single" w:sz="4" w:space="0" w:color="auto"/>
              <w:left w:val="single" w:sz="4" w:space="0" w:color="auto"/>
              <w:bottom w:val="single" w:sz="4" w:space="0" w:color="auto"/>
              <w:right w:val="single" w:sz="4" w:space="0" w:color="auto"/>
            </w:tcBorders>
            <w:vAlign w:val="center"/>
          </w:tcPr>
          <w:p w14:paraId="3032485A" w14:textId="77777777" w:rsidR="003C2EEA" w:rsidRPr="008017F0" w:rsidRDefault="003C2EEA" w:rsidP="008C3712">
            <w:pPr>
              <w:spacing w:after="0" w:line="240" w:lineRule="auto"/>
              <w:jc w:val="center"/>
              <w:rPr>
                <w:sz w:val="16"/>
                <w:szCs w:val="16"/>
                <w:lang w:val="en-GB"/>
              </w:rPr>
            </w:pPr>
            <w:r w:rsidRPr="008017F0">
              <w:rPr>
                <w:sz w:val="16"/>
                <w:szCs w:val="16"/>
                <w:lang w:val="en-GB"/>
              </w:rPr>
              <w:t>22.69</w:t>
            </w:r>
          </w:p>
        </w:tc>
        <w:tc>
          <w:tcPr>
            <w:tcW w:w="850" w:type="dxa"/>
            <w:tcBorders>
              <w:top w:val="single" w:sz="4" w:space="0" w:color="auto"/>
              <w:left w:val="single" w:sz="4" w:space="0" w:color="auto"/>
              <w:bottom w:val="single" w:sz="4" w:space="0" w:color="auto"/>
              <w:right w:val="single" w:sz="4" w:space="0" w:color="auto"/>
            </w:tcBorders>
            <w:noWrap/>
            <w:vAlign w:val="center"/>
          </w:tcPr>
          <w:p w14:paraId="140E79E4" w14:textId="77777777" w:rsidR="003C2EEA" w:rsidRPr="008017F0" w:rsidRDefault="003C2EEA" w:rsidP="008C3712">
            <w:pPr>
              <w:spacing w:after="0" w:line="240" w:lineRule="auto"/>
              <w:jc w:val="center"/>
              <w:rPr>
                <w:sz w:val="16"/>
                <w:szCs w:val="16"/>
                <w:lang w:val="en-GB"/>
              </w:rPr>
            </w:pPr>
            <w:r w:rsidRPr="008017F0">
              <w:rPr>
                <w:sz w:val="16"/>
                <w:szCs w:val="16"/>
                <w:lang w:val="en-GB"/>
              </w:rPr>
              <w:t>34.21</w:t>
            </w:r>
          </w:p>
        </w:tc>
      </w:tr>
      <w:tr w:rsidR="003C2EEA" w:rsidRPr="008017F0" w14:paraId="4C768CD4"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8CA6639"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Human capital</w:t>
            </w:r>
          </w:p>
        </w:tc>
        <w:tc>
          <w:tcPr>
            <w:tcW w:w="1417" w:type="dxa"/>
            <w:tcBorders>
              <w:top w:val="single" w:sz="4" w:space="0" w:color="auto"/>
              <w:left w:val="single" w:sz="4" w:space="0" w:color="auto"/>
              <w:bottom w:val="single" w:sz="4" w:space="0" w:color="auto"/>
              <w:right w:val="single" w:sz="4" w:space="0" w:color="auto"/>
            </w:tcBorders>
            <w:vAlign w:val="center"/>
          </w:tcPr>
          <w:p w14:paraId="77C04FB4" w14:textId="77777777" w:rsidR="003C2EEA" w:rsidRPr="008017F0" w:rsidRDefault="003C2EEA" w:rsidP="008C3712">
            <w:pPr>
              <w:spacing w:after="0" w:line="240" w:lineRule="auto"/>
              <w:ind w:right="-76"/>
              <w:jc w:val="center"/>
              <w:rPr>
                <w:rFonts w:cstheme="minorHAnsi"/>
                <w:sz w:val="16"/>
                <w:szCs w:val="16"/>
                <w:lang w:val="en-GB"/>
              </w:rPr>
            </w:pPr>
            <w:r w:rsidRPr="008017F0">
              <w:rPr>
                <w:rFonts w:cstheme="minorHAnsi"/>
                <w:sz w:val="16"/>
                <w:szCs w:val="16"/>
                <w:lang w:val="en-GB"/>
              </w:rPr>
              <w:t>Own elaboration on Istat</w:t>
            </w:r>
          </w:p>
        </w:tc>
        <w:tc>
          <w:tcPr>
            <w:tcW w:w="850" w:type="dxa"/>
            <w:tcBorders>
              <w:top w:val="single" w:sz="4" w:space="0" w:color="auto"/>
              <w:left w:val="single" w:sz="4" w:space="0" w:color="auto"/>
              <w:bottom w:val="single" w:sz="4" w:space="0" w:color="auto"/>
              <w:right w:val="single" w:sz="4" w:space="0" w:color="auto"/>
            </w:tcBorders>
            <w:noWrap/>
            <w:vAlign w:val="center"/>
          </w:tcPr>
          <w:p w14:paraId="27BE92AB" w14:textId="77777777" w:rsidR="003C2EEA" w:rsidRPr="008017F0" w:rsidRDefault="003C2EEA" w:rsidP="008C3712">
            <w:pPr>
              <w:spacing w:after="0" w:line="240" w:lineRule="auto"/>
              <w:jc w:val="center"/>
              <w:rPr>
                <w:sz w:val="16"/>
                <w:szCs w:val="16"/>
                <w:lang w:val="en-GB"/>
              </w:rPr>
            </w:pPr>
            <w:r w:rsidRPr="008017F0">
              <w:rPr>
                <w:sz w:val="16"/>
                <w:szCs w:val="16"/>
                <w:lang w:val="en-GB"/>
              </w:rPr>
              <w:t>11.59</w:t>
            </w:r>
          </w:p>
        </w:tc>
        <w:tc>
          <w:tcPr>
            <w:tcW w:w="643" w:type="dxa"/>
            <w:tcBorders>
              <w:top w:val="single" w:sz="4" w:space="0" w:color="auto"/>
              <w:left w:val="single" w:sz="4" w:space="0" w:color="auto"/>
              <w:bottom w:val="single" w:sz="4" w:space="0" w:color="auto"/>
              <w:right w:val="single" w:sz="4" w:space="0" w:color="auto"/>
            </w:tcBorders>
            <w:noWrap/>
            <w:vAlign w:val="center"/>
          </w:tcPr>
          <w:p w14:paraId="550D81B6" w14:textId="77777777" w:rsidR="003C2EEA" w:rsidRPr="008017F0" w:rsidRDefault="003C2EEA" w:rsidP="008C3712">
            <w:pPr>
              <w:spacing w:after="0" w:line="240" w:lineRule="auto"/>
              <w:jc w:val="center"/>
              <w:rPr>
                <w:sz w:val="16"/>
                <w:szCs w:val="16"/>
                <w:lang w:val="en-GB"/>
              </w:rPr>
            </w:pPr>
            <w:r w:rsidRPr="008017F0">
              <w:rPr>
                <w:sz w:val="16"/>
                <w:szCs w:val="16"/>
                <w:lang w:val="en-GB"/>
              </w:rPr>
              <w:t>0.93</w:t>
            </w:r>
          </w:p>
        </w:tc>
        <w:tc>
          <w:tcPr>
            <w:tcW w:w="694" w:type="dxa"/>
            <w:tcBorders>
              <w:top w:val="single" w:sz="4" w:space="0" w:color="auto"/>
              <w:left w:val="single" w:sz="4" w:space="0" w:color="auto"/>
              <w:bottom w:val="single" w:sz="4" w:space="0" w:color="auto"/>
              <w:right w:val="single" w:sz="4" w:space="0" w:color="auto"/>
            </w:tcBorders>
            <w:vAlign w:val="center"/>
          </w:tcPr>
          <w:p w14:paraId="023609EC" w14:textId="77777777" w:rsidR="003C2EEA" w:rsidRPr="008017F0" w:rsidRDefault="003C2EEA" w:rsidP="008C3712">
            <w:pPr>
              <w:spacing w:after="0" w:line="240" w:lineRule="auto"/>
              <w:jc w:val="center"/>
              <w:rPr>
                <w:sz w:val="16"/>
                <w:szCs w:val="16"/>
                <w:lang w:val="en-GB"/>
              </w:rPr>
            </w:pPr>
            <w:r w:rsidRPr="008017F0">
              <w:rPr>
                <w:sz w:val="16"/>
                <w:szCs w:val="16"/>
                <w:lang w:val="en-GB"/>
              </w:rPr>
              <w:t>9.41</w:t>
            </w:r>
          </w:p>
        </w:tc>
        <w:tc>
          <w:tcPr>
            <w:tcW w:w="694" w:type="dxa"/>
            <w:tcBorders>
              <w:top w:val="single" w:sz="4" w:space="0" w:color="auto"/>
              <w:left w:val="single" w:sz="4" w:space="0" w:color="auto"/>
              <w:bottom w:val="single" w:sz="4" w:space="0" w:color="auto"/>
              <w:right w:val="single" w:sz="4" w:space="0" w:color="auto"/>
            </w:tcBorders>
            <w:vAlign w:val="center"/>
          </w:tcPr>
          <w:p w14:paraId="6E275E4D" w14:textId="77777777" w:rsidR="003C2EEA" w:rsidRPr="008017F0" w:rsidRDefault="003C2EEA" w:rsidP="008C3712">
            <w:pPr>
              <w:spacing w:after="0" w:line="240" w:lineRule="auto"/>
              <w:jc w:val="center"/>
              <w:rPr>
                <w:sz w:val="16"/>
                <w:szCs w:val="16"/>
                <w:lang w:val="en-GB"/>
              </w:rPr>
            </w:pPr>
            <w:r w:rsidRPr="008017F0">
              <w:rPr>
                <w:sz w:val="16"/>
                <w:szCs w:val="16"/>
                <w:lang w:val="en-GB"/>
              </w:rPr>
              <w:t>10.24</w:t>
            </w:r>
          </w:p>
        </w:tc>
        <w:tc>
          <w:tcPr>
            <w:tcW w:w="804" w:type="dxa"/>
            <w:tcBorders>
              <w:top w:val="single" w:sz="4" w:space="0" w:color="auto"/>
              <w:left w:val="single" w:sz="4" w:space="0" w:color="auto"/>
              <w:bottom w:val="single" w:sz="4" w:space="0" w:color="auto"/>
              <w:right w:val="single" w:sz="4" w:space="0" w:color="auto"/>
            </w:tcBorders>
            <w:noWrap/>
            <w:vAlign w:val="center"/>
          </w:tcPr>
          <w:p w14:paraId="77599952" w14:textId="77777777" w:rsidR="003C2EEA" w:rsidRPr="008017F0" w:rsidRDefault="003C2EEA" w:rsidP="008C3712">
            <w:pPr>
              <w:spacing w:after="0" w:line="240" w:lineRule="auto"/>
              <w:jc w:val="center"/>
              <w:rPr>
                <w:sz w:val="16"/>
                <w:szCs w:val="16"/>
                <w:lang w:val="en-GB"/>
              </w:rPr>
            </w:pPr>
            <w:r w:rsidRPr="008017F0">
              <w:rPr>
                <w:sz w:val="16"/>
                <w:szCs w:val="16"/>
                <w:lang w:val="en-GB"/>
              </w:rPr>
              <w:t>11.70</w:t>
            </w:r>
          </w:p>
        </w:tc>
        <w:tc>
          <w:tcPr>
            <w:tcW w:w="851" w:type="dxa"/>
            <w:tcBorders>
              <w:top w:val="single" w:sz="4" w:space="0" w:color="auto"/>
              <w:left w:val="single" w:sz="4" w:space="0" w:color="auto"/>
              <w:bottom w:val="single" w:sz="4" w:space="0" w:color="auto"/>
              <w:right w:val="single" w:sz="4" w:space="0" w:color="auto"/>
            </w:tcBorders>
            <w:vAlign w:val="center"/>
          </w:tcPr>
          <w:p w14:paraId="435BDE8B" w14:textId="77777777" w:rsidR="003C2EEA" w:rsidRPr="008017F0" w:rsidRDefault="003C2EEA" w:rsidP="008C3712">
            <w:pPr>
              <w:spacing w:after="0" w:line="240" w:lineRule="auto"/>
              <w:jc w:val="center"/>
              <w:rPr>
                <w:sz w:val="16"/>
                <w:szCs w:val="16"/>
                <w:lang w:val="en-GB"/>
              </w:rPr>
            </w:pPr>
            <w:r w:rsidRPr="008017F0">
              <w:rPr>
                <w:sz w:val="16"/>
                <w:szCs w:val="16"/>
                <w:lang w:val="en-GB"/>
              </w:rPr>
              <w:t>12.72</w:t>
            </w:r>
          </w:p>
        </w:tc>
        <w:tc>
          <w:tcPr>
            <w:tcW w:w="850" w:type="dxa"/>
            <w:tcBorders>
              <w:top w:val="single" w:sz="4" w:space="0" w:color="auto"/>
              <w:left w:val="single" w:sz="4" w:space="0" w:color="auto"/>
              <w:bottom w:val="single" w:sz="4" w:space="0" w:color="auto"/>
              <w:right w:val="single" w:sz="4" w:space="0" w:color="auto"/>
            </w:tcBorders>
            <w:noWrap/>
            <w:vAlign w:val="center"/>
          </w:tcPr>
          <w:p w14:paraId="367548CC" w14:textId="77777777" w:rsidR="003C2EEA" w:rsidRPr="008017F0" w:rsidRDefault="003C2EEA" w:rsidP="008C3712">
            <w:pPr>
              <w:spacing w:after="0" w:line="240" w:lineRule="auto"/>
              <w:jc w:val="center"/>
              <w:rPr>
                <w:sz w:val="16"/>
                <w:szCs w:val="16"/>
                <w:lang w:val="en-GB"/>
              </w:rPr>
            </w:pPr>
            <w:r w:rsidRPr="008017F0">
              <w:rPr>
                <w:sz w:val="16"/>
                <w:szCs w:val="16"/>
                <w:lang w:val="en-GB"/>
              </w:rPr>
              <w:t>13.64</w:t>
            </w:r>
          </w:p>
        </w:tc>
      </w:tr>
      <w:tr w:rsidR="003C2EEA" w:rsidRPr="008017F0" w14:paraId="5F0EF4D7"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B058F3B"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Patents per capita</w:t>
            </w:r>
          </w:p>
        </w:tc>
        <w:tc>
          <w:tcPr>
            <w:tcW w:w="1417" w:type="dxa"/>
            <w:tcBorders>
              <w:top w:val="single" w:sz="4" w:space="0" w:color="auto"/>
              <w:left w:val="single" w:sz="4" w:space="0" w:color="auto"/>
              <w:bottom w:val="single" w:sz="4" w:space="0" w:color="auto"/>
              <w:right w:val="single" w:sz="4" w:space="0" w:color="auto"/>
            </w:tcBorders>
            <w:vAlign w:val="center"/>
          </w:tcPr>
          <w:p w14:paraId="1F54D20E" w14:textId="77777777" w:rsidR="003C2EEA" w:rsidRPr="008017F0" w:rsidRDefault="003C2EEA" w:rsidP="008C3712">
            <w:pPr>
              <w:spacing w:after="0" w:line="240" w:lineRule="auto"/>
              <w:ind w:right="-76"/>
              <w:jc w:val="center"/>
              <w:rPr>
                <w:rFonts w:cstheme="minorHAnsi"/>
                <w:sz w:val="16"/>
                <w:szCs w:val="16"/>
                <w:lang w:val="en-GB"/>
              </w:rPr>
            </w:pPr>
            <w:r w:rsidRPr="008017F0">
              <w:rPr>
                <w:rFonts w:cstheme="minorHAnsi"/>
                <w:sz w:val="16"/>
                <w:szCs w:val="16"/>
                <w:lang w:val="en-GB"/>
              </w:rPr>
              <w:t>OECD, Istat</w:t>
            </w:r>
          </w:p>
        </w:tc>
        <w:tc>
          <w:tcPr>
            <w:tcW w:w="850" w:type="dxa"/>
            <w:tcBorders>
              <w:top w:val="single" w:sz="4" w:space="0" w:color="auto"/>
              <w:left w:val="single" w:sz="4" w:space="0" w:color="auto"/>
              <w:bottom w:val="single" w:sz="4" w:space="0" w:color="auto"/>
              <w:right w:val="single" w:sz="4" w:space="0" w:color="auto"/>
            </w:tcBorders>
            <w:noWrap/>
            <w:vAlign w:val="center"/>
          </w:tcPr>
          <w:p w14:paraId="140B343C" w14:textId="77777777" w:rsidR="003C2EEA" w:rsidRPr="008017F0" w:rsidRDefault="003C2EEA" w:rsidP="008C3712">
            <w:pPr>
              <w:spacing w:after="0" w:line="240" w:lineRule="auto"/>
              <w:jc w:val="center"/>
              <w:rPr>
                <w:sz w:val="16"/>
                <w:szCs w:val="16"/>
                <w:lang w:val="en-GB"/>
              </w:rPr>
            </w:pPr>
            <w:r w:rsidRPr="008017F0">
              <w:rPr>
                <w:sz w:val="16"/>
                <w:szCs w:val="16"/>
                <w:lang w:val="en-GB"/>
              </w:rPr>
              <w:t>0.037</w:t>
            </w:r>
          </w:p>
        </w:tc>
        <w:tc>
          <w:tcPr>
            <w:tcW w:w="643" w:type="dxa"/>
            <w:tcBorders>
              <w:top w:val="single" w:sz="4" w:space="0" w:color="auto"/>
              <w:left w:val="single" w:sz="4" w:space="0" w:color="auto"/>
              <w:bottom w:val="single" w:sz="4" w:space="0" w:color="auto"/>
              <w:right w:val="single" w:sz="4" w:space="0" w:color="auto"/>
            </w:tcBorders>
            <w:noWrap/>
            <w:vAlign w:val="center"/>
          </w:tcPr>
          <w:p w14:paraId="0CDFB0C6" w14:textId="77777777" w:rsidR="003C2EEA" w:rsidRPr="008017F0" w:rsidRDefault="003C2EEA" w:rsidP="008C3712">
            <w:pPr>
              <w:spacing w:after="0" w:line="240" w:lineRule="auto"/>
              <w:jc w:val="center"/>
              <w:rPr>
                <w:sz w:val="16"/>
                <w:szCs w:val="16"/>
                <w:lang w:val="en-GB"/>
              </w:rPr>
            </w:pPr>
            <w:r w:rsidRPr="008017F0">
              <w:rPr>
                <w:sz w:val="16"/>
                <w:szCs w:val="16"/>
                <w:lang w:val="en-GB"/>
              </w:rPr>
              <w:t>0.034</w:t>
            </w:r>
          </w:p>
        </w:tc>
        <w:tc>
          <w:tcPr>
            <w:tcW w:w="694" w:type="dxa"/>
            <w:tcBorders>
              <w:top w:val="single" w:sz="4" w:space="0" w:color="auto"/>
              <w:left w:val="single" w:sz="4" w:space="0" w:color="auto"/>
              <w:bottom w:val="single" w:sz="4" w:space="0" w:color="auto"/>
              <w:right w:val="single" w:sz="4" w:space="0" w:color="auto"/>
            </w:tcBorders>
            <w:vAlign w:val="center"/>
          </w:tcPr>
          <w:p w14:paraId="7C8D60A3" w14:textId="77777777" w:rsidR="003C2EEA" w:rsidRPr="008017F0" w:rsidRDefault="003C2EEA" w:rsidP="008C3712">
            <w:pPr>
              <w:spacing w:after="0" w:line="240" w:lineRule="auto"/>
              <w:jc w:val="center"/>
              <w:rPr>
                <w:sz w:val="16"/>
                <w:szCs w:val="16"/>
                <w:lang w:val="en-GB"/>
              </w:rPr>
            </w:pPr>
            <w:r w:rsidRPr="008017F0">
              <w:rPr>
                <w:sz w:val="16"/>
                <w:szCs w:val="16"/>
                <w:lang w:val="en-GB"/>
              </w:rPr>
              <w:t>0.000</w:t>
            </w:r>
          </w:p>
        </w:tc>
        <w:tc>
          <w:tcPr>
            <w:tcW w:w="694" w:type="dxa"/>
            <w:tcBorders>
              <w:top w:val="single" w:sz="4" w:space="0" w:color="auto"/>
              <w:left w:val="single" w:sz="4" w:space="0" w:color="auto"/>
              <w:bottom w:val="single" w:sz="4" w:space="0" w:color="auto"/>
              <w:right w:val="single" w:sz="4" w:space="0" w:color="auto"/>
            </w:tcBorders>
            <w:vAlign w:val="center"/>
          </w:tcPr>
          <w:p w14:paraId="56C13CB5" w14:textId="77777777" w:rsidR="003C2EEA" w:rsidRPr="008017F0" w:rsidRDefault="003C2EEA" w:rsidP="008C3712">
            <w:pPr>
              <w:spacing w:after="0" w:line="240" w:lineRule="auto"/>
              <w:jc w:val="center"/>
              <w:rPr>
                <w:sz w:val="16"/>
                <w:szCs w:val="16"/>
                <w:lang w:val="en-GB"/>
              </w:rPr>
            </w:pPr>
            <w:r w:rsidRPr="008017F0">
              <w:rPr>
                <w:sz w:val="16"/>
                <w:szCs w:val="16"/>
                <w:lang w:val="en-GB"/>
              </w:rPr>
              <w:t>0.004</w:t>
            </w:r>
          </w:p>
        </w:tc>
        <w:tc>
          <w:tcPr>
            <w:tcW w:w="804" w:type="dxa"/>
            <w:tcBorders>
              <w:top w:val="single" w:sz="4" w:space="0" w:color="auto"/>
              <w:left w:val="single" w:sz="4" w:space="0" w:color="auto"/>
              <w:bottom w:val="single" w:sz="4" w:space="0" w:color="auto"/>
              <w:right w:val="single" w:sz="4" w:space="0" w:color="auto"/>
            </w:tcBorders>
            <w:noWrap/>
            <w:vAlign w:val="center"/>
          </w:tcPr>
          <w:p w14:paraId="4E42D062" w14:textId="77777777" w:rsidR="003C2EEA" w:rsidRPr="008017F0" w:rsidRDefault="003C2EEA" w:rsidP="008C3712">
            <w:pPr>
              <w:spacing w:after="0" w:line="240" w:lineRule="auto"/>
              <w:jc w:val="center"/>
              <w:rPr>
                <w:sz w:val="16"/>
                <w:szCs w:val="16"/>
                <w:lang w:val="en-GB"/>
              </w:rPr>
            </w:pPr>
            <w:r w:rsidRPr="008017F0">
              <w:rPr>
                <w:sz w:val="16"/>
                <w:szCs w:val="16"/>
                <w:lang w:val="en-GB"/>
              </w:rPr>
              <w:t>0.027</w:t>
            </w:r>
          </w:p>
        </w:tc>
        <w:tc>
          <w:tcPr>
            <w:tcW w:w="851" w:type="dxa"/>
            <w:tcBorders>
              <w:top w:val="single" w:sz="4" w:space="0" w:color="auto"/>
              <w:left w:val="single" w:sz="4" w:space="0" w:color="auto"/>
              <w:bottom w:val="single" w:sz="4" w:space="0" w:color="auto"/>
              <w:right w:val="single" w:sz="4" w:space="0" w:color="auto"/>
            </w:tcBorders>
            <w:vAlign w:val="center"/>
          </w:tcPr>
          <w:p w14:paraId="74411744" w14:textId="77777777" w:rsidR="003C2EEA" w:rsidRPr="008017F0" w:rsidRDefault="003C2EEA" w:rsidP="008C3712">
            <w:pPr>
              <w:spacing w:after="0" w:line="240" w:lineRule="auto"/>
              <w:jc w:val="center"/>
              <w:rPr>
                <w:sz w:val="16"/>
                <w:szCs w:val="16"/>
                <w:lang w:val="en-GB"/>
              </w:rPr>
            </w:pPr>
            <w:r w:rsidRPr="008017F0">
              <w:rPr>
                <w:sz w:val="16"/>
                <w:szCs w:val="16"/>
                <w:lang w:val="en-GB"/>
              </w:rPr>
              <w:t>0.088</w:t>
            </w:r>
          </w:p>
        </w:tc>
        <w:tc>
          <w:tcPr>
            <w:tcW w:w="850" w:type="dxa"/>
            <w:tcBorders>
              <w:top w:val="single" w:sz="4" w:space="0" w:color="auto"/>
              <w:left w:val="single" w:sz="4" w:space="0" w:color="auto"/>
              <w:bottom w:val="single" w:sz="4" w:space="0" w:color="auto"/>
              <w:right w:val="single" w:sz="4" w:space="0" w:color="auto"/>
            </w:tcBorders>
            <w:noWrap/>
            <w:vAlign w:val="center"/>
          </w:tcPr>
          <w:p w14:paraId="0026797A" w14:textId="77777777" w:rsidR="003C2EEA" w:rsidRPr="008017F0" w:rsidRDefault="003C2EEA" w:rsidP="008C3712">
            <w:pPr>
              <w:spacing w:after="0" w:line="240" w:lineRule="auto"/>
              <w:jc w:val="center"/>
              <w:rPr>
                <w:sz w:val="16"/>
                <w:szCs w:val="16"/>
                <w:lang w:val="en-GB"/>
              </w:rPr>
            </w:pPr>
            <w:r w:rsidRPr="008017F0">
              <w:rPr>
                <w:sz w:val="16"/>
                <w:szCs w:val="16"/>
                <w:lang w:val="en-GB"/>
              </w:rPr>
              <w:t>0.156</w:t>
            </w:r>
          </w:p>
        </w:tc>
      </w:tr>
      <w:tr w:rsidR="003C2EEA" w:rsidRPr="008017F0" w14:paraId="5FF9B1E4"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BD3CCCC"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Employment, Agriculture (000’s)</w:t>
            </w:r>
          </w:p>
        </w:tc>
        <w:tc>
          <w:tcPr>
            <w:tcW w:w="1417" w:type="dxa"/>
            <w:tcBorders>
              <w:top w:val="single" w:sz="4" w:space="0" w:color="auto"/>
              <w:left w:val="single" w:sz="4" w:space="0" w:color="auto"/>
              <w:bottom w:val="single" w:sz="4" w:space="0" w:color="auto"/>
              <w:right w:val="single" w:sz="4" w:space="0" w:color="auto"/>
            </w:tcBorders>
            <w:vAlign w:val="center"/>
          </w:tcPr>
          <w:p w14:paraId="67649D87"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19FC21B5" w14:textId="77777777" w:rsidR="003C2EEA" w:rsidRPr="008017F0" w:rsidRDefault="003C2EEA" w:rsidP="008C3712">
            <w:pPr>
              <w:spacing w:after="0" w:line="240" w:lineRule="auto"/>
              <w:jc w:val="center"/>
              <w:rPr>
                <w:sz w:val="16"/>
                <w:szCs w:val="16"/>
                <w:lang w:val="en-GB"/>
              </w:rPr>
            </w:pPr>
            <w:r w:rsidRPr="008017F0">
              <w:rPr>
                <w:sz w:val="16"/>
                <w:szCs w:val="16"/>
                <w:lang w:val="en-GB"/>
              </w:rPr>
              <w:t>51.63</w:t>
            </w:r>
          </w:p>
        </w:tc>
        <w:tc>
          <w:tcPr>
            <w:tcW w:w="643" w:type="dxa"/>
            <w:tcBorders>
              <w:top w:val="single" w:sz="4" w:space="0" w:color="auto"/>
              <w:left w:val="single" w:sz="4" w:space="0" w:color="auto"/>
              <w:bottom w:val="single" w:sz="4" w:space="0" w:color="auto"/>
              <w:right w:val="single" w:sz="4" w:space="0" w:color="auto"/>
            </w:tcBorders>
            <w:noWrap/>
            <w:vAlign w:val="center"/>
          </w:tcPr>
          <w:p w14:paraId="78A5D22D" w14:textId="77777777" w:rsidR="003C2EEA" w:rsidRPr="008017F0" w:rsidRDefault="003C2EEA" w:rsidP="008C3712">
            <w:pPr>
              <w:spacing w:after="0" w:line="240" w:lineRule="auto"/>
              <w:jc w:val="center"/>
              <w:rPr>
                <w:sz w:val="16"/>
                <w:szCs w:val="16"/>
                <w:lang w:val="en-GB"/>
              </w:rPr>
            </w:pPr>
            <w:r w:rsidRPr="008017F0">
              <w:rPr>
                <w:sz w:val="16"/>
                <w:szCs w:val="16"/>
                <w:lang w:val="en-GB"/>
              </w:rPr>
              <w:t>41.41</w:t>
            </w:r>
          </w:p>
        </w:tc>
        <w:tc>
          <w:tcPr>
            <w:tcW w:w="694" w:type="dxa"/>
            <w:tcBorders>
              <w:top w:val="single" w:sz="4" w:space="0" w:color="auto"/>
              <w:left w:val="single" w:sz="4" w:space="0" w:color="auto"/>
              <w:bottom w:val="single" w:sz="4" w:space="0" w:color="auto"/>
              <w:right w:val="single" w:sz="4" w:space="0" w:color="auto"/>
            </w:tcBorders>
            <w:vAlign w:val="center"/>
          </w:tcPr>
          <w:p w14:paraId="0C7CF5BF" w14:textId="77777777" w:rsidR="003C2EEA" w:rsidRPr="008017F0" w:rsidRDefault="003C2EEA" w:rsidP="008C3712">
            <w:pPr>
              <w:spacing w:after="0" w:line="240" w:lineRule="auto"/>
              <w:jc w:val="center"/>
              <w:rPr>
                <w:sz w:val="16"/>
                <w:szCs w:val="16"/>
                <w:lang w:val="en-GB"/>
              </w:rPr>
            </w:pPr>
            <w:r w:rsidRPr="008017F0">
              <w:rPr>
                <w:sz w:val="16"/>
                <w:szCs w:val="16"/>
                <w:lang w:val="en-GB"/>
              </w:rPr>
              <w:t>2.00</w:t>
            </w:r>
          </w:p>
        </w:tc>
        <w:tc>
          <w:tcPr>
            <w:tcW w:w="694" w:type="dxa"/>
            <w:tcBorders>
              <w:top w:val="single" w:sz="4" w:space="0" w:color="auto"/>
              <w:left w:val="single" w:sz="4" w:space="0" w:color="auto"/>
              <w:bottom w:val="single" w:sz="4" w:space="0" w:color="auto"/>
              <w:right w:val="single" w:sz="4" w:space="0" w:color="auto"/>
            </w:tcBorders>
            <w:vAlign w:val="center"/>
          </w:tcPr>
          <w:p w14:paraId="30EC5B5B" w14:textId="77777777" w:rsidR="003C2EEA" w:rsidRPr="008017F0" w:rsidRDefault="003C2EEA" w:rsidP="008C3712">
            <w:pPr>
              <w:spacing w:after="0" w:line="240" w:lineRule="auto"/>
              <w:jc w:val="center"/>
              <w:rPr>
                <w:sz w:val="16"/>
                <w:szCs w:val="16"/>
                <w:lang w:val="en-GB"/>
              </w:rPr>
            </w:pPr>
            <w:r w:rsidRPr="008017F0">
              <w:rPr>
                <w:sz w:val="16"/>
                <w:szCs w:val="16"/>
                <w:lang w:val="en-GB"/>
              </w:rPr>
              <w:t>11.00</w:t>
            </w:r>
          </w:p>
        </w:tc>
        <w:tc>
          <w:tcPr>
            <w:tcW w:w="804" w:type="dxa"/>
            <w:tcBorders>
              <w:top w:val="single" w:sz="4" w:space="0" w:color="auto"/>
              <w:left w:val="single" w:sz="4" w:space="0" w:color="auto"/>
              <w:bottom w:val="single" w:sz="4" w:space="0" w:color="auto"/>
              <w:right w:val="single" w:sz="4" w:space="0" w:color="auto"/>
            </w:tcBorders>
            <w:noWrap/>
            <w:vAlign w:val="center"/>
          </w:tcPr>
          <w:p w14:paraId="76798A05" w14:textId="77777777" w:rsidR="003C2EEA" w:rsidRPr="008017F0" w:rsidRDefault="003C2EEA" w:rsidP="008C3712">
            <w:pPr>
              <w:spacing w:after="0" w:line="240" w:lineRule="auto"/>
              <w:jc w:val="center"/>
              <w:rPr>
                <w:sz w:val="16"/>
                <w:szCs w:val="16"/>
                <w:lang w:val="en-GB"/>
              </w:rPr>
            </w:pPr>
            <w:r w:rsidRPr="008017F0">
              <w:rPr>
                <w:sz w:val="16"/>
                <w:szCs w:val="16"/>
                <w:lang w:val="en-GB"/>
              </w:rPr>
              <w:t>42.15</w:t>
            </w:r>
          </w:p>
        </w:tc>
        <w:tc>
          <w:tcPr>
            <w:tcW w:w="851" w:type="dxa"/>
            <w:tcBorders>
              <w:top w:val="single" w:sz="4" w:space="0" w:color="auto"/>
              <w:left w:val="single" w:sz="4" w:space="0" w:color="auto"/>
              <w:bottom w:val="single" w:sz="4" w:space="0" w:color="auto"/>
              <w:right w:val="single" w:sz="4" w:space="0" w:color="auto"/>
            </w:tcBorders>
            <w:vAlign w:val="center"/>
          </w:tcPr>
          <w:p w14:paraId="2FB0EB76" w14:textId="77777777" w:rsidR="003C2EEA" w:rsidRPr="008017F0" w:rsidRDefault="003C2EEA" w:rsidP="008C3712">
            <w:pPr>
              <w:spacing w:after="0" w:line="240" w:lineRule="auto"/>
              <w:jc w:val="center"/>
              <w:rPr>
                <w:sz w:val="16"/>
                <w:szCs w:val="16"/>
                <w:lang w:val="en-GB"/>
              </w:rPr>
            </w:pPr>
            <w:r w:rsidRPr="008017F0">
              <w:rPr>
                <w:sz w:val="16"/>
                <w:szCs w:val="16"/>
                <w:lang w:val="en-GB"/>
              </w:rPr>
              <w:t>121.50</w:t>
            </w:r>
          </w:p>
        </w:tc>
        <w:tc>
          <w:tcPr>
            <w:tcW w:w="850" w:type="dxa"/>
            <w:tcBorders>
              <w:top w:val="single" w:sz="4" w:space="0" w:color="auto"/>
              <w:left w:val="single" w:sz="4" w:space="0" w:color="auto"/>
              <w:bottom w:val="single" w:sz="4" w:space="0" w:color="auto"/>
              <w:right w:val="single" w:sz="4" w:space="0" w:color="auto"/>
            </w:tcBorders>
            <w:noWrap/>
            <w:vAlign w:val="center"/>
          </w:tcPr>
          <w:p w14:paraId="3145DB45" w14:textId="77777777" w:rsidR="003C2EEA" w:rsidRPr="008017F0" w:rsidRDefault="003C2EEA" w:rsidP="008C3712">
            <w:pPr>
              <w:spacing w:after="0" w:line="240" w:lineRule="auto"/>
              <w:jc w:val="center"/>
              <w:rPr>
                <w:sz w:val="16"/>
                <w:szCs w:val="16"/>
                <w:lang w:val="en-GB"/>
              </w:rPr>
            </w:pPr>
            <w:r w:rsidRPr="008017F0">
              <w:rPr>
                <w:sz w:val="16"/>
                <w:szCs w:val="16"/>
                <w:lang w:val="en-GB"/>
              </w:rPr>
              <w:t>197.48</w:t>
            </w:r>
          </w:p>
        </w:tc>
      </w:tr>
      <w:tr w:rsidR="003C2EEA" w:rsidRPr="008017F0" w14:paraId="727A34D7" w14:textId="77777777" w:rsidTr="008C3712">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92A7124" w14:textId="77777777" w:rsidR="003C2EEA" w:rsidRPr="008017F0" w:rsidRDefault="003C2EEA" w:rsidP="008C3712">
            <w:pPr>
              <w:spacing w:after="0" w:line="240" w:lineRule="auto"/>
              <w:ind w:right="-65"/>
              <w:jc w:val="center"/>
              <w:rPr>
                <w:rFonts w:eastAsia="Times New Roman" w:cstheme="minorHAnsi"/>
                <w:sz w:val="16"/>
                <w:szCs w:val="16"/>
                <w:lang w:val="en-GB" w:eastAsia="it-IT"/>
              </w:rPr>
            </w:pPr>
            <w:r w:rsidRPr="008017F0">
              <w:rPr>
                <w:rFonts w:cstheme="minorHAnsi"/>
                <w:sz w:val="16"/>
                <w:szCs w:val="16"/>
                <w:lang w:val="en-GB"/>
              </w:rPr>
              <w:t>Employment, Manufacturing (000’s)</w:t>
            </w:r>
          </w:p>
        </w:tc>
        <w:tc>
          <w:tcPr>
            <w:tcW w:w="1417" w:type="dxa"/>
            <w:tcBorders>
              <w:top w:val="single" w:sz="4" w:space="0" w:color="auto"/>
              <w:left w:val="single" w:sz="4" w:space="0" w:color="auto"/>
              <w:bottom w:val="single" w:sz="4" w:space="0" w:color="auto"/>
              <w:right w:val="single" w:sz="4" w:space="0" w:color="auto"/>
            </w:tcBorders>
            <w:vAlign w:val="center"/>
          </w:tcPr>
          <w:p w14:paraId="3C43287A" w14:textId="77777777" w:rsidR="003C2EEA" w:rsidRPr="008017F0" w:rsidRDefault="003C2EEA" w:rsidP="008C3712">
            <w:pPr>
              <w:spacing w:after="0" w:line="240" w:lineRule="auto"/>
              <w:ind w:right="-76"/>
              <w:jc w:val="center"/>
              <w:rPr>
                <w:rFonts w:cstheme="minorHAnsi"/>
                <w:sz w:val="16"/>
                <w:szCs w:val="16"/>
                <w:lang w:val="en-GB"/>
              </w:rPr>
            </w:pPr>
            <w:proofErr w:type="spellStart"/>
            <w:r w:rsidRPr="008017F0">
              <w:rPr>
                <w:rFonts w:cstheme="minorHAnsi"/>
                <w:sz w:val="16"/>
                <w:szCs w:val="16"/>
                <w:lang w:val="en-GB"/>
              </w:rPr>
              <w:t>Prometeia</w:t>
            </w:r>
            <w:proofErr w:type="spellEnd"/>
          </w:p>
        </w:tc>
        <w:tc>
          <w:tcPr>
            <w:tcW w:w="850" w:type="dxa"/>
            <w:tcBorders>
              <w:top w:val="single" w:sz="4" w:space="0" w:color="auto"/>
              <w:left w:val="single" w:sz="4" w:space="0" w:color="auto"/>
              <w:bottom w:val="single" w:sz="4" w:space="0" w:color="auto"/>
              <w:right w:val="single" w:sz="4" w:space="0" w:color="auto"/>
            </w:tcBorders>
            <w:noWrap/>
            <w:vAlign w:val="center"/>
          </w:tcPr>
          <w:p w14:paraId="7774A536" w14:textId="77777777" w:rsidR="003C2EEA" w:rsidRPr="008017F0" w:rsidRDefault="003C2EEA" w:rsidP="008C3712">
            <w:pPr>
              <w:spacing w:after="0" w:line="240" w:lineRule="auto"/>
              <w:jc w:val="center"/>
              <w:rPr>
                <w:sz w:val="16"/>
                <w:szCs w:val="16"/>
                <w:lang w:val="en-GB"/>
              </w:rPr>
            </w:pPr>
            <w:r w:rsidRPr="008017F0">
              <w:rPr>
                <w:sz w:val="16"/>
                <w:szCs w:val="16"/>
                <w:lang w:val="en-GB"/>
              </w:rPr>
              <w:t>232.98</w:t>
            </w:r>
          </w:p>
        </w:tc>
        <w:tc>
          <w:tcPr>
            <w:tcW w:w="643" w:type="dxa"/>
            <w:tcBorders>
              <w:top w:val="single" w:sz="4" w:space="0" w:color="auto"/>
              <w:left w:val="single" w:sz="4" w:space="0" w:color="auto"/>
              <w:bottom w:val="single" w:sz="4" w:space="0" w:color="auto"/>
              <w:right w:val="single" w:sz="4" w:space="0" w:color="auto"/>
            </w:tcBorders>
            <w:noWrap/>
            <w:vAlign w:val="center"/>
          </w:tcPr>
          <w:p w14:paraId="50F3011A" w14:textId="77777777" w:rsidR="003C2EEA" w:rsidRPr="008017F0" w:rsidRDefault="003C2EEA" w:rsidP="008C3712">
            <w:pPr>
              <w:spacing w:after="0" w:line="240" w:lineRule="auto"/>
              <w:jc w:val="center"/>
              <w:rPr>
                <w:sz w:val="16"/>
                <w:szCs w:val="16"/>
                <w:lang w:val="en-GB"/>
              </w:rPr>
            </w:pPr>
            <w:r w:rsidRPr="008017F0">
              <w:rPr>
                <w:sz w:val="16"/>
                <w:szCs w:val="16"/>
                <w:lang w:val="en-GB"/>
              </w:rPr>
              <w:t>256.37</w:t>
            </w:r>
          </w:p>
        </w:tc>
        <w:tc>
          <w:tcPr>
            <w:tcW w:w="694" w:type="dxa"/>
            <w:tcBorders>
              <w:top w:val="single" w:sz="4" w:space="0" w:color="auto"/>
              <w:left w:val="single" w:sz="4" w:space="0" w:color="auto"/>
              <w:bottom w:val="single" w:sz="4" w:space="0" w:color="auto"/>
              <w:right w:val="single" w:sz="4" w:space="0" w:color="auto"/>
            </w:tcBorders>
            <w:vAlign w:val="center"/>
          </w:tcPr>
          <w:p w14:paraId="157E1F49" w14:textId="77777777" w:rsidR="003C2EEA" w:rsidRPr="008017F0" w:rsidRDefault="003C2EEA" w:rsidP="008C3712">
            <w:pPr>
              <w:spacing w:after="0" w:line="240" w:lineRule="auto"/>
              <w:jc w:val="center"/>
              <w:rPr>
                <w:sz w:val="16"/>
                <w:szCs w:val="16"/>
                <w:lang w:val="en-GB"/>
              </w:rPr>
            </w:pPr>
            <w:r w:rsidRPr="008017F0">
              <w:rPr>
                <w:sz w:val="16"/>
                <w:szCs w:val="16"/>
                <w:lang w:val="en-GB"/>
              </w:rPr>
              <w:t>5.61</w:t>
            </w:r>
          </w:p>
        </w:tc>
        <w:tc>
          <w:tcPr>
            <w:tcW w:w="694" w:type="dxa"/>
            <w:tcBorders>
              <w:top w:val="single" w:sz="4" w:space="0" w:color="auto"/>
              <w:left w:val="single" w:sz="4" w:space="0" w:color="auto"/>
              <w:bottom w:val="single" w:sz="4" w:space="0" w:color="auto"/>
              <w:right w:val="single" w:sz="4" w:space="0" w:color="auto"/>
            </w:tcBorders>
            <w:vAlign w:val="center"/>
          </w:tcPr>
          <w:p w14:paraId="2282E905" w14:textId="77777777" w:rsidR="003C2EEA" w:rsidRPr="008017F0" w:rsidRDefault="003C2EEA" w:rsidP="008C3712">
            <w:pPr>
              <w:spacing w:after="0" w:line="240" w:lineRule="auto"/>
              <w:jc w:val="center"/>
              <w:rPr>
                <w:sz w:val="16"/>
                <w:szCs w:val="16"/>
                <w:lang w:val="en-GB"/>
              </w:rPr>
            </w:pPr>
            <w:r w:rsidRPr="008017F0">
              <w:rPr>
                <w:sz w:val="16"/>
                <w:szCs w:val="16"/>
                <w:lang w:val="en-GB"/>
              </w:rPr>
              <w:t>24.10</w:t>
            </w:r>
          </w:p>
        </w:tc>
        <w:tc>
          <w:tcPr>
            <w:tcW w:w="804" w:type="dxa"/>
            <w:tcBorders>
              <w:top w:val="single" w:sz="4" w:space="0" w:color="auto"/>
              <w:left w:val="single" w:sz="4" w:space="0" w:color="auto"/>
              <w:bottom w:val="single" w:sz="4" w:space="0" w:color="auto"/>
              <w:right w:val="single" w:sz="4" w:space="0" w:color="auto"/>
            </w:tcBorders>
            <w:noWrap/>
            <w:vAlign w:val="center"/>
          </w:tcPr>
          <w:p w14:paraId="133232D2" w14:textId="77777777" w:rsidR="003C2EEA" w:rsidRPr="008017F0" w:rsidRDefault="003C2EEA" w:rsidP="008C3712">
            <w:pPr>
              <w:spacing w:after="0" w:line="240" w:lineRule="auto"/>
              <w:jc w:val="center"/>
              <w:rPr>
                <w:sz w:val="16"/>
                <w:szCs w:val="16"/>
                <w:lang w:val="en-GB"/>
              </w:rPr>
            </w:pPr>
            <w:r w:rsidRPr="008017F0">
              <w:rPr>
                <w:sz w:val="16"/>
                <w:szCs w:val="16"/>
                <w:lang w:val="en-GB"/>
              </w:rPr>
              <w:t>131.75</w:t>
            </w:r>
          </w:p>
        </w:tc>
        <w:tc>
          <w:tcPr>
            <w:tcW w:w="851" w:type="dxa"/>
            <w:tcBorders>
              <w:top w:val="single" w:sz="4" w:space="0" w:color="auto"/>
              <w:left w:val="single" w:sz="4" w:space="0" w:color="auto"/>
              <w:bottom w:val="single" w:sz="4" w:space="0" w:color="auto"/>
              <w:right w:val="single" w:sz="4" w:space="0" w:color="auto"/>
            </w:tcBorders>
            <w:vAlign w:val="center"/>
          </w:tcPr>
          <w:p w14:paraId="07D45924" w14:textId="77777777" w:rsidR="003C2EEA" w:rsidRPr="008017F0" w:rsidRDefault="003C2EEA" w:rsidP="008C3712">
            <w:pPr>
              <w:spacing w:after="0" w:line="240" w:lineRule="auto"/>
              <w:jc w:val="center"/>
              <w:rPr>
                <w:sz w:val="16"/>
                <w:szCs w:val="16"/>
                <w:lang w:val="en-GB"/>
              </w:rPr>
            </w:pPr>
            <w:r w:rsidRPr="008017F0">
              <w:rPr>
                <w:sz w:val="16"/>
                <w:szCs w:val="16"/>
                <w:lang w:val="en-GB"/>
              </w:rPr>
              <w:t>533.90</w:t>
            </w:r>
          </w:p>
        </w:tc>
        <w:tc>
          <w:tcPr>
            <w:tcW w:w="850" w:type="dxa"/>
            <w:tcBorders>
              <w:top w:val="single" w:sz="4" w:space="0" w:color="auto"/>
              <w:left w:val="single" w:sz="4" w:space="0" w:color="auto"/>
              <w:bottom w:val="single" w:sz="4" w:space="0" w:color="auto"/>
              <w:right w:val="single" w:sz="4" w:space="0" w:color="auto"/>
            </w:tcBorders>
            <w:noWrap/>
            <w:vAlign w:val="center"/>
          </w:tcPr>
          <w:p w14:paraId="786C6C0D" w14:textId="77777777" w:rsidR="003C2EEA" w:rsidRPr="008017F0" w:rsidRDefault="003C2EEA" w:rsidP="008C3712">
            <w:pPr>
              <w:spacing w:after="0" w:line="240" w:lineRule="auto"/>
              <w:jc w:val="center"/>
              <w:rPr>
                <w:sz w:val="16"/>
                <w:szCs w:val="16"/>
                <w:lang w:val="en-GB"/>
              </w:rPr>
            </w:pPr>
            <w:r w:rsidRPr="008017F0">
              <w:rPr>
                <w:sz w:val="16"/>
                <w:szCs w:val="16"/>
                <w:lang w:val="en-GB"/>
              </w:rPr>
              <w:t>1212.01</w:t>
            </w:r>
          </w:p>
        </w:tc>
      </w:tr>
    </w:tbl>
    <w:p w14:paraId="554A21B4" w14:textId="77777777" w:rsidR="003C2EEA" w:rsidRPr="008017F0" w:rsidRDefault="003C2EEA" w:rsidP="003C2EEA">
      <w:pPr>
        <w:spacing w:after="0" w:line="360" w:lineRule="auto"/>
        <w:jc w:val="center"/>
        <w:rPr>
          <w:rFonts w:ascii="Times New Roman" w:hAnsi="Times New Roman" w:cs="Times New Roman"/>
          <w:b/>
          <w:sz w:val="24"/>
          <w:szCs w:val="24"/>
          <w:lang w:val="en-GB"/>
        </w:rPr>
      </w:pPr>
    </w:p>
    <w:p w14:paraId="598BC1A0" w14:textId="77777777" w:rsidR="00607C95" w:rsidRPr="008017F0" w:rsidRDefault="00607C95" w:rsidP="00607C95">
      <w:pPr>
        <w:spacing w:after="0" w:line="360" w:lineRule="auto"/>
        <w:jc w:val="both"/>
        <w:rPr>
          <w:rFonts w:ascii="Times New Roman" w:hAnsi="Times New Roman" w:cs="Times New Roman"/>
          <w:i/>
          <w:iCs/>
          <w:sz w:val="24"/>
          <w:szCs w:val="24"/>
          <w:lang w:val="en-GB"/>
        </w:rPr>
      </w:pPr>
      <w:r w:rsidRPr="008017F0">
        <w:rPr>
          <w:rFonts w:ascii="Times New Roman" w:hAnsi="Times New Roman" w:cs="Times New Roman"/>
          <w:i/>
          <w:iCs/>
          <w:sz w:val="24"/>
          <w:szCs w:val="24"/>
          <w:lang w:val="en-GB"/>
        </w:rPr>
        <w:t>Further information about regional policies</w:t>
      </w:r>
    </w:p>
    <w:p w14:paraId="618FF682" w14:textId="77777777" w:rsidR="00607C95" w:rsidRPr="008017F0" w:rsidRDefault="00607C95" w:rsidP="00607C95">
      <w:pPr>
        <w:spacing w:after="0" w:line="360" w:lineRule="auto"/>
        <w:jc w:val="both"/>
        <w:rPr>
          <w:rFonts w:ascii="Times New Roman" w:hAnsi="Times New Roman"/>
          <w:sz w:val="24"/>
          <w:szCs w:val="24"/>
          <w:lang w:val="en-GB"/>
        </w:rPr>
      </w:pPr>
      <w:r w:rsidRPr="008017F0">
        <w:rPr>
          <w:rFonts w:ascii="Times New Roman" w:hAnsi="Times New Roman" w:cs="Times New Roman"/>
          <w:sz w:val="24"/>
          <w:szCs w:val="24"/>
          <w:lang w:val="en-GB"/>
        </w:rPr>
        <w:t xml:space="preserve">European structural and national funds are both taken from the database </w:t>
      </w:r>
      <w:r w:rsidRPr="008017F0">
        <w:rPr>
          <w:rFonts w:ascii="Times New Roman" w:hAnsi="Times New Roman" w:cs="Times New Roman"/>
          <w:i/>
          <w:sz w:val="24"/>
          <w:szCs w:val="24"/>
          <w:lang w:val="en-GB"/>
        </w:rPr>
        <w:t xml:space="preserve">Spesa </w:t>
      </w:r>
      <w:proofErr w:type="spellStart"/>
      <w:r w:rsidRPr="008017F0">
        <w:rPr>
          <w:rFonts w:ascii="Times New Roman" w:hAnsi="Times New Roman" w:cs="Times New Roman"/>
          <w:i/>
          <w:sz w:val="24"/>
          <w:szCs w:val="24"/>
          <w:lang w:val="en-GB"/>
        </w:rPr>
        <w:t>statale</w:t>
      </w:r>
      <w:proofErr w:type="spellEnd"/>
      <w:r w:rsidRPr="008017F0">
        <w:rPr>
          <w:rFonts w:ascii="Times New Roman" w:hAnsi="Times New Roman" w:cs="Times New Roman"/>
          <w:i/>
          <w:sz w:val="24"/>
          <w:szCs w:val="24"/>
          <w:lang w:val="en-GB"/>
        </w:rPr>
        <w:t xml:space="preserve"> </w:t>
      </w:r>
      <w:proofErr w:type="spellStart"/>
      <w:r w:rsidRPr="008017F0">
        <w:rPr>
          <w:rFonts w:ascii="Times New Roman" w:hAnsi="Times New Roman" w:cs="Times New Roman"/>
          <w:i/>
          <w:sz w:val="24"/>
          <w:szCs w:val="24"/>
          <w:lang w:val="en-GB"/>
        </w:rPr>
        <w:t>regionalizzata</w:t>
      </w:r>
      <w:proofErr w:type="spellEnd"/>
      <w:r w:rsidRPr="008017F0">
        <w:rPr>
          <w:rFonts w:ascii="Times New Roman" w:hAnsi="Times New Roman" w:cs="Times New Roman"/>
          <w:sz w:val="24"/>
          <w:szCs w:val="24"/>
          <w:lang w:val="en-GB"/>
        </w:rPr>
        <w:t xml:space="preserve"> of the General Accounting Office (</w:t>
      </w:r>
      <w:proofErr w:type="spellStart"/>
      <w:r w:rsidRPr="008017F0">
        <w:rPr>
          <w:rFonts w:ascii="Times New Roman" w:hAnsi="Times New Roman" w:cs="Times New Roman"/>
          <w:i/>
          <w:sz w:val="24"/>
          <w:szCs w:val="24"/>
          <w:lang w:val="en-GB"/>
        </w:rPr>
        <w:t>Ragioneria</w:t>
      </w:r>
      <w:proofErr w:type="spellEnd"/>
      <w:r w:rsidRPr="008017F0">
        <w:rPr>
          <w:rFonts w:ascii="Times New Roman" w:hAnsi="Times New Roman" w:cs="Times New Roman"/>
          <w:i/>
          <w:sz w:val="24"/>
          <w:szCs w:val="24"/>
          <w:lang w:val="en-GB"/>
        </w:rPr>
        <w:t xml:space="preserve"> Generale </w:t>
      </w:r>
      <w:proofErr w:type="spellStart"/>
      <w:r w:rsidRPr="008017F0">
        <w:rPr>
          <w:rFonts w:ascii="Times New Roman" w:hAnsi="Times New Roman" w:cs="Times New Roman"/>
          <w:i/>
          <w:sz w:val="24"/>
          <w:szCs w:val="24"/>
          <w:lang w:val="en-GB"/>
        </w:rPr>
        <w:t>dello</w:t>
      </w:r>
      <w:proofErr w:type="spellEnd"/>
      <w:r w:rsidRPr="008017F0">
        <w:rPr>
          <w:rFonts w:ascii="Times New Roman" w:hAnsi="Times New Roman" w:cs="Times New Roman"/>
          <w:i/>
          <w:sz w:val="24"/>
          <w:szCs w:val="24"/>
          <w:lang w:val="en-GB"/>
        </w:rPr>
        <w:t xml:space="preserve"> Stato</w:t>
      </w:r>
      <w:r w:rsidRPr="008017F0">
        <w:rPr>
          <w:rFonts w:ascii="Times New Roman" w:hAnsi="Times New Roman" w:cs="Times New Roman"/>
          <w:sz w:val="24"/>
          <w:szCs w:val="24"/>
          <w:lang w:val="en-GB"/>
        </w:rPr>
        <w:t xml:space="preserve">) at the Italian Ministry of Economy and Finance, which allows us to rely for both kinds of funds on series based on the same methodology. Funds’ series relate to the amounts disbursed by the various regions. </w:t>
      </w:r>
      <w:r w:rsidRPr="008017F0">
        <w:rPr>
          <w:rFonts w:ascii="Times New Roman" w:hAnsi="Times New Roman"/>
          <w:sz w:val="24"/>
          <w:szCs w:val="24"/>
          <w:lang w:val="en-GB"/>
        </w:rPr>
        <w:t xml:space="preserve">A proportion of </w:t>
      </w:r>
      <w:r w:rsidRPr="008017F0">
        <w:rPr>
          <w:rFonts w:ascii="Times New Roman" w:hAnsi="Times New Roman"/>
          <w:sz w:val="24"/>
          <w:szCs w:val="24"/>
          <w:lang w:val="en-GB"/>
        </w:rPr>
        <w:lastRenderedPageBreak/>
        <w:t>funds (both national and from EU) are not allocated to any single region, but to multi-regional aggregates. In our analysis, we shall assume that these funds are spread across regions proportionally to the shares of regionally allocated funds.</w:t>
      </w:r>
    </w:p>
    <w:p w14:paraId="6AF0BBD4" w14:textId="77777777" w:rsidR="00607C95" w:rsidRPr="008017F0" w:rsidRDefault="00607C95" w:rsidP="00607C95">
      <w:pPr>
        <w:spacing w:after="0" w:line="360" w:lineRule="auto"/>
        <w:jc w:val="both"/>
        <w:rPr>
          <w:rFonts w:ascii="Times New Roman" w:hAnsi="Times New Roman"/>
          <w:sz w:val="24"/>
          <w:szCs w:val="24"/>
          <w:lang w:val="en-GB"/>
        </w:rPr>
      </w:pPr>
      <w:r w:rsidRPr="008017F0">
        <w:rPr>
          <w:rFonts w:ascii="Times New Roman" w:hAnsi="Times New Roman" w:cs="Times New Roman"/>
          <w:sz w:val="24"/>
          <w:szCs w:val="24"/>
          <w:lang w:val="en-GB"/>
        </w:rPr>
        <w:t xml:space="preserve">EU funding plus national co-financing </w:t>
      </w:r>
      <w:r w:rsidRPr="008017F0">
        <w:rPr>
          <w:rFonts w:ascii="Times New Roman" w:eastAsia="Calibri" w:hAnsi="Times New Roman" w:cs="Times New Roman"/>
          <w:sz w:val="24"/>
          <w:szCs w:val="24"/>
          <w:lang w:val="en-GB" w:eastAsia="it-IT"/>
        </w:rPr>
        <w:t>is the Rotation Fund financing the EU structural funds through EU resources, plus the Rotation Fund financing the EU structural funds through national resources.</w:t>
      </w:r>
      <w:r w:rsidRPr="008017F0">
        <w:rPr>
          <w:rFonts w:ascii="Times New Roman" w:hAnsi="Times New Roman" w:cs="Times New Roman"/>
          <w:sz w:val="24"/>
          <w:szCs w:val="24"/>
          <w:lang w:val="en-GB"/>
        </w:rPr>
        <w:t xml:space="preserve"> The </w:t>
      </w:r>
      <w:r w:rsidRPr="008017F0">
        <w:rPr>
          <w:rFonts w:ascii="Times New Roman" w:eastAsia="Calibri" w:hAnsi="Times New Roman" w:cs="Times New Roman"/>
          <w:sz w:val="24"/>
          <w:szCs w:val="24"/>
          <w:lang w:val="en-GB" w:eastAsia="it-IT"/>
        </w:rPr>
        <w:t xml:space="preserve">EU structural funds </w:t>
      </w:r>
      <w:r w:rsidRPr="008017F0">
        <w:rPr>
          <w:rFonts w:ascii="Times New Roman" w:hAnsi="Times New Roman" w:cs="Times New Roman"/>
          <w:sz w:val="24"/>
          <w:szCs w:val="24"/>
          <w:lang w:val="en-GB"/>
        </w:rPr>
        <w:t>are the European Social Fund (ESF), the European Regional Development Fund (ERDF), the European Agricultural Fund for Rural Development (EAFRD), the European Maritime and Fisheries Fund (EMFF) and other less important funds. The largest funds are the ERDF (57.2% of EU funds in 2010), the EAFRD (21.6%) and the ESF (16.2%).</w:t>
      </w:r>
    </w:p>
    <w:p w14:paraId="3062B5B8" w14:textId="77777777" w:rsidR="00607C95" w:rsidRPr="008017F0" w:rsidRDefault="00607C95" w:rsidP="00607C95">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Current subsidies to firms include unilateral current subsidies made by public administrations to market producers with the aim of influencing production or prices, and/or the remuneration of production factors, and other current transfers to firms, provided by public administrations in support of production activities and related to specific economic policies such as research and development, workplace safety, usury prevention.</w:t>
      </w:r>
    </w:p>
    <w:p w14:paraId="55E21781" w14:textId="77777777" w:rsidR="00607C95" w:rsidRPr="008017F0" w:rsidRDefault="00607C95" w:rsidP="00607C95">
      <w:pPr>
        <w:spacing w:after="0" w:line="360" w:lineRule="auto"/>
        <w:jc w:val="both"/>
        <w:rPr>
          <w:rFonts w:ascii="Times New Roman" w:hAnsi="Times New Roman" w:cs="Times New Roman"/>
          <w:sz w:val="24"/>
          <w:szCs w:val="24"/>
          <w:lang w:val="en-GB"/>
        </w:rPr>
      </w:pPr>
      <w:r w:rsidRPr="008017F0">
        <w:rPr>
          <w:rFonts w:ascii="Times New Roman" w:eastAsia="Calibri" w:hAnsi="Times New Roman" w:cs="Times New Roman"/>
          <w:sz w:val="24"/>
          <w:szCs w:val="24"/>
          <w:lang w:val="en-GB" w:eastAsia="it-IT"/>
        </w:rPr>
        <w:t xml:space="preserve">The </w:t>
      </w:r>
      <w:r w:rsidRPr="008017F0">
        <w:rPr>
          <w:rFonts w:ascii="Times New Roman" w:hAnsi="Times New Roman" w:cs="Times New Roman"/>
          <w:sz w:val="24"/>
          <w:szCs w:val="24"/>
          <w:lang w:val="en-GB"/>
        </w:rPr>
        <w:t xml:space="preserve">Nationally financed cohesion funds </w:t>
      </w:r>
      <w:r w:rsidRPr="008017F0">
        <w:rPr>
          <w:rFonts w:ascii="Times New Roman" w:eastAsia="Calibri" w:hAnsi="Times New Roman" w:cs="Times New Roman"/>
          <w:sz w:val="24"/>
          <w:szCs w:val="24"/>
          <w:lang w:val="en-GB" w:eastAsia="it-IT"/>
        </w:rPr>
        <w:t xml:space="preserve">include a host of funds all broadly related to regional policy. In empirical analysis they have all been aggregated into a single item because their composition changed a considerable number of times during the period under scrutiny. The funds include: the </w:t>
      </w:r>
      <w:r w:rsidRPr="008017F0">
        <w:rPr>
          <w:rFonts w:ascii="Times New Roman" w:eastAsia="Calibri" w:hAnsi="Times New Roman" w:cs="Times New Roman"/>
          <w:i/>
          <w:iCs/>
          <w:sz w:val="24"/>
          <w:szCs w:val="24"/>
          <w:lang w:val="en-GB" w:eastAsia="it-IT"/>
        </w:rPr>
        <w:t xml:space="preserve">Fondo di </w:t>
      </w:r>
      <w:proofErr w:type="spellStart"/>
      <w:r w:rsidRPr="008017F0">
        <w:rPr>
          <w:rFonts w:ascii="Times New Roman" w:eastAsia="Calibri" w:hAnsi="Times New Roman" w:cs="Times New Roman"/>
          <w:i/>
          <w:iCs/>
          <w:sz w:val="24"/>
          <w:szCs w:val="24"/>
          <w:lang w:val="en-GB" w:eastAsia="it-IT"/>
        </w:rPr>
        <w:t>imprenditorialità</w:t>
      </w:r>
      <w:proofErr w:type="spellEnd"/>
      <w:r w:rsidRPr="008017F0">
        <w:rPr>
          <w:rFonts w:ascii="Times New Roman" w:eastAsia="Calibri" w:hAnsi="Times New Roman" w:cs="Times New Roman"/>
          <w:i/>
          <w:iCs/>
          <w:sz w:val="24"/>
          <w:szCs w:val="24"/>
          <w:lang w:val="en-GB" w:eastAsia="it-IT"/>
        </w:rPr>
        <w:t xml:space="preserve"> </w:t>
      </w:r>
      <w:proofErr w:type="spellStart"/>
      <w:r w:rsidRPr="008017F0">
        <w:rPr>
          <w:rFonts w:ascii="Times New Roman" w:eastAsia="Calibri" w:hAnsi="Times New Roman" w:cs="Times New Roman"/>
          <w:i/>
          <w:iCs/>
          <w:sz w:val="24"/>
          <w:szCs w:val="24"/>
          <w:lang w:val="en-GB" w:eastAsia="it-IT"/>
        </w:rPr>
        <w:t>giovanile</w:t>
      </w:r>
      <w:proofErr w:type="spellEnd"/>
      <w:r w:rsidRPr="008017F0">
        <w:rPr>
          <w:rFonts w:ascii="Times New Roman" w:eastAsia="Calibri" w:hAnsi="Times New Roman" w:cs="Times New Roman"/>
          <w:sz w:val="24"/>
          <w:szCs w:val="24"/>
          <w:lang w:val="en-GB" w:eastAsia="it-IT"/>
        </w:rPr>
        <w:t xml:space="preserve"> (fund for youth entrepreneurship), the </w:t>
      </w:r>
      <w:r w:rsidRPr="008017F0">
        <w:rPr>
          <w:rFonts w:ascii="Times New Roman" w:eastAsia="Calibri" w:hAnsi="Times New Roman" w:cs="Times New Roman"/>
          <w:i/>
          <w:iCs/>
          <w:sz w:val="24"/>
          <w:szCs w:val="24"/>
          <w:lang w:val="en-GB" w:eastAsia="it-IT"/>
        </w:rPr>
        <w:t xml:space="preserve">Fondo per le </w:t>
      </w:r>
      <w:proofErr w:type="spellStart"/>
      <w:r w:rsidRPr="008017F0">
        <w:rPr>
          <w:rFonts w:ascii="Times New Roman" w:eastAsia="Calibri" w:hAnsi="Times New Roman" w:cs="Times New Roman"/>
          <w:i/>
          <w:iCs/>
          <w:sz w:val="24"/>
          <w:szCs w:val="24"/>
          <w:lang w:val="en-GB" w:eastAsia="it-IT"/>
        </w:rPr>
        <w:t>agevolazioni</w:t>
      </w:r>
      <w:proofErr w:type="spellEnd"/>
      <w:r w:rsidRPr="008017F0">
        <w:rPr>
          <w:rFonts w:ascii="Times New Roman" w:eastAsia="Calibri" w:hAnsi="Times New Roman" w:cs="Times New Roman"/>
          <w:i/>
          <w:iCs/>
          <w:sz w:val="24"/>
          <w:szCs w:val="24"/>
          <w:lang w:val="en-GB" w:eastAsia="it-IT"/>
        </w:rPr>
        <w:t xml:space="preserve"> alla </w:t>
      </w:r>
      <w:proofErr w:type="spellStart"/>
      <w:r w:rsidRPr="008017F0">
        <w:rPr>
          <w:rFonts w:ascii="Times New Roman" w:eastAsia="Calibri" w:hAnsi="Times New Roman" w:cs="Times New Roman"/>
          <w:i/>
          <w:iCs/>
          <w:sz w:val="24"/>
          <w:szCs w:val="24"/>
          <w:lang w:val="en-GB" w:eastAsia="it-IT"/>
        </w:rPr>
        <w:t>ricerca</w:t>
      </w:r>
      <w:proofErr w:type="spellEnd"/>
      <w:r w:rsidRPr="008017F0">
        <w:rPr>
          <w:rFonts w:ascii="Times New Roman" w:eastAsia="Calibri" w:hAnsi="Times New Roman" w:cs="Times New Roman"/>
          <w:sz w:val="24"/>
          <w:szCs w:val="24"/>
          <w:lang w:val="en-GB" w:eastAsia="it-IT"/>
        </w:rPr>
        <w:t xml:space="preserve"> (fund for research incentives), the </w:t>
      </w:r>
      <w:r w:rsidRPr="008017F0">
        <w:rPr>
          <w:rFonts w:ascii="Times New Roman" w:eastAsia="Calibri" w:hAnsi="Times New Roman" w:cs="Times New Roman"/>
          <w:i/>
          <w:iCs/>
          <w:sz w:val="24"/>
          <w:szCs w:val="24"/>
          <w:lang w:val="en-GB" w:eastAsia="it-IT"/>
        </w:rPr>
        <w:t xml:space="preserve">Fondo per la </w:t>
      </w:r>
      <w:proofErr w:type="spellStart"/>
      <w:r w:rsidRPr="008017F0">
        <w:rPr>
          <w:rFonts w:ascii="Times New Roman" w:eastAsia="Calibri" w:hAnsi="Times New Roman" w:cs="Times New Roman"/>
          <w:i/>
          <w:iCs/>
          <w:sz w:val="24"/>
          <w:szCs w:val="24"/>
          <w:lang w:val="en-GB" w:eastAsia="it-IT"/>
        </w:rPr>
        <w:t>crescita</w:t>
      </w:r>
      <w:proofErr w:type="spellEnd"/>
      <w:r w:rsidRPr="008017F0">
        <w:rPr>
          <w:rFonts w:ascii="Times New Roman" w:eastAsia="Calibri" w:hAnsi="Times New Roman" w:cs="Times New Roman"/>
          <w:i/>
          <w:iCs/>
          <w:sz w:val="24"/>
          <w:szCs w:val="24"/>
          <w:lang w:val="en-GB" w:eastAsia="it-IT"/>
        </w:rPr>
        <w:t xml:space="preserve"> </w:t>
      </w:r>
      <w:proofErr w:type="spellStart"/>
      <w:r w:rsidRPr="008017F0">
        <w:rPr>
          <w:rFonts w:ascii="Times New Roman" w:eastAsia="Calibri" w:hAnsi="Times New Roman" w:cs="Times New Roman"/>
          <w:i/>
          <w:iCs/>
          <w:sz w:val="24"/>
          <w:szCs w:val="24"/>
          <w:lang w:val="en-GB" w:eastAsia="it-IT"/>
        </w:rPr>
        <w:t>sostenibile</w:t>
      </w:r>
      <w:proofErr w:type="spellEnd"/>
      <w:r w:rsidRPr="008017F0">
        <w:rPr>
          <w:rFonts w:ascii="Times New Roman" w:eastAsia="Calibri" w:hAnsi="Times New Roman" w:cs="Times New Roman"/>
          <w:i/>
          <w:iCs/>
          <w:sz w:val="24"/>
          <w:szCs w:val="24"/>
          <w:lang w:val="en-GB" w:eastAsia="it-IT"/>
        </w:rPr>
        <w:t xml:space="preserve"> </w:t>
      </w:r>
      <w:r w:rsidRPr="008017F0">
        <w:rPr>
          <w:rFonts w:ascii="Times New Roman" w:eastAsia="Calibri" w:hAnsi="Times New Roman" w:cs="Times New Roman"/>
          <w:sz w:val="24"/>
          <w:szCs w:val="24"/>
          <w:lang w:val="en-GB" w:eastAsia="it-IT"/>
        </w:rPr>
        <w:t xml:space="preserve">(fund for sustainable growth), the </w:t>
      </w:r>
      <w:proofErr w:type="spellStart"/>
      <w:r w:rsidRPr="008017F0">
        <w:rPr>
          <w:rFonts w:ascii="Times New Roman" w:eastAsia="Calibri" w:hAnsi="Times New Roman" w:cs="Times New Roman"/>
          <w:i/>
          <w:iCs/>
          <w:sz w:val="24"/>
          <w:szCs w:val="24"/>
          <w:lang w:val="en-GB" w:eastAsia="it-IT"/>
        </w:rPr>
        <w:t>Contratti</w:t>
      </w:r>
      <w:proofErr w:type="spellEnd"/>
      <w:r w:rsidRPr="008017F0">
        <w:rPr>
          <w:rFonts w:ascii="Times New Roman" w:eastAsia="Calibri" w:hAnsi="Times New Roman" w:cs="Times New Roman"/>
          <w:i/>
          <w:iCs/>
          <w:sz w:val="24"/>
          <w:szCs w:val="24"/>
          <w:lang w:val="en-GB" w:eastAsia="it-IT"/>
        </w:rPr>
        <w:t xml:space="preserve"> </w:t>
      </w:r>
      <w:proofErr w:type="spellStart"/>
      <w:r w:rsidRPr="008017F0">
        <w:rPr>
          <w:rFonts w:ascii="Times New Roman" w:eastAsia="Calibri" w:hAnsi="Times New Roman" w:cs="Times New Roman"/>
          <w:i/>
          <w:iCs/>
          <w:sz w:val="24"/>
          <w:szCs w:val="24"/>
          <w:lang w:val="en-GB" w:eastAsia="it-IT"/>
        </w:rPr>
        <w:t>d’Area</w:t>
      </w:r>
      <w:proofErr w:type="spellEnd"/>
      <w:r w:rsidRPr="008017F0">
        <w:rPr>
          <w:rFonts w:ascii="Times New Roman" w:eastAsia="Calibri" w:hAnsi="Times New Roman" w:cs="Times New Roman"/>
          <w:sz w:val="24"/>
          <w:szCs w:val="24"/>
          <w:lang w:val="en-GB" w:eastAsia="it-IT"/>
        </w:rPr>
        <w:t xml:space="preserve"> and </w:t>
      </w:r>
      <w:r w:rsidRPr="008017F0">
        <w:rPr>
          <w:rFonts w:ascii="Times New Roman" w:eastAsia="Calibri" w:hAnsi="Times New Roman" w:cs="Times New Roman"/>
          <w:i/>
          <w:iCs/>
          <w:sz w:val="24"/>
          <w:szCs w:val="24"/>
          <w:lang w:val="en-GB" w:eastAsia="it-IT"/>
        </w:rPr>
        <w:t xml:space="preserve">Patti </w:t>
      </w:r>
      <w:proofErr w:type="spellStart"/>
      <w:r w:rsidRPr="008017F0">
        <w:rPr>
          <w:rFonts w:ascii="Times New Roman" w:eastAsia="Calibri" w:hAnsi="Times New Roman" w:cs="Times New Roman"/>
          <w:i/>
          <w:iCs/>
          <w:sz w:val="24"/>
          <w:szCs w:val="24"/>
          <w:lang w:val="en-GB" w:eastAsia="it-IT"/>
        </w:rPr>
        <w:t>Territoriali</w:t>
      </w:r>
      <w:proofErr w:type="spellEnd"/>
      <w:r w:rsidRPr="008017F0">
        <w:rPr>
          <w:rFonts w:ascii="Times New Roman" w:eastAsia="Calibri" w:hAnsi="Times New Roman" w:cs="Times New Roman"/>
          <w:sz w:val="24"/>
          <w:szCs w:val="24"/>
          <w:lang w:val="en-GB" w:eastAsia="it-IT"/>
        </w:rPr>
        <w:t xml:space="preserve"> (both aggregates of local development programmes) and the </w:t>
      </w:r>
      <w:r w:rsidRPr="008017F0">
        <w:rPr>
          <w:rFonts w:ascii="Times New Roman" w:eastAsia="Calibri" w:hAnsi="Times New Roman" w:cs="Times New Roman"/>
          <w:i/>
          <w:sz w:val="24"/>
          <w:szCs w:val="24"/>
          <w:lang w:val="en-GB" w:eastAsia="it-IT"/>
        </w:rPr>
        <w:t>Fondo SACE</w:t>
      </w:r>
      <w:r w:rsidRPr="008017F0">
        <w:rPr>
          <w:rFonts w:ascii="Times New Roman" w:eastAsia="Calibri" w:hAnsi="Times New Roman" w:cs="Times New Roman"/>
          <w:sz w:val="24"/>
          <w:szCs w:val="24"/>
          <w:lang w:val="en-GB" w:eastAsia="it-IT"/>
        </w:rPr>
        <w:t xml:space="preserve"> (a fund supporting export from SMEs). The fund for sustainable growth includes the </w:t>
      </w:r>
      <w:r w:rsidRPr="008017F0">
        <w:rPr>
          <w:rFonts w:ascii="Times New Roman" w:eastAsia="Calibri" w:hAnsi="Times New Roman" w:cs="Times New Roman"/>
          <w:i/>
          <w:iCs/>
          <w:sz w:val="24"/>
          <w:szCs w:val="24"/>
          <w:lang w:val="en-GB" w:eastAsia="it-IT"/>
        </w:rPr>
        <w:t xml:space="preserve">Fondo </w:t>
      </w:r>
      <w:proofErr w:type="spellStart"/>
      <w:r w:rsidRPr="008017F0">
        <w:rPr>
          <w:rFonts w:ascii="Times New Roman" w:eastAsia="Calibri" w:hAnsi="Times New Roman" w:cs="Times New Roman"/>
          <w:i/>
          <w:iCs/>
          <w:sz w:val="24"/>
          <w:szCs w:val="24"/>
          <w:lang w:val="en-GB" w:eastAsia="it-IT"/>
        </w:rPr>
        <w:t>Sviluppo</w:t>
      </w:r>
      <w:proofErr w:type="spellEnd"/>
      <w:r w:rsidRPr="008017F0">
        <w:rPr>
          <w:rFonts w:ascii="Times New Roman" w:eastAsia="Calibri" w:hAnsi="Times New Roman" w:cs="Times New Roman"/>
          <w:i/>
          <w:iCs/>
          <w:sz w:val="24"/>
          <w:szCs w:val="24"/>
          <w:lang w:val="en-GB" w:eastAsia="it-IT"/>
        </w:rPr>
        <w:t xml:space="preserve"> e </w:t>
      </w:r>
      <w:proofErr w:type="spellStart"/>
      <w:r w:rsidRPr="008017F0">
        <w:rPr>
          <w:rFonts w:ascii="Times New Roman" w:eastAsia="Calibri" w:hAnsi="Times New Roman" w:cs="Times New Roman"/>
          <w:i/>
          <w:iCs/>
          <w:sz w:val="24"/>
          <w:szCs w:val="24"/>
          <w:lang w:val="en-GB" w:eastAsia="it-IT"/>
        </w:rPr>
        <w:t>Coesione</w:t>
      </w:r>
      <w:proofErr w:type="spellEnd"/>
      <w:r w:rsidRPr="008017F0">
        <w:rPr>
          <w:rFonts w:ascii="Times New Roman" w:eastAsia="Calibri" w:hAnsi="Times New Roman" w:cs="Times New Roman"/>
          <w:sz w:val="24"/>
          <w:szCs w:val="24"/>
          <w:lang w:val="en-GB" w:eastAsia="it-IT"/>
        </w:rPr>
        <w:t xml:space="preserve"> (cohesion and development fund), as well as few other subsidies for underdeveloped areas still coming from old laws that are being disposed of (Law 64/1986 and Law 488/1992)</w:t>
      </w:r>
    </w:p>
    <w:p w14:paraId="5DAC8A86" w14:textId="122352E0" w:rsidR="00607C95" w:rsidRPr="008017F0" w:rsidRDefault="00607C95" w:rsidP="00077BC0">
      <w:pPr>
        <w:spacing w:line="360" w:lineRule="auto"/>
        <w:jc w:val="both"/>
        <w:rPr>
          <w:rFonts w:ascii="Times New Roman" w:eastAsia="Times New Roman" w:hAnsi="Times New Roman" w:cs="Times New Roman"/>
          <w:sz w:val="24"/>
          <w:szCs w:val="24"/>
          <w:lang w:val="en-GB" w:eastAsia="it-IT"/>
        </w:rPr>
      </w:pPr>
      <w:r w:rsidRPr="008017F0">
        <w:rPr>
          <w:rFonts w:ascii="Times New Roman" w:hAnsi="Times New Roman" w:cs="Times New Roman"/>
          <w:sz w:val="24"/>
          <w:szCs w:val="24"/>
          <w:lang w:val="en-GB"/>
        </w:rPr>
        <w:t>Capital expenditures includ</w:t>
      </w:r>
      <w:r w:rsidR="0080517A" w:rsidRPr="008017F0">
        <w:rPr>
          <w:rFonts w:ascii="Times New Roman" w:hAnsi="Times New Roman" w:cs="Times New Roman"/>
          <w:sz w:val="24"/>
          <w:szCs w:val="24"/>
          <w:lang w:val="en-GB"/>
        </w:rPr>
        <w:t>e</w:t>
      </w:r>
      <w:r w:rsidRPr="008017F0">
        <w:rPr>
          <w:rFonts w:ascii="Times New Roman" w:hAnsi="Times New Roman" w:cs="Times New Roman"/>
          <w:sz w:val="24"/>
          <w:szCs w:val="24"/>
          <w:lang w:val="en-GB"/>
        </w:rPr>
        <w:t xml:space="preserve"> capital-account subsidies to public administrations, capital-account subsidies to firms</w:t>
      </w:r>
      <w:r w:rsidR="00077BC0" w:rsidRPr="008017F0">
        <w:rPr>
          <w:rFonts w:ascii="Times New Roman" w:hAnsi="Times New Roman" w:cs="Times New Roman"/>
          <w:sz w:val="24"/>
          <w:szCs w:val="24"/>
          <w:lang w:val="en-GB"/>
        </w:rPr>
        <w:t>, capital-account subsidies to households and non-profit institutions</w:t>
      </w:r>
      <w:r w:rsidRPr="008017F0">
        <w:rPr>
          <w:rFonts w:ascii="Times New Roman" w:hAnsi="Times New Roman" w:cs="Times New Roman"/>
          <w:sz w:val="24"/>
          <w:szCs w:val="24"/>
          <w:lang w:val="en-GB"/>
        </w:rPr>
        <w:t xml:space="preserve"> and gross fixed capital formation. </w:t>
      </w:r>
      <w:r w:rsidR="0080517A" w:rsidRPr="008017F0">
        <w:rPr>
          <w:rFonts w:ascii="Times New Roman" w:hAnsi="Times New Roman" w:cs="Times New Roman"/>
          <w:sz w:val="24"/>
          <w:szCs w:val="24"/>
          <w:lang w:val="en-GB"/>
        </w:rPr>
        <w:t xml:space="preserve">In our empirical analysis we separate gross fixed capital formation (public investments) from total capital account subsidies. Public investments are the difference between acquisitions and disposals of fixed capital. Capital-account subsidies are grants made by public administrations to finance all or part of the costs of fixed capital purchases. </w:t>
      </w:r>
      <w:r w:rsidRPr="008017F0">
        <w:rPr>
          <w:rFonts w:ascii="Times New Roman" w:eastAsia="Times New Roman" w:hAnsi="Times New Roman" w:cs="Times New Roman"/>
          <w:sz w:val="24"/>
          <w:szCs w:val="24"/>
          <w:lang w:val="en-GB" w:eastAsia="it-IT"/>
        </w:rPr>
        <w:t>Before 2000 all capital-account subsidies were gathered in a single account. Therefore, for estimation purposes, all kinds of subsidies were aggregated into a single variable also for the years after 2000.</w:t>
      </w:r>
    </w:p>
    <w:p w14:paraId="5E6181FA" w14:textId="77777777" w:rsidR="00892F5D" w:rsidRPr="008017F0" w:rsidRDefault="00892F5D" w:rsidP="00077BC0">
      <w:pPr>
        <w:spacing w:line="360" w:lineRule="auto"/>
        <w:jc w:val="both"/>
        <w:rPr>
          <w:rFonts w:ascii="Times New Roman" w:eastAsia="Yu Gothic Light" w:hAnsi="Times New Roman" w:cs="Times New Roman"/>
          <w:bCs/>
          <w:sz w:val="24"/>
          <w:szCs w:val="24"/>
          <w:lang w:val="en-GB"/>
        </w:rPr>
      </w:pPr>
    </w:p>
    <w:p w14:paraId="3F4B2EA4" w14:textId="77777777" w:rsidR="00607C95" w:rsidRPr="008017F0" w:rsidRDefault="00607C95" w:rsidP="00607C95">
      <w:pPr>
        <w:spacing w:after="0" w:line="360" w:lineRule="auto"/>
        <w:jc w:val="both"/>
        <w:rPr>
          <w:rFonts w:ascii="Times New Roman" w:hAnsi="Times New Roman" w:cs="Times New Roman"/>
          <w:sz w:val="24"/>
          <w:szCs w:val="24"/>
          <w:lang w:val="en-GB"/>
        </w:rPr>
      </w:pPr>
    </w:p>
    <w:p w14:paraId="233E8330" w14:textId="2EFC61C8" w:rsidR="00B11595" w:rsidRPr="008017F0" w:rsidRDefault="00B11595" w:rsidP="00B11595">
      <w:pPr>
        <w:pStyle w:val="RSEG"/>
        <w:rPr>
          <w:bCs/>
          <w:i/>
          <w:iCs/>
        </w:rPr>
      </w:pPr>
      <w:r w:rsidRPr="008017F0">
        <w:rPr>
          <w:bCs/>
          <w:i/>
          <w:iCs/>
        </w:rPr>
        <w:t>Supplementary information about the variables entering the W</w:t>
      </w:r>
      <w:r w:rsidRPr="008017F0">
        <w:rPr>
          <w:bCs/>
          <w:i/>
          <w:iCs/>
          <w:vertAlign w:val="subscript"/>
        </w:rPr>
        <w:t>rt-1</w:t>
      </w:r>
      <w:r w:rsidRPr="008017F0">
        <w:rPr>
          <w:bCs/>
          <w:i/>
          <w:iCs/>
        </w:rPr>
        <w:t xml:space="preserve"> vector in equations [</w:t>
      </w:r>
      <w:r w:rsidR="006F4088" w:rsidRPr="008017F0">
        <w:rPr>
          <w:bCs/>
          <w:i/>
          <w:iCs/>
        </w:rPr>
        <w:t>6</w:t>
      </w:r>
      <w:r w:rsidRPr="008017F0">
        <w:rPr>
          <w:bCs/>
          <w:i/>
          <w:iCs/>
        </w:rPr>
        <w:t>] and [</w:t>
      </w:r>
      <w:r w:rsidR="006F4088" w:rsidRPr="008017F0">
        <w:rPr>
          <w:bCs/>
          <w:i/>
          <w:iCs/>
        </w:rPr>
        <w:t>7</w:t>
      </w:r>
      <w:r w:rsidRPr="008017F0">
        <w:rPr>
          <w:bCs/>
          <w:i/>
          <w:iCs/>
        </w:rPr>
        <w:t>]</w:t>
      </w:r>
    </w:p>
    <w:p w14:paraId="3053441F" w14:textId="77777777" w:rsidR="00AF0BA3" w:rsidRPr="008017F0" w:rsidRDefault="00AF0BA3" w:rsidP="00AF0BA3">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The variables entering W</w:t>
      </w:r>
      <w:r w:rsidRPr="008017F0">
        <w:rPr>
          <w:rFonts w:ascii="Times New Roman" w:hAnsi="Times New Roman" w:cs="Times New Roman"/>
          <w:sz w:val="24"/>
          <w:szCs w:val="24"/>
          <w:vertAlign w:val="subscript"/>
          <w:lang w:val="en-GB"/>
        </w:rPr>
        <w:t>rt-1</w:t>
      </w:r>
      <w:r w:rsidRPr="008017F0">
        <w:rPr>
          <w:rFonts w:ascii="Times New Roman" w:hAnsi="Times New Roman" w:cs="Times New Roman"/>
          <w:sz w:val="24"/>
          <w:szCs w:val="24"/>
          <w:lang w:val="en-GB"/>
        </w:rPr>
        <w:t xml:space="preserve"> are selected by estimating a set of auxiliary regressions where, in turn, </w:t>
      </w:r>
      <w:proofErr w:type="spellStart"/>
      <w:r w:rsidRPr="008017F0">
        <w:rPr>
          <w:rFonts w:ascii="Times New Roman" w:hAnsi="Times New Roman" w:cs="Times New Roman"/>
          <w:sz w:val="24"/>
          <w:szCs w:val="24"/>
          <w:lang w:val="en-GB"/>
        </w:rPr>
        <w:t>SF</w:t>
      </w:r>
      <w:r w:rsidRPr="008017F0">
        <w:rPr>
          <w:rFonts w:ascii="Times New Roman" w:hAnsi="Times New Roman" w:cs="Times New Roman"/>
          <w:sz w:val="24"/>
          <w:szCs w:val="24"/>
          <w:vertAlign w:val="subscript"/>
          <w:lang w:val="en-GB"/>
        </w:rPr>
        <w:t>rt</w:t>
      </w:r>
      <w:proofErr w:type="spellEnd"/>
      <w:r w:rsidRPr="008017F0">
        <w:rPr>
          <w:rFonts w:ascii="Times New Roman" w:hAnsi="Times New Roman" w:cs="Times New Roman"/>
          <w:sz w:val="24"/>
          <w:szCs w:val="24"/>
          <w:lang w:val="en-GB"/>
        </w:rPr>
        <w:t xml:space="preserve"> and</w:t>
      </w:r>
      <w:r w:rsidRPr="008017F0">
        <w:rPr>
          <w:rFonts w:ascii="Times New Roman" w:hAnsi="Times New Roman" w:cs="Times New Roman"/>
          <w:sz w:val="24"/>
          <w:szCs w:val="24"/>
          <w:vertAlign w:val="subscript"/>
          <w:lang w:val="en-GB"/>
        </w:rPr>
        <w:t xml:space="preserve"> </w:t>
      </w:r>
      <w:proofErr w:type="spellStart"/>
      <w:r w:rsidRPr="008017F0">
        <w:rPr>
          <w:rFonts w:ascii="Times New Roman" w:hAnsi="Times New Roman" w:cs="Times New Roman"/>
          <w:sz w:val="24"/>
          <w:szCs w:val="24"/>
          <w:lang w:val="en-GB"/>
        </w:rPr>
        <w:t>Nat</w:t>
      </w:r>
      <w:r w:rsidRPr="008017F0">
        <w:rPr>
          <w:rFonts w:ascii="Times New Roman" w:hAnsi="Times New Roman" w:cs="Times New Roman"/>
          <w:sz w:val="24"/>
          <w:szCs w:val="24"/>
          <w:vertAlign w:val="subscript"/>
          <w:lang w:val="en-GB"/>
        </w:rPr>
        <w:t>jrt</w:t>
      </w:r>
      <w:proofErr w:type="spellEnd"/>
      <w:r w:rsidRPr="008017F0">
        <w:rPr>
          <w:rFonts w:ascii="Times New Roman" w:hAnsi="Times New Roman" w:cs="Times New Roman"/>
          <w:sz w:val="24"/>
          <w:szCs w:val="24"/>
          <w:lang w:val="en-GB"/>
        </w:rPr>
        <w:t xml:space="preserve"> depend on a wide array of potential determinants (lags </w:t>
      </w:r>
      <w:r w:rsidRPr="008017F0">
        <w:rPr>
          <w:rFonts w:ascii="Times New Roman" w:eastAsia="Times New Roman" w:hAnsi="Times New Roman" w:cs="Times New Roman"/>
          <w:sz w:val="24"/>
          <w:szCs w:val="24"/>
          <w:lang w:val="en-GB"/>
        </w:rPr>
        <w:t xml:space="preserve">of </w:t>
      </w:r>
      <w:proofErr w:type="spellStart"/>
      <w:r w:rsidRPr="008017F0">
        <w:rPr>
          <w:rFonts w:ascii="Times New Roman" w:hAnsi="Times New Roman" w:cs="Times New Roman"/>
          <w:sz w:val="24"/>
          <w:szCs w:val="24"/>
          <w:lang w:val="en-GB"/>
        </w:rPr>
        <w:t>SF</w:t>
      </w:r>
      <w:r w:rsidRPr="008017F0">
        <w:rPr>
          <w:rFonts w:ascii="Times New Roman" w:hAnsi="Times New Roman" w:cs="Times New Roman"/>
          <w:sz w:val="24"/>
          <w:szCs w:val="24"/>
          <w:vertAlign w:val="subscript"/>
          <w:lang w:val="en-GB"/>
        </w:rPr>
        <w:t>rt</w:t>
      </w:r>
      <w:proofErr w:type="spellEnd"/>
      <w:r w:rsidRPr="008017F0">
        <w:rPr>
          <w:rFonts w:ascii="Times New Roman" w:hAnsi="Times New Roman" w:cs="Times New Roman"/>
          <w:sz w:val="24"/>
          <w:szCs w:val="24"/>
          <w:lang w:val="en-GB"/>
        </w:rPr>
        <w:t xml:space="preserve"> and</w:t>
      </w:r>
      <w:r w:rsidRPr="008017F0">
        <w:rPr>
          <w:rFonts w:ascii="Times New Roman" w:hAnsi="Times New Roman" w:cs="Times New Roman"/>
          <w:sz w:val="24"/>
          <w:szCs w:val="24"/>
          <w:vertAlign w:val="subscript"/>
          <w:lang w:val="en-GB"/>
        </w:rPr>
        <w:t xml:space="preserve"> </w:t>
      </w:r>
      <w:proofErr w:type="spellStart"/>
      <w:r w:rsidRPr="008017F0">
        <w:rPr>
          <w:rFonts w:ascii="Times New Roman" w:hAnsi="Times New Roman" w:cs="Times New Roman"/>
          <w:sz w:val="24"/>
          <w:szCs w:val="24"/>
          <w:lang w:val="en-GB"/>
        </w:rPr>
        <w:t>Nat</w:t>
      </w:r>
      <w:r w:rsidRPr="008017F0">
        <w:rPr>
          <w:rFonts w:ascii="Times New Roman" w:hAnsi="Times New Roman" w:cs="Times New Roman"/>
          <w:sz w:val="24"/>
          <w:szCs w:val="24"/>
          <w:vertAlign w:val="subscript"/>
          <w:lang w:val="en-GB"/>
        </w:rPr>
        <w:t>jrt</w:t>
      </w:r>
      <w:proofErr w:type="spellEnd"/>
      <w:r w:rsidRPr="008017F0">
        <w:rPr>
          <w:rFonts w:ascii="Times New Roman" w:eastAsia="Times New Roman" w:hAnsi="Times New Roman" w:cs="Times New Roman"/>
          <w:sz w:val="24"/>
          <w:szCs w:val="24"/>
          <w:lang w:val="en-GB"/>
        </w:rPr>
        <w:t xml:space="preserve">, </w:t>
      </w:r>
      <w:r w:rsidRPr="008017F0">
        <w:rPr>
          <w:rFonts w:ascii="Times New Roman" w:hAnsi="Times New Roman" w:cs="Times New Roman"/>
          <w:sz w:val="24"/>
          <w:szCs w:val="24"/>
          <w:lang w:val="en-GB"/>
        </w:rPr>
        <w:t xml:space="preserve">GDP per capita, </w:t>
      </w:r>
      <w:r w:rsidRPr="008017F0">
        <w:rPr>
          <w:rFonts w:ascii="Times New Roman" w:eastAsia="Calibri" w:hAnsi="Times New Roman" w:cs="Times New Roman"/>
          <w:sz w:val="24"/>
          <w:szCs w:val="24"/>
          <w:lang w:val="en-GB"/>
        </w:rPr>
        <w:t>gross fixed investment</w:t>
      </w:r>
      <w:r w:rsidRPr="008017F0">
        <w:rPr>
          <w:rFonts w:ascii="Times New Roman" w:hAnsi="Times New Roman" w:cs="Times New Roman"/>
          <w:sz w:val="24"/>
          <w:szCs w:val="24"/>
          <w:lang w:val="en-GB"/>
        </w:rPr>
        <w:t>, population change, rates of unemployment, sectoral shares of employment and value added, unit labour costs, human capital, patents per capita, linear and quadratic region-specific trends).</w:t>
      </w:r>
      <w:r w:rsidRPr="008017F0">
        <w:rPr>
          <w:rStyle w:val="Rimandonotaapidipagina"/>
          <w:rFonts w:ascii="Times New Roman" w:hAnsi="Times New Roman" w:cs="Times New Roman"/>
          <w:sz w:val="24"/>
          <w:szCs w:val="24"/>
          <w:lang w:val="en-GB"/>
        </w:rPr>
        <w:footnoteReference w:id="2"/>
      </w:r>
      <w:r w:rsidRPr="008017F0">
        <w:rPr>
          <w:rFonts w:ascii="Times New Roman" w:hAnsi="Times New Roman" w:cs="Times New Roman"/>
          <w:sz w:val="24"/>
          <w:szCs w:val="24"/>
          <w:lang w:val="en-GB"/>
        </w:rPr>
        <w:t xml:space="preserve"> We then choose a parsimonious specification consistent with satisfactory diagnostics. Beside the use of this selection procedure in the control function approach, comparing the structure of funding rules across fund categories yields useful information about a relatively under researched topic in the literature.</w:t>
      </w:r>
    </w:p>
    <w:p w14:paraId="05692445" w14:textId="4C7C0FE8" w:rsidR="00AF0BA3" w:rsidRPr="008017F0" w:rsidRDefault="00AF0BA3" w:rsidP="00AF0BA3">
      <w:pPr>
        <w:pStyle w:val="RSEG"/>
      </w:pPr>
      <w:r w:rsidRPr="008017F0">
        <w:t>T</w:t>
      </w:r>
      <w:r w:rsidR="004E0372" w:rsidRPr="008017F0">
        <w:t>he first column of T</w:t>
      </w:r>
      <w:r w:rsidRPr="008017F0">
        <w:t>able A</w:t>
      </w:r>
      <w:r w:rsidR="005A043F" w:rsidRPr="008017F0">
        <w:t>9</w:t>
      </w:r>
      <w:r w:rsidRPr="008017F0">
        <w:t xml:space="preserve">.B indicates that the null hypothesis of no cross-section dependence between regions is rejected for all the variables entering the preferred estimates for the auxiliary regressions shown in Table </w:t>
      </w:r>
      <w:r w:rsidR="005A043F" w:rsidRPr="008017F0">
        <w:t>5 of the main text</w:t>
      </w:r>
      <w:r w:rsidRPr="008017F0">
        <w:t xml:space="preserve">, as well as for the other variables included in [6] and [7]. Accordingly, inference for these estimates is based on the consistent covariance matrix proposed by Driscoll and Kraay (1998). The findings from </w:t>
      </w:r>
      <w:r w:rsidR="004E0372" w:rsidRPr="008017F0">
        <w:t xml:space="preserve">the second column of </w:t>
      </w:r>
      <w:r w:rsidRPr="008017F0">
        <w:t>Table A</w:t>
      </w:r>
      <w:r w:rsidR="005A043F" w:rsidRPr="008017F0">
        <w:t>9</w:t>
      </w:r>
      <w:r w:rsidRPr="008017F0">
        <w:t xml:space="preserve">.B show that the null hypothesis of non-stationarity is not rejected for some of the variables entering the preferred estimates for the auxiliary regressions. This suggests applying to the auxiliary regressions the cointegration bounds test from </w:t>
      </w:r>
      <w:proofErr w:type="spellStart"/>
      <w:r w:rsidRPr="008017F0">
        <w:t>Bertsatos</w:t>
      </w:r>
      <w:proofErr w:type="spellEnd"/>
      <w:r w:rsidRPr="008017F0">
        <w:t xml:space="preserve"> et al. (2023).</w:t>
      </w:r>
    </w:p>
    <w:p w14:paraId="2DA117BA" w14:textId="60193D48" w:rsidR="00AF0BA3" w:rsidRPr="008017F0" w:rsidRDefault="00AF0BA3" w:rsidP="00AF0BA3">
      <w:pPr>
        <w:pStyle w:val="RSEG"/>
      </w:pPr>
      <w:r w:rsidRPr="008017F0">
        <w:t>We adopt for the estimation of the auxiliary regressions a dynamic panel two-way fixed-effects method.</w:t>
      </w:r>
      <w:r w:rsidRPr="008017F0">
        <w:rPr>
          <w:rStyle w:val="Rimandonotaapidipagina"/>
        </w:rPr>
        <w:footnoteReference w:id="3"/>
      </w:r>
      <w:r w:rsidRPr="008017F0">
        <w:t xml:space="preserve"> </w:t>
      </w:r>
      <w:r w:rsidRPr="008017F0">
        <w:rPr>
          <w:rFonts w:eastAsia="Times New Roman"/>
          <w:lang w:eastAsia="it-IT"/>
        </w:rPr>
        <w:t>Overall, the preferred estimates for the auxiliary regressions shown in Table A1</w:t>
      </w:r>
      <w:r w:rsidR="004E0372" w:rsidRPr="008017F0">
        <w:rPr>
          <w:rFonts w:eastAsia="Times New Roman"/>
          <w:lang w:eastAsia="it-IT"/>
        </w:rPr>
        <w:t>2</w:t>
      </w:r>
      <w:r w:rsidRPr="008017F0">
        <w:rPr>
          <w:rFonts w:eastAsia="Times New Roman"/>
          <w:lang w:eastAsia="it-IT"/>
        </w:rPr>
        <w:t xml:space="preserve"> are </w:t>
      </w:r>
      <w:r w:rsidRPr="008017F0">
        <w:rPr>
          <w:rFonts w:eastAsia="Times New Roman"/>
        </w:rPr>
        <w:t>satisfactory</w:t>
      </w:r>
      <w:r w:rsidRPr="008017F0">
        <w:rPr>
          <w:rFonts w:eastAsia="Times New Roman"/>
          <w:lang w:eastAsia="it-IT"/>
        </w:rPr>
        <w:t>. The</w:t>
      </w:r>
      <w:r w:rsidRPr="008017F0">
        <w:t xml:space="preserve"> bounds testing procedure always rejects the null hypothesis of no cointegration, providing evidence in favour of the existence of a long-run relationship among the policy funds and their determinants. Furthermore, while the null of homoscedasticity is rejected in four cases out of five, the insignificant value for the Reset test suggests that this heteroskedasticity is not likely to affect the coefficient estimates (see on this Thursby, 1982).</w:t>
      </w:r>
    </w:p>
    <w:p w14:paraId="17E38CA7" w14:textId="77777777" w:rsidR="008017F0" w:rsidRPr="008017F0" w:rsidRDefault="008017F0">
      <w:pPr>
        <w:spacing w:after="160" w:line="259" w:lineRule="auto"/>
        <w:rPr>
          <w:rFonts w:ascii="Times New Roman" w:hAnsi="Times New Roman" w:cs="Times New Roman"/>
          <w:bCs/>
          <w:sz w:val="24"/>
          <w:szCs w:val="24"/>
          <w:lang w:val="en-GB"/>
        </w:rPr>
      </w:pPr>
      <w:r w:rsidRPr="008017F0">
        <w:rPr>
          <w:rFonts w:ascii="Times New Roman" w:hAnsi="Times New Roman" w:cs="Times New Roman"/>
          <w:bCs/>
          <w:sz w:val="24"/>
          <w:szCs w:val="24"/>
          <w:lang w:val="en-GB"/>
        </w:rPr>
        <w:br w:type="page"/>
      </w:r>
    </w:p>
    <w:p w14:paraId="611D3C9E" w14:textId="5E44FE7B" w:rsidR="000336FE" w:rsidRPr="008017F0" w:rsidRDefault="000336FE" w:rsidP="000336FE">
      <w:pPr>
        <w:spacing w:after="0" w:line="240" w:lineRule="auto"/>
        <w:jc w:val="both"/>
        <w:rPr>
          <w:rFonts w:ascii="Times New Roman" w:eastAsia="Times New Roman" w:hAnsi="Times New Roman" w:cs="Times New Roman"/>
          <w:bCs/>
          <w:sz w:val="20"/>
          <w:szCs w:val="20"/>
          <w:lang w:val="en-GB" w:eastAsia="it-IT"/>
        </w:rPr>
      </w:pPr>
      <w:r w:rsidRPr="008017F0">
        <w:rPr>
          <w:rFonts w:ascii="Times New Roman" w:hAnsi="Times New Roman" w:cs="Times New Roman"/>
          <w:bCs/>
          <w:sz w:val="20"/>
          <w:szCs w:val="20"/>
          <w:lang w:val="en-GB"/>
        </w:rPr>
        <w:lastRenderedPageBreak/>
        <w:t xml:space="preserve">Table A12. </w:t>
      </w:r>
      <w:r w:rsidRPr="008017F0">
        <w:rPr>
          <w:rFonts w:ascii="Times New Roman" w:eastAsia="Times New Roman" w:hAnsi="Times New Roman" w:cs="Times New Roman"/>
          <w:bCs/>
          <w:sz w:val="20"/>
          <w:szCs w:val="20"/>
          <w:lang w:val="en-GB" w:eastAsia="it-IT"/>
        </w:rPr>
        <w:t>EU and National Cohesion Funds, the fund allocation mechanism (1994-2019).</w:t>
      </w:r>
    </w:p>
    <w:p w14:paraId="39AB5423" w14:textId="77777777" w:rsidR="000336FE" w:rsidRPr="008017F0" w:rsidRDefault="000336FE" w:rsidP="000336FE">
      <w:pPr>
        <w:spacing w:after="0" w:line="240" w:lineRule="auto"/>
        <w:jc w:val="both"/>
        <w:rPr>
          <w:rFonts w:ascii="Times New Roman" w:hAnsi="Times New Roman" w:cs="Times New Roman"/>
          <w:bCs/>
          <w:sz w:val="20"/>
          <w:szCs w:val="20"/>
          <w:lang w:val="en-GB"/>
        </w:rPr>
      </w:pPr>
      <w:r w:rsidRPr="008017F0">
        <w:rPr>
          <w:rFonts w:ascii="Times New Roman" w:eastAsia="Times New Roman" w:hAnsi="Times New Roman" w:cs="Times New Roman"/>
          <w:bCs/>
          <w:sz w:val="20"/>
          <w:szCs w:val="20"/>
          <w:lang w:val="en-GB" w:eastAsia="it-IT"/>
        </w:rPr>
        <w:t xml:space="preserve">Two-way fixed effect panel LS model with robust standard errors (Driscoll-Kraay </w:t>
      </w:r>
      <w:r w:rsidRPr="008017F0">
        <w:rPr>
          <w:rFonts w:ascii="Times New Roman" w:hAnsi="Times New Roman" w:cs="Times New Roman"/>
          <w:bCs/>
          <w:sz w:val="20"/>
          <w:szCs w:val="20"/>
          <w:lang w:val="en-GB"/>
        </w:rPr>
        <w:t>consistent covariance matrix).</w:t>
      </w:r>
    </w:p>
    <w:tbl>
      <w:tblPr>
        <w:tblW w:w="9639" w:type="dxa"/>
        <w:tblInd w:w="-5" w:type="dxa"/>
        <w:tblLayout w:type="fixed"/>
        <w:tblCellMar>
          <w:left w:w="70" w:type="dxa"/>
          <w:right w:w="70" w:type="dxa"/>
        </w:tblCellMar>
        <w:tblLook w:val="04A0" w:firstRow="1" w:lastRow="0" w:firstColumn="1" w:lastColumn="0" w:noHBand="0" w:noVBand="1"/>
      </w:tblPr>
      <w:tblGrid>
        <w:gridCol w:w="2977"/>
        <w:gridCol w:w="1332"/>
        <w:gridCol w:w="1332"/>
        <w:gridCol w:w="1333"/>
        <w:gridCol w:w="1332"/>
        <w:gridCol w:w="1333"/>
      </w:tblGrid>
      <w:tr w:rsidR="000336FE" w:rsidRPr="008017F0" w14:paraId="628AC6DB" w14:textId="77777777" w:rsidTr="00953B6F">
        <w:trPr>
          <w:trHeight w:hRule="exact" w:val="227"/>
        </w:trPr>
        <w:tc>
          <w:tcPr>
            <w:tcW w:w="2977" w:type="dxa"/>
            <w:tcBorders>
              <w:top w:val="single" w:sz="4" w:space="0" w:color="auto"/>
              <w:left w:val="single" w:sz="4" w:space="0" w:color="auto"/>
              <w:bottom w:val="single" w:sz="4" w:space="0" w:color="auto"/>
              <w:right w:val="single" w:sz="4" w:space="0" w:color="auto"/>
            </w:tcBorders>
            <w:vAlign w:val="bottom"/>
          </w:tcPr>
          <w:p w14:paraId="7CC79B47" w14:textId="77777777" w:rsidR="000336FE" w:rsidRPr="008017F0" w:rsidRDefault="000336FE" w:rsidP="00953B6F">
            <w:pPr>
              <w:spacing w:after="0" w:line="240" w:lineRule="auto"/>
              <w:ind w:right="-74"/>
              <w:rPr>
                <w:rFonts w:ascii="Times New Roman" w:eastAsia="Times New Roman" w:hAnsi="Times New Roman" w:cs="Times New Roman"/>
                <w:sz w:val="15"/>
                <w:szCs w:val="15"/>
                <w:lang w:val="en-GB" w:eastAsia="it-IT"/>
              </w:rPr>
            </w:pPr>
          </w:p>
        </w:tc>
        <w:tc>
          <w:tcPr>
            <w:tcW w:w="1332" w:type="dxa"/>
            <w:tcBorders>
              <w:top w:val="single" w:sz="4" w:space="0" w:color="auto"/>
              <w:left w:val="nil"/>
              <w:bottom w:val="single" w:sz="4" w:space="0" w:color="auto"/>
              <w:right w:val="single" w:sz="4" w:space="0" w:color="auto"/>
            </w:tcBorders>
            <w:noWrap/>
            <w:vAlign w:val="bottom"/>
          </w:tcPr>
          <w:p w14:paraId="109CE776" w14:textId="77777777" w:rsidR="000336FE" w:rsidRPr="008017F0" w:rsidRDefault="000336FE" w:rsidP="00953B6F">
            <w:pPr>
              <w:spacing w:after="0" w:line="240" w:lineRule="auto"/>
              <w:jc w:val="center"/>
              <w:rPr>
                <w:rFonts w:ascii="Times New Roman" w:eastAsia="Times New Roman" w:hAnsi="Times New Roman" w:cs="Times New Roman"/>
                <w:sz w:val="18"/>
                <w:szCs w:val="18"/>
                <w:lang w:val="en-GB" w:eastAsia="it-IT"/>
              </w:rPr>
            </w:pPr>
            <w:r w:rsidRPr="008017F0">
              <w:rPr>
                <w:rFonts w:ascii="Times New Roman" w:eastAsia="Times New Roman" w:hAnsi="Times New Roman" w:cs="Times New Roman"/>
                <w:sz w:val="18"/>
                <w:szCs w:val="18"/>
                <w:lang w:val="en-GB" w:eastAsia="it-IT"/>
              </w:rPr>
              <w:t>(1)</w:t>
            </w:r>
          </w:p>
        </w:tc>
        <w:tc>
          <w:tcPr>
            <w:tcW w:w="1332" w:type="dxa"/>
            <w:tcBorders>
              <w:top w:val="single" w:sz="4" w:space="0" w:color="auto"/>
              <w:left w:val="nil"/>
              <w:bottom w:val="single" w:sz="4" w:space="0" w:color="auto"/>
              <w:right w:val="single" w:sz="4" w:space="0" w:color="auto"/>
            </w:tcBorders>
            <w:noWrap/>
            <w:vAlign w:val="bottom"/>
          </w:tcPr>
          <w:p w14:paraId="6E68464C" w14:textId="77777777" w:rsidR="000336FE" w:rsidRPr="008017F0" w:rsidRDefault="000336FE" w:rsidP="00953B6F">
            <w:pPr>
              <w:spacing w:after="0" w:line="240" w:lineRule="auto"/>
              <w:jc w:val="center"/>
              <w:rPr>
                <w:rFonts w:ascii="Times New Roman" w:eastAsia="Times New Roman" w:hAnsi="Times New Roman" w:cs="Times New Roman"/>
                <w:sz w:val="18"/>
                <w:szCs w:val="18"/>
                <w:lang w:val="en-GB" w:eastAsia="it-IT"/>
              </w:rPr>
            </w:pPr>
            <w:r w:rsidRPr="008017F0">
              <w:rPr>
                <w:rFonts w:ascii="Times New Roman" w:eastAsia="Times New Roman" w:hAnsi="Times New Roman" w:cs="Times New Roman"/>
                <w:sz w:val="18"/>
                <w:szCs w:val="18"/>
                <w:lang w:val="en-GB" w:eastAsia="it-IT"/>
              </w:rPr>
              <w:t>(2)</w:t>
            </w:r>
          </w:p>
        </w:tc>
        <w:tc>
          <w:tcPr>
            <w:tcW w:w="1333" w:type="dxa"/>
            <w:tcBorders>
              <w:top w:val="single" w:sz="4" w:space="0" w:color="auto"/>
              <w:left w:val="nil"/>
              <w:bottom w:val="single" w:sz="4" w:space="0" w:color="auto"/>
              <w:right w:val="single" w:sz="4" w:space="0" w:color="auto"/>
            </w:tcBorders>
            <w:noWrap/>
            <w:vAlign w:val="bottom"/>
          </w:tcPr>
          <w:p w14:paraId="315DC6CC" w14:textId="77777777" w:rsidR="000336FE" w:rsidRPr="008017F0" w:rsidRDefault="000336FE" w:rsidP="00953B6F">
            <w:pPr>
              <w:spacing w:after="0" w:line="240" w:lineRule="auto"/>
              <w:jc w:val="center"/>
              <w:rPr>
                <w:rFonts w:ascii="Times New Roman" w:eastAsia="Times New Roman" w:hAnsi="Times New Roman" w:cs="Times New Roman"/>
                <w:sz w:val="18"/>
                <w:szCs w:val="18"/>
                <w:lang w:val="en-GB" w:eastAsia="it-IT"/>
              </w:rPr>
            </w:pPr>
            <w:r w:rsidRPr="008017F0">
              <w:rPr>
                <w:rFonts w:ascii="Times New Roman" w:eastAsia="Times New Roman" w:hAnsi="Times New Roman" w:cs="Times New Roman"/>
                <w:sz w:val="18"/>
                <w:szCs w:val="18"/>
                <w:lang w:val="en-GB" w:eastAsia="it-IT"/>
              </w:rPr>
              <w:t>(3)</w:t>
            </w:r>
          </w:p>
        </w:tc>
        <w:tc>
          <w:tcPr>
            <w:tcW w:w="1332" w:type="dxa"/>
            <w:tcBorders>
              <w:top w:val="single" w:sz="4" w:space="0" w:color="auto"/>
              <w:left w:val="nil"/>
              <w:bottom w:val="single" w:sz="4" w:space="0" w:color="auto"/>
              <w:right w:val="single" w:sz="4" w:space="0" w:color="auto"/>
            </w:tcBorders>
            <w:noWrap/>
            <w:vAlign w:val="bottom"/>
          </w:tcPr>
          <w:p w14:paraId="75A05D3E" w14:textId="77777777" w:rsidR="000336FE" w:rsidRPr="008017F0" w:rsidRDefault="000336FE" w:rsidP="00953B6F">
            <w:pPr>
              <w:spacing w:after="0" w:line="240" w:lineRule="auto"/>
              <w:jc w:val="center"/>
              <w:rPr>
                <w:rFonts w:ascii="Times New Roman" w:eastAsia="Times New Roman" w:hAnsi="Times New Roman" w:cs="Times New Roman"/>
                <w:sz w:val="18"/>
                <w:szCs w:val="18"/>
                <w:lang w:val="en-GB" w:eastAsia="it-IT"/>
              </w:rPr>
            </w:pPr>
            <w:r w:rsidRPr="008017F0">
              <w:rPr>
                <w:rFonts w:ascii="Times New Roman" w:eastAsia="Times New Roman" w:hAnsi="Times New Roman" w:cs="Times New Roman"/>
                <w:sz w:val="18"/>
                <w:szCs w:val="18"/>
                <w:lang w:val="en-GB" w:eastAsia="it-IT"/>
              </w:rPr>
              <w:t>(4)</w:t>
            </w:r>
          </w:p>
        </w:tc>
        <w:tc>
          <w:tcPr>
            <w:tcW w:w="1333" w:type="dxa"/>
            <w:tcBorders>
              <w:top w:val="single" w:sz="4" w:space="0" w:color="auto"/>
              <w:left w:val="nil"/>
              <w:bottom w:val="single" w:sz="4" w:space="0" w:color="auto"/>
              <w:right w:val="single" w:sz="4" w:space="0" w:color="auto"/>
            </w:tcBorders>
            <w:noWrap/>
            <w:vAlign w:val="bottom"/>
          </w:tcPr>
          <w:p w14:paraId="24260B43" w14:textId="77777777" w:rsidR="000336FE" w:rsidRPr="008017F0" w:rsidRDefault="000336FE" w:rsidP="00953B6F">
            <w:pPr>
              <w:spacing w:after="0" w:line="240" w:lineRule="auto"/>
              <w:jc w:val="center"/>
              <w:rPr>
                <w:rFonts w:ascii="Times New Roman" w:eastAsia="Times New Roman" w:hAnsi="Times New Roman" w:cs="Times New Roman"/>
                <w:sz w:val="18"/>
                <w:szCs w:val="18"/>
                <w:lang w:val="en-GB" w:eastAsia="it-IT"/>
              </w:rPr>
            </w:pPr>
            <w:r w:rsidRPr="008017F0">
              <w:rPr>
                <w:rFonts w:ascii="Times New Roman" w:eastAsia="Times New Roman" w:hAnsi="Times New Roman" w:cs="Times New Roman"/>
                <w:sz w:val="18"/>
                <w:szCs w:val="18"/>
                <w:lang w:val="en-GB" w:eastAsia="it-IT"/>
              </w:rPr>
              <w:t>(5)</w:t>
            </w:r>
          </w:p>
        </w:tc>
      </w:tr>
      <w:tr w:rsidR="000336FE" w:rsidRPr="008017F0" w14:paraId="7C2AF351" w14:textId="77777777" w:rsidTr="00953B6F">
        <w:trPr>
          <w:trHeight w:hRule="exact" w:val="510"/>
        </w:trPr>
        <w:tc>
          <w:tcPr>
            <w:tcW w:w="2977" w:type="dxa"/>
            <w:tcBorders>
              <w:top w:val="single" w:sz="4" w:space="0" w:color="auto"/>
              <w:left w:val="single" w:sz="4" w:space="0" w:color="auto"/>
              <w:bottom w:val="single" w:sz="4" w:space="0" w:color="auto"/>
              <w:right w:val="single" w:sz="4" w:space="0" w:color="auto"/>
              <w:tl2br w:val="single" w:sz="4" w:space="0" w:color="auto"/>
            </w:tcBorders>
          </w:tcPr>
          <w:p w14:paraId="00FB9E46" w14:textId="77777777" w:rsidR="000336FE" w:rsidRPr="008017F0" w:rsidRDefault="000336FE" w:rsidP="00953B6F">
            <w:pPr>
              <w:spacing w:after="0" w:line="240" w:lineRule="auto"/>
              <w:jc w:val="right"/>
              <w:rPr>
                <w:rFonts w:eastAsia="Times New Roman" w:cstheme="minorHAnsi"/>
                <w:b/>
                <w:bCs/>
                <w:sz w:val="15"/>
                <w:szCs w:val="15"/>
                <w:lang w:val="en-GB" w:eastAsia="it-IT"/>
              </w:rPr>
            </w:pPr>
            <w:r w:rsidRPr="008017F0">
              <w:rPr>
                <w:rFonts w:eastAsia="Times New Roman" w:cstheme="minorHAnsi"/>
                <w:b/>
                <w:bCs/>
                <w:sz w:val="15"/>
                <w:szCs w:val="15"/>
                <w:lang w:val="en-GB" w:eastAsia="it-IT"/>
              </w:rPr>
              <w:t xml:space="preserve">Dependent variables </w:t>
            </w:r>
          </w:p>
          <w:p w14:paraId="4FF38752" w14:textId="77777777" w:rsidR="000336FE" w:rsidRPr="008017F0" w:rsidRDefault="000336FE" w:rsidP="00953B6F">
            <w:pPr>
              <w:spacing w:after="0" w:line="240" w:lineRule="auto"/>
              <w:ind w:right="-74"/>
              <w:rPr>
                <w:rFonts w:eastAsia="Times New Roman" w:cstheme="minorHAnsi"/>
                <w:b/>
                <w:bCs/>
                <w:sz w:val="15"/>
                <w:szCs w:val="15"/>
                <w:lang w:val="en-GB" w:eastAsia="it-IT"/>
              </w:rPr>
            </w:pPr>
          </w:p>
          <w:p w14:paraId="4C9B2EDB" w14:textId="77777777" w:rsidR="000336FE" w:rsidRPr="008017F0" w:rsidRDefault="000336FE" w:rsidP="00953B6F">
            <w:pPr>
              <w:spacing w:after="0" w:line="240" w:lineRule="auto"/>
              <w:ind w:right="-74"/>
              <w:rPr>
                <w:rFonts w:eastAsia="Times New Roman" w:cstheme="minorHAnsi"/>
                <w:b/>
                <w:bCs/>
                <w:sz w:val="15"/>
                <w:szCs w:val="15"/>
                <w:lang w:val="en-GB" w:eastAsia="it-IT"/>
              </w:rPr>
            </w:pPr>
            <w:r w:rsidRPr="008017F0">
              <w:rPr>
                <w:rFonts w:eastAsia="Times New Roman" w:cstheme="minorHAnsi"/>
                <w:b/>
                <w:bCs/>
                <w:sz w:val="15"/>
                <w:szCs w:val="15"/>
                <w:lang w:val="en-GB" w:eastAsia="it-IT"/>
              </w:rPr>
              <w:t>Regressors</w:t>
            </w:r>
          </w:p>
        </w:tc>
        <w:tc>
          <w:tcPr>
            <w:tcW w:w="1332" w:type="dxa"/>
            <w:tcBorders>
              <w:top w:val="nil"/>
              <w:left w:val="nil"/>
              <w:bottom w:val="single" w:sz="4" w:space="0" w:color="auto"/>
              <w:right w:val="single" w:sz="4" w:space="0" w:color="auto"/>
            </w:tcBorders>
            <w:noWrap/>
          </w:tcPr>
          <w:p w14:paraId="7861533C" w14:textId="77777777" w:rsidR="000336FE" w:rsidRPr="008017F0" w:rsidRDefault="000336FE" w:rsidP="00953B6F">
            <w:pPr>
              <w:spacing w:after="0" w:line="240" w:lineRule="auto"/>
              <w:jc w:val="center"/>
              <w:rPr>
                <w:rFonts w:eastAsia="Times New Roman" w:cstheme="minorHAnsi"/>
                <w:b/>
                <w:bCs/>
                <w:sz w:val="15"/>
                <w:szCs w:val="15"/>
                <w:lang w:val="en-GB" w:eastAsia="it-IT"/>
              </w:rPr>
            </w:pPr>
            <w:r w:rsidRPr="008017F0">
              <w:rPr>
                <w:rFonts w:eastAsia="Times New Roman" w:cstheme="minorHAnsi"/>
                <w:b/>
                <w:bCs/>
                <w:sz w:val="15"/>
                <w:szCs w:val="15"/>
                <w:lang w:val="en-GB" w:eastAsia="it-IT"/>
              </w:rPr>
              <w:t>D.EU Funds plus national co-financing</w:t>
            </w:r>
          </w:p>
        </w:tc>
        <w:tc>
          <w:tcPr>
            <w:tcW w:w="1332" w:type="dxa"/>
            <w:tcBorders>
              <w:top w:val="nil"/>
              <w:left w:val="nil"/>
              <w:bottom w:val="single" w:sz="4" w:space="0" w:color="auto"/>
              <w:right w:val="single" w:sz="4" w:space="0" w:color="auto"/>
            </w:tcBorders>
            <w:noWrap/>
          </w:tcPr>
          <w:p w14:paraId="48C3102B" w14:textId="77777777" w:rsidR="000336FE" w:rsidRPr="008017F0" w:rsidRDefault="000336FE" w:rsidP="00953B6F">
            <w:pPr>
              <w:spacing w:after="0" w:line="240" w:lineRule="auto"/>
              <w:jc w:val="center"/>
              <w:rPr>
                <w:rFonts w:eastAsia="Times New Roman" w:cstheme="minorHAnsi"/>
                <w:b/>
                <w:bCs/>
                <w:sz w:val="15"/>
                <w:szCs w:val="15"/>
                <w:lang w:val="en-GB" w:eastAsia="it-IT"/>
              </w:rPr>
            </w:pPr>
            <w:proofErr w:type="spellStart"/>
            <w:r w:rsidRPr="008017F0">
              <w:rPr>
                <w:rFonts w:eastAsia="Times New Roman" w:cstheme="minorHAnsi"/>
                <w:b/>
                <w:bCs/>
                <w:sz w:val="15"/>
                <w:szCs w:val="15"/>
                <w:lang w:val="en-GB" w:eastAsia="it-IT"/>
              </w:rPr>
              <w:t>D.Current</w:t>
            </w:r>
            <w:proofErr w:type="spellEnd"/>
            <w:r w:rsidRPr="008017F0">
              <w:rPr>
                <w:rFonts w:eastAsia="Times New Roman" w:cstheme="minorHAnsi"/>
                <w:b/>
                <w:bCs/>
                <w:sz w:val="15"/>
                <w:szCs w:val="15"/>
                <w:lang w:val="en-GB" w:eastAsia="it-IT"/>
              </w:rPr>
              <w:t xml:space="preserve"> account subsidies to firms</w:t>
            </w:r>
          </w:p>
        </w:tc>
        <w:tc>
          <w:tcPr>
            <w:tcW w:w="1333" w:type="dxa"/>
            <w:tcBorders>
              <w:top w:val="nil"/>
              <w:left w:val="nil"/>
              <w:bottom w:val="single" w:sz="4" w:space="0" w:color="auto"/>
              <w:right w:val="single" w:sz="4" w:space="0" w:color="auto"/>
            </w:tcBorders>
            <w:noWrap/>
          </w:tcPr>
          <w:p w14:paraId="7E5026B2" w14:textId="77777777" w:rsidR="000336FE" w:rsidRPr="008017F0" w:rsidRDefault="000336FE" w:rsidP="00953B6F">
            <w:pPr>
              <w:spacing w:after="0" w:line="240" w:lineRule="auto"/>
              <w:jc w:val="center"/>
              <w:rPr>
                <w:rFonts w:eastAsia="Times New Roman" w:cstheme="minorHAnsi"/>
                <w:b/>
                <w:bCs/>
                <w:sz w:val="15"/>
                <w:szCs w:val="15"/>
                <w:lang w:val="en-GB" w:eastAsia="it-IT"/>
              </w:rPr>
            </w:pPr>
            <w:proofErr w:type="spellStart"/>
            <w:r w:rsidRPr="008017F0">
              <w:rPr>
                <w:rFonts w:eastAsia="Times New Roman" w:cstheme="minorHAnsi"/>
                <w:b/>
                <w:bCs/>
                <w:sz w:val="15"/>
                <w:szCs w:val="15"/>
                <w:lang w:val="en-GB" w:eastAsia="it-IT"/>
              </w:rPr>
              <w:t>D.Nationally</w:t>
            </w:r>
            <w:proofErr w:type="spellEnd"/>
            <w:r w:rsidRPr="008017F0">
              <w:rPr>
                <w:rFonts w:eastAsia="Times New Roman" w:cstheme="minorHAnsi"/>
                <w:b/>
                <w:bCs/>
                <w:sz w:val="15"/>
                <w:szCs w:val="15"/>
                <w:lang w:val="en-GB" w:eastAsia="it-IT"/>
              </w:rPr>
              <w:t xml:space="preserve"> financed cohesion funds</w:t>
            </w:r>
          </w:p>
        </w:tc>
        <w:tc>
          <w:tcPr>
            <w:tcW w:w="1332" w:type="dxa"/>
            <w:tcBorders>
              <w:top w:val="nil"/>
              <w:left w:val="nil"/>
              <w:bottom w:val="single" w:sz="4" w:space="0" w:color="auto"/>
              <w:right w:val="single" w:sz="4" w:space="0" w:color="auto"/>
            </w:tcBorders>
            <w:noWrap/>
          </w:tcPr>
          <w:p w14:paraId="63E97C23" w14:textId="77777777" w:rsidR="000336FE" w:rsidRPr="008017F0" w:rsidRDefault="000336FE" w:rsidP="00953B6F">
            <w:pPr>
              <w:spacing w:after="0" w:line="240" w:lineRule="auto"/>
              <w:jc w:val="center"/>
              <w:rPr>
                <w:rFonts w:eastAsia="Times New Roman" w:cstheme="minorHAnsi"/>
                <w:b/>
                <w:bCs/>
                <w:sz w:val="15"/>
                <w:szCs w:val="15"/>
                <w:lang w:val="en-GB" w:eastAsia="it-IT"/>
              </w:rPr>
            </w:pPr>
            <w:proofErr w:type="spellStart"/>
            <w:r w:rsidRPr="008017F0">
              <w:rPr>
                <w:rFonts w:eastAsia="Times New Roman" w:cstheme="minorHAnsi"/>
                <w:b/>
                <w:bCs/>
                <w:sz w:val="15"/>
                <w:szCs w:val="15"/>
                <w:lang w:val="en-GB" w:eastAsia="it-IT"/>
              </w:rPr>
              <w:t>D.Capital</w:t>
            </w:r>
            <w:proofErr w:type="spellEnd"/>
            <w:r w:rsidRPr="008017F0">
              <w:rPr>
                <w:rFonts w:eastAsia="Times New Roman" w:cstheme="minorHAnsi"/>
                <w:b/>
                <w:bCs/>
                <w:sz w:val="15"/>
                <w:szCs w:val="15"/>
                <w:lang w:val="en-GB" w:eastAsia="it-IT"/>
              </w:rPr>
              <w:t xml:space="preserve"> </w:t>
            </w:r>
            <w:proofErr w:type="spellStart"/>
            <w:r w:rsidRPr="008017F0">
              <w:rPr>
                <w:rFonts w:eastAsia="Times New Roman" w:cstheme="minorHAnsi"/>
                <w:b/>
                <w:bCs/>
                <w:sz w:val="15"/>
                <w:szCs w:val="15"/>
                <w:lang w:val="en-GB" w:eastAsia="it-IT"/>
              </w:rPr>
              <w:t>accout</w:t>
            </w:r>
            <w:proofErr w:type="spellEnd"/>
            <w:r w:rsidRPr="008017F0">
              <w:rPr>
                <w:rFonts w:eastAsia="Times New Roman" w:cstheme="minorHAnsi"/>
                <w:b/>
                <w:bCs/>
                <w:sz w:val="15"/>
                <w:szCs w:val="15"/>
                <w:lang w:val="en-GB" w:eastAsia="it-IT"/>
              </w:rPr>
              <w:t xml:space="preserve"> subsidies</w:t>
            </w:r>
          </w:p>
        </w:tc>
        <w:tc>
          <w:tcPr>
            <w:tcW w:w="1333" w:type="dxa"/>
            <w:tcBorders>
              <w:top w:val="nil"/>
              <w:left w:val="nil"/>
              <w:bottom w:val="single" w:sz="4" w:space="0" w:color="auto"/>
              <w:right w:val="single" w:sz="4" w:space="0" w:color="auto"/>
            </w:tcBorders>
            <w:noWrap/>
          </w:tcPr>
          <w:p w14:paraId="0F4C4620" w14:textId="77777777" w:rsidR="000336FE" w:rsidRPr="008017F0" w:rsidRDefault="000336FE" w:rsidP="00953B6F">
            <w:pPr>
              <w:spacing w:after="0" w:line="240" w:lineRule="auto"/>
              <w:jc w:val="center"/>
              <w:rPr>
                <w:rFonts w:eastAsia="Times New Roman" w:cstheme="minorHAnsi"/>
                <w:b/>
                <w:bCs/>
                <w:sz w:val="15"/>
                <w:szCs w:val="15"/>
                <w:lang w:val="en-GB" w:eastAsia="it-IT"/>
              </w:rPr>
            </w:pPr>
            <w:proofErr w:type="spellStart"/>
            <w:r w:rsidRPr="008017F0">
              <w:rPr>
                <w:rFonts w:eastAsia="Times New Roman" w:cstheme="minorHAnsi"/>
                <w:b/>
                <w:bCs/>
                <w:sz w:val="15"/>
                <w:szCs w:val="15"/>
                <w:lang w:val="en-GB" w:eastAsia="it-IT"/>
              </w:rPr>
              <w:t>D.Nationally</w:t>
            </w:r>
            <w:proofErr w:type="spellEnd"/>
            <w:r w:rsidRPr="008017F0">
              <w:rPr>
                <w:rFonts w:eastAsia="Times New Roman" w:cstheme="minorHAnsi"/>
                <w:b/>
                <w:bCs/>
                <w:sz w:val="15"/>
                <w:szCs w:val="15"/>
                <w:lang w:val="en-GB" w:eastAsia="it-IT"/>
              </w:rPr>
              <w:t xml:space="preserve"> financed public investments</w:t>
            </w:r>
          </w:p>
        </w:tc>
      </w:tr>
      <w:tr w:rsidR="000336FE" w:rsidRPr="008017F0" w14:paraId="218B927E"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16C56563"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EU Funds plus national co-financing (t-1)</w:t>
            </w:r>
          </w:p>
        </w:tc>
        <w:tc>
          <w:tcPr>
            <w:tcW w:w="1332" w:type="dxa"/>
            <w:tcBorders>
              <w:top w:val="nil"/>
              <w:left w:val="nil"/>
              <w:bottom w:val="single" w:sz="4" w:space="0" w:color="auto"/>
              <w:right w:val="single" w:sz="4" w:space="0" w:color="auto"/>
            </w:tcBorders>
            <w:noWrap/>
            <w:vAlign w:val="bottom"/>
            <w:hideMark/>
          </w:tcPr>
          <w:p w14:paraId="2DCF3D4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-0.871***</w:t>
            </w:r>
          </w:p>
        </w:tc>
        <w:tc>
          <w:tcPr>
            <w:tcW w:w="1332" w:type="dxa"/>
            <w:tcBorders>
              <w:top w:val="nil"/>
              <w:left w:val="nil"/>
              <w:bottom w:val="single" w:sz="4" w:space="0" w:color="auto"/>
              <w:right w:val="single" w:sz="4" w:space="0" w:color="auto"/>
            </w:tcBorders>
            <w:noWrap/>
            <w:vAlign w:val="bottom"/>
            <w:hideMark/>
          </w:tcPr>
          <w:p w14:paraId="026F0DD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7971947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15588F8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-0.043**</w:t>
            </w:r>
          </w:p>
        </w:tc>
        <w:tc>
          <w:tcPr>
            <w:tcW w:w="1333" w:type="dxa"/>
            <w:tcBorders>
              <w:top w:val="nil"/>
              <w:left w:val="nil"/>
              <w:bottom w:val="single" w:sz="4" w:space="0" w:color="auto"/>
              <w:right w:val="single" w:sz="4" w:space="0" w:color="auto"/>
            </w:tcBorders>
            <w:noWrap/>
            <w:vAlign w:val="bottom"/>
            <w:hideMark/>
          </w:tcPr>
          <w:p w14:paraId="01868AE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-0.034**</w:t>
            </w:r>
          </w:p>
        </w:tc>
      </w:tr>
      <w:tr w:rsidR="000336FE" w:rsidRPr="008017F0" w14:paraId="50619744"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027FA5B3"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EU Funds plus national co-financing (t-2)</w:t>
            </w:r>
          </w:p>
        </w:tc>
        <w:tc>
          <w:tcPr>
            <w:tcW w:w="1332" w:type="dxa"/>
            <w:tcBorders>
              <w:top w:val="nil"/>
              <w:left w:val="nil"/>
              <w:bottom w:val="single" w:sz="4" w:space="0" w:color="auto"/>
              <w:right w:val="single" w:sz="4" w:space="0" w:color="auto"/>
            </w:tcBorders>
            <w:noWrap/>
            <w:vAlign w:val="bottom"/>
            <w:hideMark/>
          </w:tcPr>
          <w:p w14:paraId="76046C4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-0.089**</w:t>
            </w:r>
          </w:p>
        </w:tc>
        <w:tc>
          <w:tcPr>
            <w:tcW w:w="1332" w:type="dxa"/>
            <w:tcBorders>
              <w:top w:val="nil"/>
              <w:left w:val="nil"/>
              <w:bottom w:val="single" w:sz="4" w:space="0" w:color="auto"/>
              <w:right w:val="single" w:sz="4" w:space="0" w:color="auto"/>
            </w:tcBorders>
            <w:noWrap/>
            <w:vAlign w:val="bottom"/>
            <w:hideMark/>
          </w:tcPr>
          <w:p w14:paraId="22BBA4E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3B0DE8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03566B0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-0.078***</w:t>
            </w:r>
          </w:p>
        </w:tc>
        <w:tc>
          <w:tcPr>
            <w:tcW w:w="1333" w:type="dxa"/>
            <w:tcBorders>
              <w:top w:val="nil"/>
              <w:left w:val="nil"/>
              <w:bottom w:val="single" w:sz="4" w:space="0" w:color="auto"/>
              <w:right w:val="single" w:sz="4" w:space="0" w:color="auto"/>
            </w:tcBorders>
            <w:noWrap/>
            <w:vAlign w:val="bottom"/>
            <w:hideMark/>
          </w:tcPr>
          <w:p w14:paraId="255531B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08B196B9"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4AF4FEB8"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Current account subsidies to firms (t-1)</w:t>
            </w:r>
          </w:p>
        </w:tc>
        <w:tc>
          <w:tcPr>
            <w:tcW w:w="1332" w:type="dxa"/>
            <w:tcBorders>
              <w:top w:val="nil"/>
              <w:left w:val="nil"/>
              <w:bottom w:val="single" w:sz="4" w:space="0" w:color="auto"/>
              <w:right w:val="single" w:sz="4" w:space="0" w:color="auto"/>
            </w:tcBorders>
            <w:noWrap/>
            <w:vAlign w:val="bottom"/>
            <w:hideMark/>
          </w:tcPr>
          <w:p w14:paraId="33DCABB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33B4614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-0.671***</w:t>
            </w:r>
          </w:p>
        </w:tc>
        <w:tc>
          <w:tcPr>
            <w:tcW w:w="1333" w:type="dxa"/>
            <w:tcBorders>
              <w:top w:val="nil"/>
              <w:left w:val="nil"/>
              <w:bottom w:val="single" w:sz="4" w:space="0" w:color="auto"/>
              <w:right w:val="single" w:sz="4" w:space="0" w:color="auto"/>
            </w:tcBorders>
            <w:noWrap/>
            <w:vAlign w:val="bottom"/>
            <w:hideMark/>
          </w:tcPr>
          <w:p w14:paraId="2A04937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0C994E2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0.057***</w:t>
            </w:r>
          </w:p>
        </w:tc>
        <w:tc>
          <w:tcPr>
            <w:tcW w:w="1333" w:type="dxa"/>
            <w:tcBorders>
              <w:top w:val="nil"/>
              <w:left w:val="nil"/>
              <w:bottom w:val="single" w:sz="4" w:space="0" w:color="auto"/>
              <w:right w:val="single" w:sz="4" w:space="0" w:color="auto"/>
            </w:tcBorders>
            <w:noWrap/>
            <w:vAlign w:val="bottom"/>
            <w:hideMark/>
          </w:tcPr>
          <w:p w14:paraId="70585B4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1919873A"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1FEFDD0C"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Current account subsidies to firms (t-2)</w:t>
            </w:r>
          </w:p>
        </w:tc>
        <w:tc>
          <w:tcPr>
            <w:tcW w:w="1332" w:type="dxa"/>
            <w:tcBorders>
              <w:top w:val="nil"/>
              <w:left w:val="nil"/>
              <w:bottom w:val="single" w:sz="4" w:space="0" w:color="auto"/>
              <w:right w:val="single" w:sz="4" w:space="0" w:color="auto"/>
            </w:tcBorders>
            <w:noWrap/>
            <w:vAlign w:val="bottom"/>
            <w:hideMark/>
          </w:tcPr>
          <w:p w14:paraId="4FFFE4C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26F8BB2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0.265***</w:t>
            </w:r>
          </w:p>
        </w:tc>
        <w:tc>
          <w:tcPr>
            <w:tcW w:w="1333" w:type="dxa"/>
            <w:tcBorders>
              <w:top w:val="nil"/>
              <w:left w:val="nil"/>
              <w:bottom w:val="single" w:sz="4" w:space="0" w:color="auto"/>
              <w:right w:val="single" w:sz="4" w:space="0" w:color="auto"/>
            </w:tcBorders>
            <w:noWrap/>
            <w:vAlign w:val="bottom"/>
            <w:hideMark/>
          </w:tcPr>
          <w:p w14:paraId="2F31841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19A6336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80F2C0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088D0C47"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03657EC3"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Nationally financed cohesion funds (t-1)</w:t>
            </w:r>
          </w:p>
        </w:tc>
        <w:tc>
          <w:tcPr>
            <w:tcW w:w="1332" w:type="dxa"/>
            <w:tcBorders>
              <w:top w:val="nil"/>
              <w:left w:val="nil"/>
              <w:bottom w:val="single" w:sz="4" w:space="0" w:color="auto"/>
              <w:right w:val="single" w:sz="4" w:space="0" w:color="auto"/>
            </w:tcBorders>
            <w:noWrap/>
            <w:vAlign w:val="bottom"/>
            <w:hideMark/>
          </w:tcPr>
          <w:p w14:paraId="67BCA54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4B1D759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4435627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-0.792***</w:t>
            </w:r>
          </w:p>
        </w:tc>
        <w:tc>
          <w:tcPr>
            <w:tcW w:w="1332" w:type="dxa"/>
            <w:tcBorders>
              <w:top w:val="nil"/>
              <w:left w:val="nil"/>
              <w:bottom w:val="single" w:sz="4" w:space="0" w:color="auto"/>
              <w:right w:val="single" w:sz="4" w:space="0" w:color="auto"/>
            </w:tcBorders>
            <w:noWrap/>
            <w:vAlign w:val="bottom"/>
            <w:hideMark/>
          </w:tcPr>
          <w:p w14:paraId="4F107BE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466E179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682C6124"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261CA748"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Capital account subsidies (t-1)</w:t>
            </w:r>
          </w:p>
        </w:tc>
        <w:tc>
          <w:tcPr>
            <w:tcW w:w="1332" w:type="dxa"/>
            <w:tcBorders>
              <w:top w:val="nil"/>
              <w:left w:val="nil"/>
              <w:bottom w:val="single" w:sz="4" w:space="0" w:color="auto"/>
              <w:right w:val="single" w:sz="4" w:space="0" w:color="auto"/>
            </w:tcBorders>
            <w:noWrap/>
            <w:vAlign w:val="bottom"/>
            <w:hideMark/>
          </w:tcPr>
          <w:p w14:paraId="344A446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0.110</w:t>
            </w:r>
          </w:p>
        </w:tc>
        <w:tc>
          <w:tcPr>
            <w:tcW w:w="1332" w:type="dxa"/>
            <w:tcBorders>
              <w:top w:val="nil"/>
              <w:left w:val="nil"/>
              <w:bottom w:val="single" w:sz="4" w:space="0" w:color="auto"/>
              <w:right w:val="single" w:sz="4" w:space="0" w:color="auto"/>
            </w:tcBorders>
            <w:noWrap/>
            <w:vAlign w:val="bottom"/>
            <w:hideMark/>
          </w:tcPr>
          <w:p w14:paraId="2030108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6EF7838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287CD1F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-0.898***</w:t>
            </w:r>
          </w:p>
        </w:tc>
        <w:tc>
          <w:tcPr>
            <w:tcW w:w="1333" w:type="dxa"/>
            <w:tcBorders>
              <w:top w:val="nil"/>
              <w:left w:val="nil"/>
              <w:bottom w:val="single" w:sz="4" w:space="0" w:color="auto"/>
              <w:right w:val="single" w:sz="4" w:space="0" w:color="auto"/>
            </w:tcBorders>
            <w:noWrap/>
            <w:vAlign w:val="bottom"/>
            <w:hideMark/>
          </w:tcPr>
          <w:p w14:paraId="5790C6E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7355A154"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09978344"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Capital account subsidies (t-2)</w:t>
            </w:r>
          </w:p>
        </w:tc>
        <w:tc>
          <w:tcPr>
            <w:tcW w:w="1332" w:type="dxa"/>
            <w:tcBorders>
              <w:top w:val="nil"/>
              <w:left w:val="nil"/>
              <w:bottom w:val="single" w:sz="4" w:space="0" w:color="auto"/>
              <w:right w:val="single" w:sz="4" w:space="0" w:color="auto"/>
            </w:tcBorders>
            <w:noWrap/>
            <w:vAlign w:val="bottom"/>
            <w:hideMark/>
          </w:tcPr>
          <w:p w14:paraId="14936B5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768AE0A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48D9F31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6C4E78B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-0.07</w:t>
            </w:r>
          </w:p>
        </w:tc>
        <w:tc>
          <w:tcPr>
            <w:tcW w:w="1333" w:type="dxa"/>
            <w:tcBorders>
              <w:top w:val="nil"/>
              <w:left w:val="nil"/>
              <w:bottom w:val="single" w:sz="4" w:space="0" w:color="auto"/>
              <w:right w:val="single" w:sz="4" w:space="0" w:color="auto"/>
            </w:tcBorders>
            <w:noWrap/>
            <w:vAlign w:val="bottom"/>
            <w:hideMark/>
          </w:tcPr>
          <w:p w14:paraId="1979DE6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1823ABCC"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371B0F26"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Nationally financed public investments (t-1)</w:t>
            </w:r>
          </w:p>
        </w:tc>
        <w:tc>
          <w:tcPr>
            <w:tcW w:w="1332" w:type="dxa"/>
            <w:tcBorders>
              <w:top w:val="nil"/>
              <w:left w:val="nil"/>
              <w:bottom w:val="single" w:sz="4" w:space="0" w:color="auto"/>
              <w:right w:val="single" w:sz="4" w:space="0" w:color="auto"/>
            </w:tcBorders>
            <w:noWrap/>
            <w:vAlign w:val="bottom"/>
            <w:hideMark/>
          </w:tcPr>
          <w:p w14:paraId="2420F36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-0.061</w:t>
            </w:r>
          </w:p>
        </w:tc>
        <w:tc>
          <w:tcPr>
            <w:tcW w:w="1332" w:type="dxa"/>
            <w:tcBorders>
              <w:top w:val="nil"/>
              <w:left w:val="nil"/>
              <w:bottom w:val="single" w:sz="4" w:space="0" w:color="auto"/>
              <w:right w:val="single" w:sz="4" w:space="0" w:color="auto"/>
            </w:tcBorders>
            <w:noWrap/>
            <w:vAlign w:val="bottom"/>
            <w:hideMark/>
          </w:tcPr>
          <w:p w14:paraId="1F26A50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289541D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0.132**</w:t>
            </w:r>
          </w:p>
        </w:tc>
        <w:tc>
          <w:tcPr>
            <w:tcW w:w="1332" w:type="dxa"/>
            <w:tcBorders>
              <w:top w:val="nil"/>
              <w:left w:val="nil"/>
              <w:bottom w:val="single" w:sz="4" w:space="0" w:color="auto"/>
              <w:right w:val="single" w:sz="4" w:space="0" w:color="auto"/>
            </w:tcBorders>
            <w:noWrap/>
            <w:vAlign w:val="bottom"/>
            <w:hideMark/>
          </w:tcPr>
          <w:p w14:paraId="010B1E69"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0.049</w:t>
            </w:r>
          </w:p>
        </w:tc>
        <w:tc>
          <w:tcPr>
            <w:tcW w:w="1333" w:type="dxa"/>
            <w:tcBorders>
              <w:top w:val="nil"/>
              <w:left w:val="nil"/>
              <w:bottom w:val="single" w:sz="4" w:space="0" w:color="auto"/>
              <w:right w:val="single" w:sz="4" w:space="0" w:color="auto"/>
            </w:tcBorders>
            <w:noWrap/>
            <w:vAlign w:val="bottom"/>
            <w:hideMark/>
          </w:tcPr>
          <w:p w14:paraId="229A650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-0.928***</w:t>
            </w:r>
          </w:p>
        </w:tc>
      </w:tr>
      <w:tr w:rsidR="000336FE" w:rsidRPr="008017F0" w14:paraId="17F80F96"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2B826AB1"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GDP (t-1)</w:t>
            </w:r>
          </w:p>
        </w:tc>
        <w:tc>
          <w:tcPr>
            <w:tcW w:w="1332" w:type="dxa"/>
            <w:tcBorders>
              <w:top w:val="nil"/>
              <w:left w:val="nil"/>
              <w:bottom w:val="single" w:sz="4" w:space="0" w:color="auto"/>
              <w:right w:val="single" w:sz="4" w:space="0" w:color="auto"/>
            </w:tcBorders>
            <w:noWrap/>
            <w:vAlign w:val="bottom"/>
            <w:hideMark/>
          </w:tcPr>
          <w:p w14:paraId="4543E5A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58CCFAB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4ABBEB1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-9.034***</w:t>
            </w:r>
          </w:p>
        </w:tc>
        <w:tc>
          <w:tcPr>
            <w:tcW w:w="1332" w:type="dxa"/>
            <w:tcBorders>
              <w:top w:val="nil"/>
              <w:left w:val="nil"/>
              <w:bottom w:val="single" w:sz="4" w:space="0" w:color="auto"/>
              <w:right w:val="single" w:sz="4" w:space="0" w:color="auto"/>
            </w:tcBorders>
            <w:noWrap/>
            <w:vAlign w:val="bottom"/>
            <w:hideMark/>
          </w:tcPr>
          <w:p w14:paraId="2636C7A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E96BDB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695F20BE"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227AB0A1"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GDP (t-2)</w:t>
            </w:r>
          </w:p>
        </w:tc>
        <w:tc>
          <w:tcPr>
            <w:tcW w:w="1332" w:type="dxa"/>
            <w:tcBorders>
              <w:top w:val="nil"/>
              <w:left w:val="nil"/>
              <w:bottom w:val="single" w:sz="4" w:space="0" w:color="auto"/>
              <w:right w:val="single" w:sz="4" w:space="0" w:color="auto"/>
            </w:tcBorders>
            <w:noWrap/>
            <w:vAlign w:val="bottom"/>
            <w:hideMark/>
          </w:tcPr>
          <w:p w14:paraId="57D6E0B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69787AB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-3.613***</w:t>
            </w:r>
          </w:p>
        </w:tc>
        <w:tc>
          <w:tcPr>
            <w:tcW w:w="1333" w:type="dxa"/>
            <w:tcBorders>
              <w:top w:val="nil"/>
              <w:left w:val="nil"/>
              <w:bottom w:val="single" w:sz="4" w:space="0" w:color="auto"/>
              <w:right w:val="single" w:sz="4" w:space="0" w:color="auto"/>
            </w:tcBorders>
            <w:noWrap/>
            <w:vAlign w:val="bottom"/>
            <w:hideMark/>
          </w:tcPr>
          <w:p w14:paraId="4E099AD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7.543***</w:t>
            </w:r>
          </w:p>
        </w:tc>
        <w:tc>
          <w:tcPr>
            <w:tcW w:w="1332" w:type="dxa"/>
            <w:tcBorders>
              <w:top w:val="nil"/>
              <w:left w:val="nil"/>
              <w:bottom w:val="single" w:sz="4" w:space="0" w:color="auto"/>
              <w:right w:val="single" w:sz="4" w:space="0" w:color="auto"/>
            </w:tcBorders>
            <w:noWrap/>
            <w:vAlign w:val="bottom"/>
            <w:hideMark/>
          </w:tcPr>
          <w:p w14:paraId="61855549"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5325BA0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464F7292"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017816AF"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Gross fixed investment (t-1)</w:t>
            </w:r>
          </w:p>
        </w:tc>
        <w:tc>
          <w:tcPr>
            <w:tcW w:w="1332" w:type="dxa"/>
            <w:tcBorders>
              <w:top w:val="nil"/>
              <w:left w:val="nil"/>
              <w:bottom w:val="single" w:sz="4" w:space="0" w:color="auto"/>
              <w:right w:val="single" w:sz="4" w:space="0" w:color="auto"/>
            </w:tcBorders>
            <w:noWrap/>
            <w:vAlign w:val="bottom"/>
            <w:hideMark/>
          </w:tcPr>
          <w:p w14:paraId="770ADC23"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-0.602***</w:t>
            </w:r>
          </w:p>
        </w:tc>
        <w:tc>
          <w:tcPr>
            <w:tcW w:w="1332" w:type="dxa"/>
            <w:tcBorders>
              <w:top w:val="nil"/>
              <w:left w:val="nil"/>
              <w:bottom w:val="single" w:sz="4" w:space="0" w:color="auto"/>
              <w:right w:val="single" w:sz="4" w:space="0" w:color="auto"/>
            </w:tcBorders>
            <w:noWrap/>
            <w:vAlign w:val="bottom"/>
            <w:hideMark/>
          </w:tcPr>
          <w:p w14:paraId="76AC1D2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0.280**</w:t>
            </w:r>
          </w:p>
        </w:tc>
        <w:tc>
          <w:tcPr>
            <w:tcW w:w="1333" w:type="dxa"/>
            <w:tcBorders>
              <w:top w:val="nil"/>
              <w:left w:val="nil"/>
              <w:bottom w:val="single" w:sz="4" w:space="0" w:color="auto"/>
              <w:right w:val="single" w:sz="4" w:space="0" w:color="auto"/>
            </w:tcBorders>
            <w:noWrap/>
            <w:vAlign w:val="bottom"/>
            <w:hideMark/>
          </w:tcPr>
          <w:p w14:paraId="43E66E4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7A226EC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6012E0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7D302BB8"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70EB356F"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Current account subsidies to households (t-1)</w:t>
            </w:r>
          </w:p>
        </w:tc>
        <w:tc>
          <w:tcPr>
            <w:tcW w:w="1332" w:type="dxa"/>
            <w:tcBorders>
              <w:top w:val="nil"/>
              <w:left w:val="nil"/>
              <w:bottom w:val="single" w:sz="4" w:space="0" w:color="auto"/>
              <w:right w:val="single" w:sz="4" w:space="0" w:color="auto"/>
            </w:tcBorders>
            <w:noWrap/>
            <w:vAlign w:val="bottom"/>
            <w:hideMark/>
          </w:tcPr>
          <w:p w14:paraId="0A6DE0D5"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-0.209***</w:t>
            </w:r>
          </w:p>
        </w:tc>
        <w:tc>
          <w:tcPr>
            <w:tcW w:w="1332" w:type="dxa"/>
            <w:tcBorders>
              <w:top w:val="nil"/>
              <w:left w:val="nil"/>
              <w:bottom w:val="single" w:sz="4" w:space="0" w:color="auto"/>
              <w:right w:val="single" w:sz="4" w:space="0" w:color="auto"/>
            </w:tcBorders>
            <w:noWrap/>
            <w:vAlign w:val="bottom"/>
            <w:hideMark/>
          </w:tcPr>
          <w:p w14:paraId="3457087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09EBD8A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37E447D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-0.071</w:t>
            </w:r>
          </w:p>
        </w:tc>
        <w:tc>
          <w:tcPr>
            <w:tcW w:w="1333" w:type="dxa"/>
            <w:tcBorders>
              <w:top w:val="nil"/>
              <w:left w:val="nil"/>
              <w:bottom w:val="single" w:sz="4" w:space="0" w:color="auto"/>
              <w:right w:val="single" w:sz="4" w:space="0" w:color="auto"/>
            </w:tcBorders>
            <w:noWrap/>
            <w:vAlign w:val="bottom"/>
            <w:hideMark/>
          </w:tcPr>
          <w:p w14:paraId="4BA467D5"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7A18E29C"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3C0A2DC7"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Employment share, Manufacturing (t-1)</w:t>
            </w:r>
          </w:p>
        </w:tc>
        <w:tc>
          <w:tcPr>
            <w:tcW w:w="1332" w:type="dxa"/>
            <w:tcBorders>
              <w:top w:val="nil"/>
              <w:left w:val="nil"/>
              <w:bottom w:val="single" w:sz="4" w:space="0" w:color="auto"/>
              <w:right w:val="single" w:sz="4" w:space="0" w:color="auto"/>
            </w:tcBorders>
            <w:noWrap/>
            <w:vAlign w:val="bottom"/>
            <w:hideMark/>
          </w:tcPr>
          <w:p w14:paraId="6D8AEF6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060F208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0D5FBA4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2C7A0A7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60F0347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7.757***</w:t>
            </w:r>
          </w:p>
        </w:tc>
      </w:tr>
      <w:tr w:rsidR="000336FE" w:rsidRPr="008017F0" w14:paraId="62E4B6C5"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27BA7BC6"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Employment share, Construction (t-1)</w:t>
            </w:r>
          </w:p>
        </w:tc>
        <w:tc>
          <w:tcPr>
            <w:tcW w:w="1332" w:type="dxa"/>
            <w:tcBorders>
              <w:top w:val="nil"/>
              <w:left w:val="nil"/>
              <w:bottom w:val="single" w:sz="4" w:space="0" w:color="auto"/>
              <w:right w:val="single" w:sz="4" w:space="0" w:color="auto"/>
            </w:tcBorders>
            <w:noWrap/>
            <w:vAlign w:val="bottom"/>
            <w:hideMark/>
          </w:tcPr>
          <w:p w14:paraId="382B339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6C663D4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294ACE4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24.919***</w:t>
            </w:r>
          </w:p>
        </w:tc>
        <w:tc>
          <w:tcPr>
            <w:tcW w:w="1332" w:type="dxa"/>
            <w:tcBorders>
              <w:top w:val="nil"/>
              <w:left w:val="nil"/>
              <w:bottom w:val="single" w:sz="4" w:space="0" w:color="auto"/>
              <w:right w:val="single" w:sz="4" w:space="0" w:color="auto"/>
            </w:tcBorders>
            <w:noWrap/>
            <w:vAlign w:val="bottom"/>
            <w:hideMark/>
          </w:tcPr>
          <w:p w14:paraId="35D9284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66EB107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5B2AFF5C"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7B448D36"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Value added share, Manufacturing (t-1)</w:t>
            </w:r>
          </w:p>
        </w:tc>
        <w:tc>
          <w:tcPr>
            <w:tcW w:w="1332" w:type="dxa"/>
            <w:tcBorders>
              <w:top w:val="nil"/>
              <w:left w:val="nil"/>
              <w:bottom w:val="single" w:sz="4" w:space="0" w:color="auto"/>
              <w:right w:val="single" w:sz="4" w:space="0" w:color="auto"/>
            </w:tcBorders>
            <w:noWrap/>
            <w:vAlign w:val="bottom"/>
            <w:hideMark/>
          </w:tcPr>
          <w:p w14:paraId="0FEA552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2BD21289"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5.574***</w:t>
            </w:r>
          </w:p>
        </w:tc>
        <w:tc>
          <w:tcPr>
            <w:tcW w:w="1333" w:type="dxa"/>
            <w:tcBorders>
              <w:top w:val="nil"/>
              <w:left w:val="nil"/>
              <w:bottom w:val="single" w:sz="4" w:space="0" w:color="auto"/>
              <w:right w:val="single" w:sz="4" w:space="0" w:color="auto"/>
            </w:tcBorders>
            <w:noWrap/>
            <w:vAlign w:val="bottom"/>
            <w:hideMark/>
          </w:tcPr>
          <w:p w14:paraId="351DE949"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578B755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C21E3C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243CA486"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1B93589F"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Value added share, Public sector (t-1)</w:t>
            </w:r>
          </w:p>
        </w:tc>
        <w:tc>
          <w:tcPr>
            <w:tcW w:w="1332" w:type="dxa"/>
            <w:tcBorders>
              <w:top w:val="nil"/>
              <w:left w:val="nil"/>
              <w:bottom w:val="single" w:sz="4" w:space="0" w:color="auto"/>
              <w:right w:val="single" w:sz="4" w:space="0" w:color="auto"/>
            </w:tcBorders>
            <w:noWrap/>
            <w:vAlign w:val="bottom"/>
            <w:hideMark/>
          </w:tcPr>
          <w:p w14:paraId="7EBB8A53"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16.208**</w:t>
            </w:r>
          </w:p>
        </w:tc>
        <w:tc>
          <w:tcPr>
            <w:tcW w:w="1332" w:type="dxa"/>
            <w:tcBorders>
              <w:top w:val="nil"/>
              <w:left w:val="nil"/>
              <w:bottom w:val="single" w:sz="4" w:space="0" w:color="auto"/>
              <w:right w:val="single" w:sz="4" w:space="0" w:color="auto"/>
            </w:tcBorders>
            <w:noWrap/>
            <w:vAlign w:val="bottom"/>
            <w:hideMark/>
          </w:tcPr>
          <w:p w14:paraId="7BB685B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2433B49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6EA3BDE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AB81CF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5F71E96F"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45806C44"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Ln (Unit labour cost), Services (t-1)</w:t>
            </w:r>
          </w:p>
        </w:tc>
        <w:tc>
          <w:tcPr>
            <w:tcW w:w="1332" w:type="dxa"/>
            <w:tcBorders>
              <w:top w:val="nil"/>
              <w:left w:val="nil"/>
              <w:bottom w:val="single" w:sz="4" w:space="0" w:color="auto"/>
              <w:right w:val="single" w:sz="4" w:space="0" w:color="auto"/>
            </w:tcBorders>
            <w:noWrap/>
            <w:vAlign w:val="bottom"/>
            <w:hideMark/>
          </w:tcPr>
          <w:p w14:paraId="6AC64065"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52A15EC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3BDA3F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6D4883B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11F0D6E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1.917***</w:t>
            </w:r>
          </w:p>
        </w:tc>
      </w:tr>
      <w:tr w:rsidR="000336FE" w:rsidRPr="008017F0" w14:paraId="1BEF8BB0"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30152F07"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Female unemployment rate (t-1)</w:t>
            </w:r>
          </w:p>
        </w:tc>
        <w:tc>
          <w:tcPr>
            <w:tcW w:w="1332" w:type="dxa"/>
            <w:tcBorders>
              <w:top w:val="nil"/>
              <w:left w:val="nil"/>
              <w:bottom w:val="single" w:sz="4" w:space="0" w:color="auto"/>
              <w:right w:val="single" w:sz="4" w:space="0" w:color="auto"/>
            </w:tcBorders>
            <w:noWrap/>
            <w:vAlign w:val="bottom"/>
            <w:hideMark/>
          </w:tcPr>
          <w:p w14:paraId="37B9E20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71201E9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0.010**</w:t>
            </w:r>
          </w:p>
        </w:tc>
        <w:tc>
          <w:tcPr>
            <w:tcW w:w="1333" w:type="dxa"/>
            <w:tcBorders>
              <w:top w:val="nil"/>
              <w:left w:val="nil"/>
              <w:bottom w:val="single" w:sz="4" w:space="0" w:color="auto"/>
              <w:right w:val="single" w:sz="4" w:space="0" w:color="auto"/>
            </w:tcBorders>
            <w:noWrap/>
            <w:vAlign w:val="bottom"/>
            <w:hideMark/>
          </w:tcPr>
          <w:p w14:paraId="7843A6E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5667EB53"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6BBBBA8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4CE148BB"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4FCE8CB8"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Ln (human capital) (t-1)</w:t>
            </w:r>
          </w:p>
        </w:tc>
        <w:tc>
          <w:tcPr>
            <w:tcW w:w="1332" w:type="dxa"/>
            <w:tcBorders>
              <w:top w:val="nil"/>
              <w:left w:val="nil"/>
              <w:bottom w:val="single" w:sz="4" w:space="0" w:color="auto"/>
              <w:right w:val="single" w:sz="4" w:space="0" w:color="auto"/>
            </w:tcBorders>
            <w:noWrap/>
            <w:vAlign w:val="bottom"/>
            <w:hideMark/>
          </w:tcPr>
          <w:p w14:paraId="41F9480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7.518</w:t>
            </w:r>
          </w:p>
        </w:tc>
        <w:tc>
          <w:tcPr>
            <w:tcW w:w="1332" w:type="dxa"/>
            <w:tcBorders>
              <w:top w:val="nil"/>
              <w:left w:val="nil"/>
              <w:bottom w:val="single" w:sz="4" w:space="0" w:color="auto"/>
              <w:right w:val="single" w:sz="4" w:space="0" w:color="auto"/>
            </w:tcBorders>
            <w:noWrap/>
            <w:vAlign w:val="bottom"/>
            <w:hideMark/>
          </w:tcPr>
          <w:p w14:paraId="134C546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724F184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-6.403***</w:t>
            </w:r>
          </w:p>
        </w:tc>
        <w:tc>
          <w:tcPr>
            <w:tcW w:w="1332" w:type="dxa"/>
            <w:tcBorders>
              <w:top w:val="nil"/>
              <w:left w:val="nil"/>
              <w:bottom w:val="single" w:sz="4" w:space="0" w:color="auto"/>
              <w:right w:val="single" w:sz="4" w:space="0" w:color="auto"/>
            </w:tcBorders>
            <w:noWrap/>
            <w:vAlign w:val="bottom"/>
            <w:hideMark/>
          </w:tcPr>
          <w:p w14:paraId="5F628D3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12.366***</w:t>
            </w:r>
          </w:p>
        </w:tc>
        <w:tc>
          <w:tcPr>
            <w:tcW w:w="1333" w:type="dxa"/>
            <w:tcBorders>
              <w:top w:val="nil"/>
              <w:left w:val="nil"/>
              <w:bottom w:val="single" w:sz="4" w:space="0" w:color="auto"/>
              <w:right w:val="single" w:sz="4" w:space="0" w:color="auto"/>
            </w:tcBorders>
            <w:noWrap/>
            <w:vAlign w:val="bottom"/>
            <w:hideMark/>
          </w:tcPr>
          <w:p w14:paraId="62CF7C5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6.141***</w:t>
            </w:r>
          </w:p>
        </w:tc>
      </w:tr>
      <w:tr w:rsidR="000336FE" w:rsidRPr="008017F0" w14:paraId="7C6B5E0D" w14:textId="77777777" w:rsidTr="00953B6F">
        <w:trPr>
          <w:trHeight w:hRule="exact" w:val="227"/>
        </w:trPr>
        <w:tc>
          <w:tcPr>
            <w:tcW w:w="2977" w:type="dxa"/>
            <w:tcBorders>
              <w:top w:val="nil"/>
              <w:left w:val="single" w:sz="4" w:space="0" w:color="auto"/>
              <w:bottom w:val="single" w:sz="4" w:space="0" w:color="auto"/>
              <w:right w:val="single" w:sz="4" w:space="0" w:color="auto"/>
            </w:tcBorders>
            <w:vAlign w:val="bottom"/>
            <w:hideMark/>
          </w:tcPr>
          <w:p w14:paraId="79AFF9D5"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Ln (patents per capita) (t-1)</w:t>
            </w:r>
          </w:p>
        </w:tc>
        <w:tc>
          <w:tcPr>
            <w:tcW w:w="1332" w:type="dxa"/>
            <w:tcBorders>
              <w:top w:val="nil"/>
              <w:left w:val="nil"/>
              <w:bottom w:val="single" w:sz="4" w:space="0" w:color="auto"/>
              <w:right w:val="single" w:sz="4" w:space="0" w:color="auto"/>
            </w:tcBorders>
            <w:noWrap/>
            <w:vAlign w:val="bottom"/>
            <w:hideMark/>
          </w:tcPr>
          <w:p w14:paraId="6F1060A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0.044***</w:t>
            </w:r>
          </w:p>
        </w:tc>
        <w:tc>
          <w:tcPr>
            <w:tcW w:w="1332" w:type="dxa"/>
            <w:tcBorders>
              <w:top w:val="nil"/>
              <w:left w:val="nil"/>
              <w:bottom w:val="single" w:sz="4" w:space="0" w:color="auto"/>
              <w:right w:val="single" w:sz="4" w:space="0" w:color="auto"/>
            </w:tcBorders>
            <w:noWrap/>
            <w:vAlign w:val="bottom"/>
            <w:hideMark/>
          </w:tcPr>
          <w:p w14:paraId="6258E5A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3" w:type="dxa"/>
            <w:tcBorders>
              <w:top w:val="nil"/>
              <w:left w:val="nil"/>
              <w:bottom w:val="single" w:sz="4" w:space="0" w:color="auto"/>
              <w:right w:val="single" w:sz="4" w:space="0" w:color="auto"/>
            </w:tcBorders>
            <w:noWrap/>
            <w:vAlign w:val="bottom"/>
            <w:hideMark/>
          </w:tcPr>
          <w:p w14:paraId="076FCCD5"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c>
          <w:tcPr>
            <w:tcW w:w="1332" w:type="dxa"/>
            <w:tcBorders>
              <w:top w:val="nil"/>
              <w:left w:val="nil"/>
              <w:bottom w:val="single" w:sz="4" w:space="0" w:color="auto"/>
              <w:right w:val="single" w:sz="4" w:space="0" w:color="auto"/>
            </w:tcBorders>
            <w:noWrap/>
            <w:vAlign w:val="bottom"/>
            <w:hideMark/>
          </w:tcPr>
          <w:p w14:paraId="6711B695"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0.058***</w:t>
            </w:r>
          </w:p>
        </w:tc>
        <w:tc>
          <w:tcPr>
            <w:tcW w:w="1333" w:type="dxa"/>
            <w:tcBorders>
              <w:top w:val="nil"/>
              <w:left w:val="nil"/>
              <w:bottom w:val="single" w:sz="4" w:space="0" w:color="auto"/>
              <w:right w:val="single" w:sz="4" w:space="0" w:color="auto"/>
            </w:tcBorders>
            <w:noWrap/>
            <w:vAlign w:val="bottom"/>
            <w:hideMark/>
          </w:tcPr>
          <w:p w14:paraId="2D965C9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 </w:t>
            </w:r>
          </w:p>
        </w:tc>
      </w:tr>
      <w:tr w:rsidR="000336FE" w:rsidRPr="008017F0" w14:paraId="43D7556B"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tcPr>
          <w:p w14:paraId="3E041E52"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Linear and quadratic trends</w:t>
            </w:r>
          </w:p>
        </w:tc>
        <w:tc>
          <w:tcPr>
            <w:tcW w:w="1332" w:type="dxa"/>
            <w:tcBorders>
              <w:top w:val="nil"/>
              <w:left w:val="nil"/>
              <w:bottom w:val="single" w:sz="4" w:space="0" w:color="auto"/>
              <w:right w:val="single" w:sz="4" w:space="0" w:color="auto"/>
            </w:tcBorders>
            <w:noWrap/>
            <w:vAlign w:val="bottom"/>
          </w:tcPr>
          <w:p w14:paraId="3F0C0489"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YES</w:t>
            </w:r>
          </w:p>
        </w:tc>
        <w:tc>
          <w:tcPr>
            <w:tcW w:w="1332" w:type="dxa"/>
            <w:tcBorders>
              <w:top w:val="nil"/>
              <w:left w:val="nil"/>
              <w:bottom w:val="single" w:sz="4" w:space="0" w:color="auto"/>
              <w:right w:val="single" w:sz="4" w:space="0" w:color="auto"/>
            </w:tcBorders>
            <w:noWrap/>
            <w:vAlign w:val="bottom"/>
          </w:tcPr>
          <w:p w14:paraId="4B16BFF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NO</w:t>
            </w:r>
          </w:p>
        </w:tc>
        <w:tc>
          <w:tcPr>
            <w:tcW w:w="1333" w:type="dxa"/>
            <w:tcBorders>
              <w:top w:val="nil"/>
              <w:left w:val="nil"/>
              <w:bottom w:val="single" w:sz="4" w:space="0" w:color="auto"/>
              <w:right w:val="single" w:sz="4" w:space="0" w:color="auto"/>
            </w:tcBorders>
            <w:noWrap/>
            <w:vAlign w:val="bottom"/>
          </w:tcPr>
          <w:p w14:paraId="42CED8B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YES</w:t>
            </w:r>
          </w:p>
        </w:tc>
        <w:tc>
          <w:tcPr>
            <w:tcW w:w="1332" w:type="dxa"/>
            <w:tcBorders>
              <w:top w:val="nil"/>
              <w:left w:val="nil"/>
              <w:bottom w:val="single" w:sz="4" w:space="0" w:color="auto"/>
              <w:right w:val="single" w:sz="4" w:space="0" w:color="auto"/>
            </w:tcBorders>
            <w:noWrap/>
            <w:vAlign w:val="bottom"/>
          </w:tcPr>
          <w:p w14:paraId="145CE5F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YES</w:t>
            </w:r>
          </w:p>
        </w:tc>
        <w:tc>
          <w:tcPr>
            <w:tcW w:w="1333" w:type="dxa"/>
            <w:tcBorders>
              <w:top w:val="nil"/>
              <w:left w:val="nil"/>
              <w:bottom w:val="single" w:sz="4" w:space="0" w:color="auto"/>
              <w:right w:val="single" w:sz="4" w:space="0" w:color="auto"/>
            </w:tcBorders>
            <w:noWrap/>
            <w:vAlign w:val="bottom"/>
          </w:tcPr>
          <w:p w14:paraId="4AEEBD0C"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YES</w:t>
            </w:r>
          </w:p>
        </w:tc>
      </w:tr>
      <w:tr w:rsidR="000336FE" w:rsidRPr="008017F0" w14:paraId="769F7A34"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tcPr>
          <w:p w14:paraId="36F4BE77" w14:textId="77777777" w:rsidR="000336FE" w:rsidRPr="008017F0" w:rsidRDefault="000336FE" w:rsidP="00953B6F">
            <w:pPr>
              <w:spacing w:after="0" w:line="240" w:lineRule="auto"/>
              <w:ind w:right="-74"/>
              <w:rPr>
                <w:rFonts w:eastAsia="Times New Roman" w:cstheme="minorHAnsi"/>
                <w:sz w:val="15"/>
                <w:szCs w:val="15"/>
                <w:lang w:val="en-GB" w:eastAsia="it-IT"/>
              </w:rPr>
            </w:pPr>
          </w:p>
        </w:tc>
        <w:tc>
          <w:tcPr>
            <w:tcW w:w="1332" w:type="dxa"/>
            <w:tcBorders>
              <w:top w:val="nil"/>
              <w:left w:val="nil"/>
              <w:bottom w:val="single" w:sz="4" w:space="0" w:color="auto"/>
              <w:right w:val="single" w:sz="4" w:space="0" w:color="auto"/>
            </w:tcBorders>
            <w:noWrap/>
            <w:vAlign w:val="bottom"/>
          </w:tcPr>
          <w:p w14:paraId="663BB7D7"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2" w:type="dxa"/>
            <w:tcBorders>
              <w:top w:val="nil"/>
              <w:left w:val="nil"/>
              <w:bottom w:val="single" w:sz="4" w:space="0" w:color="auto"/>
              <w:right w:val="single" w:sz="4" w:space="0" w:color="auto"/>
            </w:tcBorders>
            <w:noWrap/>
            <w:vAlign w:val="bottom"/>
          </w:tcPr>
          <w:p w14:paraId="1C08A06E"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3" w:type="dxa"/>
            <w:tcBorders>
              <w:top w:val="nil"/>
              <w:left w:val="nil"/>
              <w:bottom w:val="single" w:sz="4" w:space="0" w:color="auto"/>
              <w:right w:val="single" w:sz="4" w:space="0" w:color="auto"/>
            </w:tcBorders>
            <w:noWrap/>
            <w:vAlign w:val="bottom"/>
          </w:tcPr>
          <w:p w14:paraId="11FF4FF7"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2" w:type="dxa"/>
            <w:tcBorders>
              <w:top w:val="nil"/>
              <w:left w:val="nil"/>
              <w:bottom w:val="single" w:sz="4" w:space="0" w:color="auto"/>
              <w:right w:val="single" w:sz="4" w:space="0" w:color="auto"/>
            </w:tcBorders>
            <w:noWrap/>
            <w:vAlign w:val="bottom"/>
          </w:tcPr>
          <w:p w14:paraId="0AAB6C75"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3" w:type="dxa"/>
            <w:tcBorders>
              <w:top w:val="nil"/>
              <w:left w:val="nil"/>
              <w:bottom w:val="single" w:sz="4" w:space="0" w:color="auto"/>
              <w:right w:val="single" w:sz="4" w:space="0" w:color="auto"/>
            </w:tcBorders>
            <w:noWrap/>
            <w:vAlign w:val="bottom"/>
          </w:tcPr>
          <w:p w14:paraId="6D6C810B" w14:textId="77777777" w:rsidR="000336FE" w:rsidRPr="008017F0" w:rsidRDefault="000336FE" w:rsidP="00953B6F">
            <w:pPr>
              <w:spacing w:after="0" w:line="240" w:lineRule="auto"/>
              <w:jc w:val="center"/>
              <w:rPr>
                <w:rFonts w:eastAsia="Times New Roman" w:cstheme="minorHAnsi"/>
                <w:sz w:val="18"/>
                <w:szCs w:val="18"/>
                <w:lang w:val="en-GB" w:eastAsia="it-IT"/>
              </w:rPr>
            </w:pPr>
          </w:p>
        </w:tc>
      </w:tr>
      <w:tr w:rsidR="000336FE" w:rsidRPr="008017F0" w14:paraId="2724A1E1"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5F201CCB"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N</w:t>
            </w:r>
          </w:p>
        </w:tc>
        <w:tc>
          <w:tcPr>
            <w:tcW w:w="1332" w:type="dxa"/>
            <w:tcBorders>
              <w:top w:val="nil"/>
              <w:left w:val="nil"/>
              <w:bottom w:val="single" w:sz="4" w:space="0" w:color="auto"/>
              <w:right w:val="single" w:sz="4" w:space="0" w:color="auto"/>
            </w:tcBorders>
            <w:noWrap/>
            <w:vAlign w:val="bottom"/>
            <w:hideMark/>
          </w:tcPr>
          <w:p w14:paraId="6DFD73F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480</w:t>
            </w:r>
          </w:p>
        </w:tc>
        <w:tc>
          <w:tcPr>
            <w:tcW w:w="1332" w:type="dxa"/>
            <w:tcBorders>
              <w:top w:val="nil"/>
              <w:left w:val="nil"/>
              <w:bottom w:val="single" w:sz="4" w:space="0" w:color="auto"/>
              <w:right w:val="single" w:sz="4" w:space="0" w:color="auto"/>
            </w:tcBorders>
            <w:noWrap/>
            <w:vAlign w:val="bottom"/>
            <w:hideMark/>
          </w:tcPr>
          <w:p w14:paraId="2F57550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480</w:t>
            </w:r>
          </w:p>
        </w:tc>
        <w:tc>
          <w:tcPr>
            <w:tcW w:w="1333" w:type="dxa"/>
            <w:tcBorders>
              <w:top w:val="nil"/>
              <w:left w:val="nil"/>
              <w:bottom w:val="single" w:sz="4" w:space="0" w:color="auto"/>
              <w:right w:val="single" w:sz="4" w:space="0" w:color="auto"/>
            </w:tcBorders>
            <w:noWrap/>
            <w:vAlign w:val="bottom"/>
            <w:hideMark/>
          </w:tcPr>
          <w:p w14:paraId="4465B62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500</w:t>
            </w:r>
          </w:p>
        </w:tc>
        <w:tc>
          <w:tcPr>
            <w:tcW w:w="1332" w:type="dxa"/>
            <w:tcBorders>
              <w:top w:val="nil"/>
              <w:left w:val="nil"/>
              <w:bottom w:val="single" w:sz="4" w:space="0" w:color="auto"/>
              <w:right w:val="single" w:sz="4" w:space="0" w:color="auto"/>
            </w:tcBorders>
            <w:noWrap/>
            <w:vAlign w:val="bottom"/>
            <w:hideMark/>
          </w:tcPr>
          <w:p w14:paraId="0D09AA0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480</w:t>
            </w:r>
          </w:p>
        </w:tc>
        <w:tc>
          <w:tcPr>
            <w:tcW w:w="1333" w:type="dxa"/>
            <w:tcBorders>
              <w:top w:val="nil"/>
              <w:left w:val="nil"/>
              <w:bottom w:val="single" w:sz="4" w:space="0" w:color="auto"/>
              <w:right w:val="single" w:sz="4" w:space="0" w:color="auto"/>
            </w:tcBorders>
            <w:noWrap/>
            <w:vAlign w:val="bottom"/>
            <w:hideMark/>
          </w:tcPr>
          <w:p w14:paraId="46CC4FF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500</w:t>
            </w:r>
          </w:p>
        </w:tc>
      </w:tr>
      <w:tr w:rsidR="000336FE" w:rsidRPr="008017F0" w14:paraId="3EB2209F"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436304D6" w14:textId="77777777" w:rsidR="000336FE" w:rsidRPr="008017F0" w:rsidRDefault="000336FE" w:rsidP="00953B6F">
            <w:pPr>
              <w:spacing w:after="0" w:line="240" w:lineRule="auto"/>
              <w:ind w:right="-74"/>
              <w:rPr>
                <w:rFonts w:eastAsia="Times New Roman" w:cstheme="minorHAnsi"/>
                <w:sz w:val="15"/>
                <w:szCs w:val="15"/>
                <w:lang w:val="en-GB" w:eastAsia="it-IT"/>
              </w:rPr>
            </w:pPr>
            <w:proofErr w:type="spellStart"/>
            <w:r w:rsidRPr="008017F0">
              <w:rPr>
                <w:rFonts w:eastAsia="Times New Roman" w:cstheme="minorHAnsi"/>
                <w:sz w:val="15"/>
                <w:szCs w:val="15"/>
                <w:lang w:val="en-GB" w:eastAsia="it-IT"/>
              </w:rPr>
              <w:t>Rss</w:t>
            </w:r>
            <w:proofErr w:type="spellEnd"/>
          </w:p>
        </w:tc>
        <w:tc>
          <w:tcPr>
            <w:tcW w:w="1332" w:type="dxa"/>
            <w:tcBorders>
              <w:top w:val="nil"/>
              <w:left w:val="nil"/>
              <w:bottom w:val="single" w:sz="4" w:space="0" w:color="auto"/>
              <w:right w:val="single" w:sz="4" w:space="0" w:color="auto"/>
            </w:tcBorders>
            <w:noWrap/>
            <w:vAlign w:val="bottom"/>
            <w:hideMark/>
          </w:tcPr>
          <w:p w14:paraId="48BD664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97.160</w:t>
            </w:r>
          </w:p>
        </w:tc>
        <w:tc>
          <w:tcPr>
            <w:tcW w:w="1332" w:type="dxa"/>
            <w:tcBorders>
              <w:top w:val="nil"/>
              <w:left w:val="nil"/>
              <w:bottom w:val="single" w:sz="4" w:space="0" w:color="auto"/>
              <w:right w:val="single" w:sz="4" w:space="0" w:color="auto"/>
            </w:tcBorders>
            <w:noWrap/>
            <w:vAlign w:val="bottom"/>
            <w:hideMark/>
          </w:tcPr>
          <w:p w14:paraId="25087D4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70.329</w:t>
            </w:r>
          </w:p>
        </w:tc>
        <w:tc>
          <w:tcPr>
            <w:tcW w:w="1333" w:type="dxa"/>
            <w:tcBorders>
              <w:top w:val="nil"/>
              <w:left w:val="nil"/>
              <w:bottom w:val="single" w:sz="4" w:space="0" w:color="auto"/>
              <w:right w:val="single" w:sz="4" w:space="0" w:color="auto"/>
            </w:tcBorders>
            <w:noWrap/>
            <w:vAlign w:val="bottom"/>
            <w:hideMark/>
          </w:tcPr>
          <w:p w14:paraId="51BB6A2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141.150</w:t>
            </w:r>
          </w:p>
        </w:tc>
        <w:tc>
          <w:tcPr>
            <w:tcW w:w="1332" w:type="dxa"/>
            <w:tcBorders>
              <w:top w:val="nil"/>
              <w:left w:val="nil"/>
              <w:bottom w:val="single" w:sz="4" w:space="0" w:color="auto"/>
              <w:right w:val="single" w:sz="4" w:space="0" w:color="auto"/>
            </w:tcBorders>
            <w:noWrap/>
            <w:vAlign w:val="bottom"/>
            <w:hideMark/>
          </w:tcPr>
          <w:p w14:paraId="1DE3638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33.108</w:t>
            </w:r>
          </w:p>
        </w:tc>
        <w:tc>
          <w:tcPr>
            <w:tcW w:w="1333" w:type="dxa"/>
            <w:tcBorders>
              <w:top w:val="nil"/>
              <w:left w:val="nil"/>
              <w:bottom w:val="single" w:sz="4" w:space="0" w:color="auto"/>
              <w:right w:val="single" w:sz="4" w:space="0" w:color="auto"/>
            </w:tcBorders>
            <w:noWrap/>
            <w:vAlign w:val="bottom"/>
            <w:hideMark/>
          </w:tcPr>
          <w:p w14:paraId="376F2A2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55.116</w:t>
            </w:r>
          </w:p>
        </w:tc>
      </w:tr>
      <w:tr w:rsidR="000336FE" w:rsidRPr="008017F0" w14:paraId="04DBD37F"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529A3B8B"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r2_a</w:t>
            </w:r>
          </w:p>
        </w:tc>
        <w:tc>
          <w:tcPr>
            <w:tcW w:w="1332" w:type="dxa"/>
            <w:tcBorders>
              <w:top w:val="nil"/>
              <w:left w:val="nil"/>
              <w:bottom w:val="single" w:sz="4" w:space="0" w:color="auto"/>
              <w:right w:val="single" w:sz="4" w:space="0" w:color="auto"/>
            </w:tcBorders>
            <w:noWrap/>
            <w:vAlign w:val="bottom"/>
            <w:hideMark/>
          </w:tcPr>
          <w:p w14:paraId="01EB1DC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0.608</w:t>
            </w:r>
          </w:p>
        </w:tc>
        <w:tc>
          <w:tcPr>
            <w:tcW w:w="1332" w:type="dxa"/>
            <w:tcBorders>
              <w:top w:val="nil"/>
              <w:left w:val="nil"/>
              <w:bottom w:val="single" w:sz="4" w:space="0" w:color="auto"/>
              <w:right w:val="single" w:sz="4" w:space="0" w:color="auto"/>
            </w:tcBorders>
            <w:noWrap/>
            <w:vAlign w:val="bottom"/>
            <w:hideMark/>
          </w:tcPr>
          <w:p w14:paraId="33E27D2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0.655</w:t>
            </w:r>
          </w:p>
        </w:tc>
        <w:tc>
          <w:tcPr>
            <w:tcW w:w="1333" w:type="dxa"/>
            <w:tcBorders>
              <w:top w:val="nil"/>
              <w:left w:val="nil"/>
              <w:bottom w:val="single" w:sz="4" w:space="0" w:color="auto"/>
              <w:right w:val="single" w:sz="4" w:space="0" w:color="auto"/>
            </w:tcBorders>
            <w:noWrap/>
            <w:vAlign w:val="bottom"/>
            <w:hideMark/>
          </w:tcPr>
          <w:p w14:paraId="12E78EB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0.493</w:t>
            </w:r>
          </w:p>
        </w:tc>
        <w:tc>
          <w:tcPr>
            <w:tcW w:w="1332" w:type="dxa"/>
            <w:tcBorders>
              <w:top w:val="nil"/>
              <w:left w:val="nil"/>
              <w:bottom w:val="single" w:sz="4" w:space="0" w:color="auto"/>
              <w:right w:val="single" w:sz="4" w:space="0" w:color="auto"/>
            </w:tcBorders>
            <w:noWrap/>
            <w:vAlign w:val="bottom"/>
            <w:hideMark/>
          </w:tcPr>
          <w:p w14:paraId="585BF68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0.601</w:t>
            </w:r>
          </w:p>
        </w:tc>
        <w:tc>
          <w:tcPr>
            <w:tcW w:w="1333" w:type="dxa"/>
            <w:tcBorders>
              <w:top w:val="nil"/>
              <w:left w:val="nil"/>
              <w:bottom w:val="single" w:sz="4" w:space="0" w:color="auto"/>
              <w:right w:val="single" w:sz="4" w:space="0" w:color="auto"/>
            </w:tcBorders>
            <w:noWrap/>
            <w:vAlign w:val="bottom"/>
            <w:hideMark/>
          </w:tcPr>
          <w:p w14:paraId="5B0C606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0.467</w:t>
            </w:r>
          </w:p>
        </w:tc>
      </w:tr>
      <w:tr w:rsidR="000336FE" w:rsidRPr="008017F0" w14:paraId="3900C60B"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tcPr>
          <w:p w14:paraId="004D74D3" w14:textId="77777777" w:rsidR="000336FE" w:rsidRPr="008017F0" w:rsidRDefault="000336FE" w:rsidP="00953B6F">
            <w:pPr>
              <w:spacing w:after="0" w:line="240" w:lineRule="auto"/>
              <w:ind w:right="-74"/>
              <w:rPr>
                <w:rFonts w:eastAsia="Times New Roman" w:cstheme="minorHAnsi"/>
                <w:sz w:val="15"/>
                <w:szCs w:val="15"/>
                <w:lang w:val="en-GB" w:eastAsia="it-IT"/>
              </w:rPr>
            </w:pPr>
          </w:p>
        </w:tc>
        <w:tc>
          <w:tcPr>
            <w:tcW w:w="1332" w:type="dxa"/>
            <w:tcBorders>
              <w:top w:val="nil"/>
              <w:left w:val="nil"/>
              <w:bottom w:val="single" w:sz="4" w:space="0" w:color="auto"/>
              <w:right w:val="single" w:sz="4" w:space="0" w:color="auto"/>
            </w:tcBorders>
            <w:noWrap/>
            <w:vAlign w:val="bottom"/>
          </w:tcPr>
          <w:p w14:paraId="36877348"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2" w:type="dxa"/>
            <w:tcBorders>
              <w:top w:val="nil"/>
              <w:left w:val="nil"/>
              <w:bottom w:val="single" w:sz="4" w:space="0" w:color="auto"/>
              <w:right w:val="single" w:sz="4" w:space="0" w:color="auto"/>
            </w:tcBorders>
            <w:noWrap/>
            <w:vAlign w:val="bottom"/>
          </w:tcPr>
          <w:p w14:paraId="055E6694"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3" w:type="dxa"/>
            <w:tcBorders>
              <w:top w:val="nil"/>
              <w:left w:val="nil"/>
              <w:bottom w:val="single" w:sz="4" w:space="0" w:color="auto"/>
              <w:right w:val="single" w:sz="4" w:space="0" w:color="auto"/>
            </w:tcBorders>
            <w:noWrap/>
            <w:vAlign w:val="bottom"/>
          </w:tcPr>
          <w:p w14:paraId="11920054"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2" w:type="dxa"/>
            <w:tcBorders>
              <w:top w:val="nil"/>
              <w:left w:val="nil"/>
              <w:bottom w:val="single" w:sz="4" w:space="0" w:color="auto"/>
              <w:right w:val="single" w:sz="4" w:space="0" w:color="auto"/>
            </w:tcBorders>
            <w:noWrap/>
            <w:vAlign w:val="bottom"/>
          </w:tcPr>
          <w:p w14:paraId="292351B6" w14:textId="77777777" w:rsidR="000336FE" w:rsidRPr="008017F0" w:rsidRDefault="000336FE" w:rsidP="00953B6F">
            <w:pPr>
              <w:spacing w:after="0" w:line="240" w:lineRule="auto"/>
              <w:jc w:val="center"/>
              <w:rPr>
                <w:rFonts w:eastAsia="Times New Roman" w:cstheme="minorHAnsi"/>
                <w:sz w:val="18"/>
                <w:szCs w:val="18"/>
                <w:lang w:val="en-GB" w:eastAsia="it-IT"/>
              </w:rPr>
            </w:pPr>
          </w:p>
        </w:tc>
        <w:tc>
          <w:tcPr>
            <w:tcW w:w="1333" w:type="dxa"/>
            <w:tcBorders>
              <w:top w:val="nil"/>
              <w:left w:val="nil"/>
              <w:bottom w:val="single" w:sz="4" w:space="0" w:color="auto"/>
              <w:right w:val="single" w:sz="4" w:space="0" w:color="auto"/>
            </w:tcBorders>
            <w:noWrap/>
            <w:vAlign w:val="bottom"/>
          </w:tcPr>
          <w:p w14:paraId="4B0279A0" w14:textId="77777777" w:rsidR="000336FE" w:rsidRPr="008017F0" w:rsidRDefault="000336FE" w:rsidP="00953B6F">
            <w:pPr>
              <w:spacing w:after="0" w:line="240" w:lineRule="auto"/>
              <w:jc w:val="center"/>
              <w:rPr>
                <w:rFonts w:eastAsia="Times New Roman" w:cstheme="minorHAnsi"/>
                <w:sz w:val="18"/>
                <w:szCs w:val="18"/>
                <w:lang w:val="en-GB" w:eastAsia="it-IT"/>
              </w:rPr>
            </w:pPr>
          </w:p>
        </w:tc>
      </w:tr>
      <w:tr w:rsidR="000336FE" w:rsidRPr="008017F0" w14:paraId="60218AAA"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6DBA6272"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C-W test</w:t>
            </w:r>
          </w:p>
        </w:tc>
        <w:tc>
          <w:tcPr>
            <w:tcW w:w="1332" w:type="dxa"/>
            <w:tcBorders>
              <w:top w:val="nil"/>
              <w:left w:val="nil"/>
              <w:bottom w:val="single" w:sz="4" w:space="0" w:color="auto"/>
              <w:right w:val="single" w:sz="4" w:space="0" w:color="auto"/>
            </w:tcBorders>
            <w:noWrap/>
            <w:vAlign w:val="bottom"/>
            <w:hideMark/>
          </w:tcPr>
          <w:p w14:paraId="225F9013"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0.0801</w:t>
            </w:r>
          </w:p>
        </w:tc>
        <w:tc>
          <w:tcPr>
            <w:tcW w:w="1332" w:type="dxa"/>
            <w:tcBorders>
              <w:top w:val="nil"/>
              <w:left w:val="nil"/>
              <w:bottom w:val="single" w:sz="4" w:space="0" w:color="auto"/>
              <w:right w:val="single" w:sz="4" w:space="0" w:color="auto"/>
            </w:tcBorders>
            <w:noWrap/>
            <w:vAlign w:val="bottom"/>
            <w:hideMark/>
          </w:tcPr>
          <w:p w14:paraId="4726E88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0.0000</w:t>
            </w:r>
          </w:p>
        </w:tc>
        <w:tc>
          <w:tcPr>
            <w:tcW w:w="1333" w:type="dxa"/>
            <w:tcBorders>
              <w:top w:val="nil"/>
              <w:left w:val="nil"/>
              <w:bottom w:val="single" w:sz="4" w:space="0" w:color="auto"/>
              <w:right w:val="single" w:sz="4" w:space="0" w:color="auto"/>
            </w:tcBorders>
            <w:noWrap/>
            <w:vAlign w:val="bottom"/>
            <w:hideMark/>
          </w:tcPr>
          <w:p w14:paraId="3AB2F1F6"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0.0189</w:t>
            </w:r>
          </w:p>
        </w:tc>
        <w:tc>
          <w:tcPr>
            <w:tcW w:w="1332" w:type="dxa"/>
            <w:tcBorders>
              <w:top w:val="nil"/>
              <w:left w:val="nil"/>
              <w:bottom w:val="single" w:sz="4" w:space="0" w:color="auto"/>
              <w:right w:val="single" w:sz="4" w:space="0" w:color="auto"/>
            </w:tcBorders>
            <w:noWrap/>
            <w:vAlign w:val="bottom"/>
            <w:hideMark/>
          </w:tcPr>
          <w:p w14:paraId="7DF9345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0.0293</w:t>
            </w:r>
          </w:p>
        </w:tc>
        <w:tc>
          <w:tcPr>
            <w:tcW w:w="1333" w:type="dxa"/>
            <w:tcBorders>
              <w:top w:val="nil"/>
              <w:left w:val="nil"/>
              <w:bottom w:val="single" w:sz="4" w:space="0" w:color="auto"/>
              <w:right w:val="single" w:sz="4" w:space="0" w:color="auto"/>
            </w:tcBorders>
            <w:noWrap/>
            <w:vAlign w:val="bottom"/>
            <w:hideMark/>
          </w:tcPr>
          <w:p w14:paraId="5C59125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0.0153</w:t>
            </w:r>
          </w:p>
        </w:tc>
      </w:tr>
      <w:tr w:rsidR="000336FE" w:rsidRPr="008017F0" w14:paraId="56D9F404"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01D18DA7"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A-B test</w:t>
            </w:r>
          </w:p>
        </w:tc>
        <w:tc>
          <w:tcPr>
            <w:tcW w:w="1332" w:type="dxa"/>
            <w:tcBorders>
              <w:top w:val="nil"/>
              <w:left w:val="nil"/>
              <w:bottom w:val="single" w:sz="4" w:space="0" w:color="auto"/>
              <w:right w:val="single" w:sz="4" w:space="0" w:color="auto"/>
            </w:tcBorders>
            <w:noWrap/>
            <w:vAlign w:val="bottom"/>
            <w:hideMark/>
          </w:tcPr>
          <w:p w14:paraId="5F33F6B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0.7075</w:t>
            </w:r>
          </w:p>
        </w:tc>
        <w:tc>
          <w:tcPr>
            <w:tcW w:w="1332" w:type="dxa"/>
            <w:tcBorders>
              <w:top w:val="nil"/>
              <w:left w:val="nil"/>
              <w:bottom w:val="single" w:sz="4" w:space="0" w:color="auto"/>
              <w:right w:val="single" w:sz="4" w:space="0" w:color="auto"/>
            </w:tcBorders>
            <w:noWrap/>
            <w:vAlign w:val="bottom"/>
            <w:hideMark/>
          </w:tcPr>
          <w:p w14:paraId="678D9DE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0.9850</w:t>
            </w:r>
          </w:p>
        </w:tc>
        <w:tc>
          <w:tcPr>
            <w:tcW w:w="1333" w:type="dxa"/>
            <w:tcBorders>
              <w:top w:val="nil"/>
              <w:left w:val="nil"/>
              <w:bottom w:val="single" w:sz="4" w:space="0" w:color="auto"/>
              <w:right w:val="single" w:sz="4" w:space="0" w:color="auto"/>
            </w:tcBorders>
            <w:noWrap/>
            <w:vAlign w:val="bottom"/>
            <w:hideMark/>
          </w:tcPr>
          <w:p w14:paraId="3EEFB7A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0.3637</w:t>
            </w:r>
          </w:p>
        </w:tc>
        <w:tc>
          <w:tcPr>
            <w:tcW w:w="1332" w:type="dxa"/>
            <w:tcBorders>
              <w:top w:val="nil"/>
              <w:left w:val="nil"/>
              <w:bottom w:val="single" w:sz="4" w:space="0" w:color="auto"/>
              <w:right w:val="single" w:sz="4" w:space="0" w:color="auto"/>
            </w:tcBorders>
            <w:noWrap/>
            <w:vAlign w:val="bottom"/>
            <w:hideMark/>
          </w:tcPr>
          <w:p w14:paraId="0D66655B"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0.1550</w:t>
            </w:r>
          </w:p>
        </w:tc>
        <w:tc>
          <w:tcPr>
            <w:tcW w:w="1333" w:type="dxa"/>
            <w:tcBorders>
              <w:top w:val="nil"/>
              <w:left w:val="nil"/>
              <w:bottom w:val="single" w:sz="4" w:space="0" w:color="auto"/>
              <w:right w:val="single" w:sz="4" w:space="0" w:color="auto"/>
            </w:tcBorders>
            <w:noWrap/>
            <w:vAlign w:val="bottom"/>
            <w:hideMark/>
          </w:tcPr>
          <w:p w14:paraId="2C4B110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0.4260</w:t>
            </w:r>
          </w:p>
        </w:tc>
      </w:tr>
      <w:tr w:rsidR="000336FE" w:rsidRPr="008017F0" w14:paraId="57D14828"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0273248F"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Reset test</w:t>
            </w:r>
          </w:p>
        </w:tc>
        <w:tc>
          <w:tcPr>
            <w:tcW w:w="1332" w:type="dxa"/>
            <w:tcBorders>
              <w:top w:val="nil"/>
              <w:left w:val="nil"/>
              <w:bottom w:val="single" w:sz="4" w:space="0" w:color="auto"/>
              <w:right w:val="single" w:sz="4" w:space="0" w:color="auto"/>
            </w:tcBorders>
            <w:noWrap/>
            <w:vAlign w:val="bottom"/>
            <w:hideMark/>
          </w:tcPr>
          <w:p w14:paraId="164E330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0.3292</w:t>
            </w:r>
          </w:p>
        </w:tc>
        <w:tc>
          <w:tcPr>
            <w:tcW w:w="1332" w:type="dxa"/>
            <w:tcBorders>
              <w:top w:val="nil"/>
              <w:left w:val="nil"/>
              <w:bottom w:val="single" w:sz="4" w:space="0" w:color="auto"/>
              <w:right w:val="single" w:sz="4" w:space="0" w:color="auto"/>
            </w:tcBorders>
            <w:noWrap/>
            <w:vAlign w:val="bottom"/>
            <w:hideMark/>
          </w:tcPr>
          <w:p w14:paraId="51086C69"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0.4163</w:t>
            </w:r>
          </w:p>
        </w:tc>
        <w:tc>
          <w:tcPr>
            <w:tcW w:w="1333" w:type="dxa"/>
            <w:tcBorders>
              <w:top w:val="nil"/>
              <w:left w:val="nil"/>
              <w:bottom w:val="single" w:sz="4" w:space="0" w:color="auto"/>
              <w:right w:val="single" w:sz="4" w:space="0" w:color="auto"/>
            </w:tcBorders>
            <w:noWrap/>
            <w:vAlign w:val="bottom"/>
            <w:hideMark/>
          </w:tcPr>
          <w:p w14:paraId="4B33D2F5"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0.0631</w:t>
            </w:r>
          </w:p>
        </w:tc>
        <w:tc>
          <w:tcPr>
            <w:tcW w:w="1332" w:type="dxa"/>
            <w:tcBorders>
              <w:top w:val="nil"/>
              <w:left w:val="nil"/>
              <w:bottom w:val="single" w:sz="4" w:space="0" w:color="auto"/>
              <w:right w:val="single" w:sz="4" w:space="0" w:color="auto"/>
            </w:tcBorders>
            <w:noWrap/>
            <w:vAlign w:val="bottom"/>
            <w:hideMark/>
          </w:tcPr>
          <w:p w14:paraId="1E30E08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0.9220</w:t>
            </w:r>
          </w:p>
        </w:tc>
        <w:tc>
          <w:tcPr>
            <w:tcW w:w="1333" w:type="dxa"/>
            <w:tcBorders>
              <w:top w:val="nil"/>
              <w:left w:val="nil"/>
              <w:bottom w:val="single" w:sz="4" w:space="0" w:color="auto"/>
              <w:right w:val="single" w:sz="4" w:space="0" w:color="auto"/>
            </w:tcBorders>
            <w:noWrap/>
            <w:vAlign w:val="bottom"/>
            <w:hideMark/>
          </w:tcPr>
          <w:p w14:paraId="5422D85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eastAsia="Times New Roman" w:cstheme="minorHAnsi"/>
                <w:sz w:val="18"/>
                <w:szCs w:val="18"/>
                <w:lang w:val="en-GB" w:eastAsia="it-IT"/>
              </w:rPr>
              <w:t>0.3473</w:t>
            </w:r>
          </w:p>
        </w:tc>
      </w:tr>
      <w:tr w:rsidR="000336FE" w:rsidRPr="008017F0" w14:paraId="34722447"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tcPr>
          <w:p w14:paraId="12CA113B" w14:textId="77777777" w:rsidR="000336FE" w:rsidRPr="008017F0" w:rsidRDefault="000336FE" w:rsidP="00953B6F">
            <w:pPr>
              <w:spacing w:after="0" w:line="240" w:lineRule="auto"/>
              <w:ind w:right="-74"/>
              <w:rPr>
                <w:rFonts w:eastAsia="Times New Roman" w:cstheme="minorHAnsi"/>
                <w:sz w:val="15"/>
                <w:szCs w:val="15"/>
                <w:lang w:val="en-GB" w:eastAsia="it-IT"/>
              </w:rPr>
            </w:pPr>
          </w:p>
        </w:tc>
        <w:tc>
          <w:tcPr>
            <w:tcW w:w="1332" w:type="dxa"/>
            <w:tcBorders>
              <w:top w:val="nil"/>
              <w:left w:val="nil"/>
              <w:bottom w:val="single" w:sz="4" w:space="0" w:color="auto"/>
              <w:right w:val="single" w:sz="4" w:space="0" w:color="auto"/>
            </w:tcBorders>
            <w:noWrap/>
            <w:vAlign w:val="bottom"/>
          </w:tcPr>
          <w:p w14:paraId="6D03D115" w14:textId="77777777" w:rsidR="000336FE" w:rsidRPr="008017F0" w:rsidRDefault="000336FE" w:rsidP="00953B6F">
            <w:pPr>
              <w:spacing w:after="0" w:line="240" w:lineRule="auto"/>
              <w:jc w:val="center"/>
              <w:rPr>
                <w:rFonts w:ascii="Calibri" w:hAnsi="Calibri" w:cs="Calibri"/>
                <w:sz w:val="18"/>
                <w:szCs w:val="18"/>
                <w:lang w:val="en-GB"/>
              </w:rPr>
            </w:pPr>
          </w:p>
        </w:tc>
        <w:tc>
          <w:tcPr>
            <w:tcW w:w="1332" w:type="dxa"/>
            <w:tcBorders>
              <w:top w:val="nil"/>
              <w:left w:val="nil"/>
              <w:bottom w:val="single" w:sz="4" w:space="0" w:color="auto"/>
              <w:right w:val="single" w:sz="4" w:space="0" w:color="auto"/>
            </w:tcBorders>
            <w:noWrap/>
            <w:vAlign w:val="bottom"/>
          </w:tcPr>
          <w:p w14:paraId="46790BDD" w14:textId="77777777" w:rsidR="000336FE" w:rsidRPr="008017F0" w:rsidRDefault="000336FE" w:rsidP="00953B6F">
            <w:pPr>
              <w:spacing w:after="0" w:line="240" w:lineRule="auto"/>
              <w:jc w:val="center"/>
              <w:rPr>
                <w:rFonts w:ascii="Calibri" w:hAnsi="Calibri" w:cs="Calibri"/>
                <w:sz w:val="18"/>
                <w:szCs w:val="18"/>
                <w:lang w:val="en-GB"/>
              </w:rPr>
            </w:pPr>
          </w:p>
        </w:tc>
        <w:tc>
          <w:tcPr>
            <w:tcW w:w="1333" w:type="dxa"/>
            <w:tcBorders>
              <w:top w:val="nil"/>
              <w:left w:val="nil"/>
              <w:bottom w:val="single" w:sz="4" w:space="0" w:color="auto"/>
              <w:right w:val="single" w:sz="4" w:space="0" w:color="auto"/>
            </w:tcBorders>
            <w:noWrap/>
            <w:vAlign w:val="bottom"/>
          </w:tcPr>
          <w:p w14:paraId="2CC8F314" w14:textId="77777777" w:rsidR="000336FE" w:rsidRPr="008017F0" w:rsidRDefault="000336FE" w:rsidP="00953B6F">
            <w:pPr>
              <w:spacing w:after="0" w:line="240" w:lineRule="auto"/>
              <w:jc w:val="center"/>
              <w:rPr>
                <w:rFonts w:ascii="Calibri" w:hAnsi="Calibri" w:cs="Calibri"/>
                <w:sz w:val="18"/>
                <w:szCs w:val="18"/>
                <w:lang w:val="en-GB"/>
              </w:rPr>
            </w:pPr>
          </w:p>
        </w:tc>
        <w:tc>
          <w:tcPr>
            <w:tcW w:w="1332" w:type="dxa"/>
            <w:tcBorders>
              <w:top w:val="nil"/>
              <w:left w:val="nil"/>
              <w:bottom w:val="single" w:sz="4" w:space="0" w:color="auto"/>
              <w:right w:val="single" w:sz="4" w:space="0" w:color="auto"/>
            </w:tcBorders>
            <w:noWrap/>
            <w:vAlign w:val="bottom"/>
          </w:tcPr>
          <w:p w14:paraId="34221F48" w14:textId="77777777" w:rsidR="000336FE" w:rsidRPr="008017F0" w:rsidRDefault="000336FE" w:rsidP="00953B6F">
            <w:pPr>
              <w:spacing w:after="0" w:line="240" w:lineRule="auto"/>
              <w:jc w:val="center"/>
              <w:rPr>
                <w:rFonts w:ascii="Calibri" w:hAnsi="Calibri" w:cs="Calibri"/>
                <w:sz w:val="18"/>
                <w:szCs w:val="18"/>
                <w:lang w:val="en-GB"/>
              </w:rPr>
            </w:pPr>
          </w:p>
        </w:tc>
        <w:tc>
          <w:tcPr>
            <w:tcW w:w="1333" w:type="dxa"/>
            <w:tcBorders>
              <w:top w:val="nil"/>
              <w:left w:val="nil"/>
              <w:bottom w:val="single" w:sz="4" w:space="0" w:color="auto"/>
              <w:right w:val="single" w:sz="4" w:space="0" w:color="auto"/>
            </w:tcBorders>
            <w:noWrap/>
            <w:vAlign w:val="bottom"/>
          </w:tcPr>
          <w:p w14:paraId="1C16DEE8" w14:textId="77777777" w:rsidR="000336FE" w:rsidRPr="008017F0" w:rsidRDefault="000336FE" w:rsidP="00953B6F">
            <w:pPr>
              <w:spacing w:after="0" w:line="240" w:lineRule="auto"/>
              <w:jc w:val="center"/>
              <w:rPr>
                <w:rFonts w:ascii="Calibri" w:hAnsi="Calibri" w:cs="Calibri"/>
                <w:sz w:val="18"/>
                <w:szCs w:val="18"/>
                <w:lang w:val="en-GB"/>
              </w:rPr>
            </w:pPr>
          </w:p>
        </w:tc>
      </w:tr>
      <w:tr w:rsidR="000336FE" w:rsidRPr="008017F0" w14:paraId="53CF40A1"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19E681E6"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 xml:space="preserve">BTP </w:t>
            </w:r>
            <w:proofErr w:type="spellStart"/>
            <w:r w:rsidRPr="008017F0">
              <w:rPr>
                <w:rFonts w:eastAsia="Times New Roman" w:cstheme="minorHAnsi"/>
                <w:sz w:val="15"/>
                <w:szCs w:val="15"/>
                <w:lang w:val="en-GB" w:eastAsia="it-IT"/>
              </w:rPr>
              <w:t>F</w:t>
            </w:r>
            <w:r w:rsidRPr="008017F0">
              <w:rPr>
                <w:rFonts w:eastAsia="Times New Roman" w:cs="Calibri (Corpo)"/>
                <w:sz w:val="15"/>
                <w:szCs w:val="15"/>
                <w:vertAlign w:val="subscript"/>
                <w:lang w:val="en-GB" w:eastAsia="it-IT"/>
              </w:rPr>
              <w:t>yx</w:t>
            </w:r>
            <w:proofErr w:type="spellEnd"/>
          </w:p>
        </w:tc>
        <w:tc>
          <w:tcPr>
            <w:tcW w:w="1332" w:type="dxa"/>
            <w:tcBorders>
              <w:top w:val="nil"/>
              <w:left w:val="nil"/>
              <w:bottom w:val="single" w:sz="4" w:space="0" w:color="auto"/>
              <w:right w:val="single" w:sz="4" w:space="0" w:color="auto"/>
            </w:tcBorders>
            <w:noWrap/>
            <w:vAlign w:val="bottom"/>
            <w:hideMark/>
          </w:tcPr>
          <w:p w14:paraId="3B1220AF"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19.44</w:t>
            </w:r>
            <w:r w:rsidRPr="008017F0">
              <w:rPr>
                <w:rFonts w:eastAsia="Times New Roman" w:cstheme="minorHAnsi"/>
                <w:sz w:val="18"/>
                <w:szCs w:val="18"/>
                <w:lang w:val="en-GB" w:eastAsia="it-IT"/>
              </w:rPr>
              <w:t>***</w:t>
            </w:r>
          </w:p>
        </w:tc>
        <w:tc>
          <w:tcPr>
            <w:tcW w:w="1332" w:type="dxa"/>
            <w:tcBorders>
              <w:top w:val="nil"/>
              <w:left w:val="nil"/>
              <w:bottom w:val="single" w:sz="4" w:space="0" w:color="auto"/>
              <w:right w:val="single" w:sz="4" w:space="0" w:color="auto"/>
            </w:tcBorders>
            <w:noWrap/>
            <w:vAlign w:val="bottom"/>
            <w:hideMark/>
          </w:tcPr>
          <w:p w14:paraId="417CA208"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21.86</w:t>
            </w:r>
            <w:r w:rsidRPr="008017F0">
              <w:rPr>
                <w:rFonts w:eastAsia="Times New Roman" w:cstheme="minorHAnsi"/>
                <w:sz w:val="18"/>
                <w:szCs w:val="18"/>
                <w:lang w:val="en-GB" w:eastAsia="it-IT"/>
              </w:rPr>
              <w:t>***</w:t>
            </w:r>
          </w:p>
        </w:tc>
        <w:tc>
          <w:tcPr>
            <w:tcW w:w="1333" w:type="dxa"/>
            <w:tcBorders>
              <w:top w:val="nil"/>
              <w:left w:val="nil"/>
              <w:bottom w:val="single" w:sz="4" w:space="0" w:color="auto"/>
              <w:right w:val="single" w:sz="4" w:space="0" w:color="auto"/>
            </w:tcBorders>
            <w:noWrap/>
            <w:vAlign w:val="bottom"/>
            <w:hideMark/>
          </w:tcPr>
          <w:p w14:paraId="6560D92E"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30.39</w:t>
            </w:r>
            <w:r w:rsidRPr="008017F0">
              <w:rPr>
                <w:rFonts w:eastAsia="Times New Roman" w:cstheme="minorHAnsi"/>
                <w:sz w:val="18"/>
                <w:szCs w:val="18"/>
                <w:lang w:val="en-GB" w:eastAsia="it-IT"/>
              </w:rPr>
              <w:t>***</w:t>
            </w:r>
          </w:p>
        </w:tc>
        <w:tc>
          <w:tcPr>
            <w:tcW w:w="1332" w:type="dxa"/>
            <w:tcBorders>
              <w:top w:val="nil"/>
              <w:left w:val="nil"/>
              <w:bottom w:val="single" w:sz="4" w:space="0" w:color="auto"/>
              <w:right w:val="single" w:sz="4" w:space="0" w:color="auto"/>
            </w:tcBorders>
            <w:noWrap/>
            <w:vAlign w:val="bottom"/>
            <w:hideMark/>
          </w:tcPr>
          <w:p w14:paraId="4F78B677"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50.21</w:t>
            </w:r>
            <w:r w:rsidRPr="008017F0">
              <w:rPr>
                <w:rFonts w:eastAsia="Times New Roman" w:cstheme="minorHAnsi"/>
                <w:sz w:val="18"/>
                <w:szCs w:val="18"/>
                <w:lang w:val="en-GB" w:eastAsia="it-IT"/>
              </w:rPr>
              <w:t>***</w:t>
            </w:r>
          </w:p>
        </w:tc>
        <w:tc>
          <w:tcPr>
            <w:tcW w:w="1333" w:type="dxa"/>
            <w:tcBorders>
              <w:top w:val="nil"/>
              <w:left w:val="nil"/>
              <w:bottom w:val="single" w:sz="4" w:space="0" w:color="auto"/>
              <w:right w:val="single" w:sz="4" w:space="0" w:color="auto"/>
            </w:tcBorders>
            <w:noWrap/>
            <w:vAlign w:val="bottom"/>
            <w:hideMark/>
          </w:tcPr>
          <w:p w14:paraId="64FCDDA0"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57.71</w:t>
            </w:r>
            <w:r w:rsidRPr="008017F0">
              <w:rPr>
                <w:rFonts w:eastAsia="Times New Roman" w:cstheme="minorHAnsi"/>
                <w:sz w:val="18"/>
                <w:szCs w:val="18"/>
                <w:lang w:val="en-GB" w:eastAsia="it-IT"/>
              </w:rPr>
              <w:t>***</w:t>
            </w:r>
          </w:p>
        </w:tc>
      </w:tr>
      <w:tr w:rsidR="000336FE" w:rsidRPr="008017F0" w14:paraId="3F834E11"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50EF43D8"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 xml:space="preserve">BTP </w:t>
            </w:r>
            <w:proofErr w:type="spellStart"/>
            <w:r w:rsidRPr="008017F0">
              <w:rPr>
                <w:rFonts w:eastAsia="Times New Roman" w:cstheme="minorHAnsi"/>
                <w:sz w:val="15"/>
                <w:szCs w:val="15"/>
                <w:lang w:val="en-GB" w:eastAsia="it-IT"/>
              </w:rPr>
              <w:t>t</w:t>
            </w:r>
            <w:r w:rsidRPr="008017F0">
              <w:rPr>
                <w:rFonts w:eastAsia="Times New Roman" w:cs="Calibri (Corpo)"/>
                <w:sz w:val="15"/>
                <w:szCs w:val="15"/>
                <w:vertAlign w:val="subscript"/>
                <w:lang w:val="en-GB" w:eastAsia="it-IT"/>
              </w:rPr>
              <w:t>Y</w:t>
            </w:r>
            <w:proofErr w:type="spellEnd"/>
          </w:p>
        </w:tc>
        <w:tc>
          <w:tcPr>
            <w:tcW w:w="1332" w:type="dxa"/>
            <w:tcBorders>
              <w:top w:val="nil"/>
              <w:left w:val="nil"/>
              <w:bottom w:val="single" w:sz="4" w:space="0" w:color="auto"/>
              <w:right w:val="single" w:sz="4" w:space="0" w:color="auto"/>
            </w:tcBorders>
            <w:noWrap/>
            <w:vAlign w:val="bottom"/>
            <w:hideMark/>
          </w:tcPr>
          <w:p w14:paraId="060A89C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8.07</w:t>
            </w:r>
            <w:r w:rsidRPr="008017F0">
              <w:rPr>
                <w:rFonts w:eastAsia="Times New Roman" w:cstheme="minorHAnsi"/>
                <w:sz w:val="18"/>
                <w:szCs w:val="18"/>
                <w:lang w:val="en-GB" w:eastAsia="it-IT"/>
              </w:rPr>
              <w:t>***</w:t>
            </w:r>
          </w:p>
        </w:tc>
        <w:tc>
          <w:tcPr>
            <w:tcW w:w="1332" w:type="dxa"/>
            <w:tcBorders>
              <w:top w:val="nil"/>
              <w:left w:val="nil"/>
              <w:bottom w:val="single" w:sz="4" w:space="0" w:color="auto"/>
              <w:right w:val="single" w:sz="4" w:space="0" w:color="auto"/>
            </w:tcBorders>
            <w:noWrap/>
            <w:vAlign w:val="bottom"/>
            <w:hideMark/>
          </w:tcPr>
          <w:p w14:paraId="5D53E4F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10.10</w:t>
            </w:r>
            <w:r w:rsidRPr="008017F0">
              <w:rPr>
                <w:rFonts w:eastAsia="Times New Roman" w:cstheme="minorHAnsi"/>
                <w:sz w:val="18"/>
                <w:szCs w:val="18"/>
                <w:lang w:val="en-GB" w:eastAsia="it-IT"/>
              </w:rPr>
              <w:t>***</w:t>
            </w:r>
          </w:p>
        </w:tc>
        <w:tc>
          <w:tcPr>
            <w:tcW w:w="1333" w:type="dxa"/>
            <w:tcBorders>
              <w:top w:val="nil"/>
              <w:left w:val="nil"/>
              <w:bottom w:val="single" w:sz="4" w:space="0" w:color="auto"/>
              <w:right w:val="single" w:sz="4" w:space="0" w:color="auto"/>
            </w:tcBorders>
            <w:noWrap/>
            <w:vAlign w:val="bottom"/>
            <w:hideMark/>
          </w:tcPr>
          <w:p w14:paraId="7682C8FD"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11.71</w:t>
            </w:r>
            <w:r w:rsidRPr="008017F0">
              <w:rPr>
                <w:rFonts w:eastAsia="Times New Roman" w:cstheme="minorHAnsi"/>
                <w:sz w:val="18"/>
                <w:szCs w:val="18"/>
                <w:lang w:val="en-GB" w:eastAsia="it-IT"/>
              </w:rPr>
              <w:t>***</w:t>
            </w:r>
          </w:p>
        </w:tc>
        <w:tc>
          <w:tcPr>
            <w:tcW w:w="1332" w:type="dxa"/>
            <w:tcBorders>
              <w:top w:val="nil"/>
              <w:left w:val="nil"/>
              <w:bottom w:val="single" w:sz="4" w:space="0" w:color="auto"/>
              <w:right w:val="single" w:sz="4" w:space="0" w:color="auto"/>
            </w:tcBorders>
            <w:noWrap/>
            <w:vAlign w:val="bottom"/>
            <w:hideMark/>
          </w:tcPr>
          <w:p w14:paraId="1265912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9.71</w:t>
            </w:r>
            <w:r w:rsidRPr="008017F0">
              <w:rPr>
                <w:rFonts w:eastAsia="Times New Roman" w:cstheme="minorHAnsi"/>
                <w:sz w:val="18"/>
                <w:szCs w:val="18"/>
                <w:lang w:val="en-GB" w:eastAsia="it-IT"/>
              </w:rPr>
              <w:t>***</w:t>
            </w:r>
          </w:p>
        </w:tc>
        <w:tc>
          <w:tcPr>
            <w:tcW w:w="1333" w:type="dxa"/>
            <w:tcBorders>
              <w:top w:val="nil"/>
              <w:left w:val="nil"/>
              <w:bottom w:val="single" w:sz="4" w:space="0" w:color="auto"/>
              <w:right w:val="single" w:sz="4" w:space="0" w:color="auto"/>
            </w:tcBorders>
            <w:noWrap/>
            <w:vAlign w:val="bottom"/>
            <w:hideMark/>
          </w:tcPr>
          <w:p w14:paraId="5D7DD5E3"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12.15</w:t>
            </w:r>
            <w:r w:rsidRPr="008017F0">
              <w:rPr>
                <w:rFonts w:eastAsia="Times New Roman" w:cstheme="minorHAnsi"/>
                <w:sz w:val="18"/>
                <w:szCs w:val="18"/>
                <w:lang w:val="en-GB" w:eastAsia="it-IT"/>
              </w:rPr>
              <w:t>***</w:t>
            </w:r>
          </w:p>
        </w:tc>
      </w:tr>
      <w:tr w:rsidR="000336FE" w:rsidRPr="008017F0" w14:paraId="784D82A7" w14:textId="77777777" w:rsidTr="00953B6F">
        <w:trPr>
          <w:trHeight w:hRule="exact" w:val="227"/>
        </w:trPr>
        <w:tc>
          <w:tcPr>
            <w:tcW w:w="2977" w:type="dxa"/>
            <w:tcBorders>
              <w:top w:val="nil"/>
              <w:left w:val="single" w:sz="4" w:space="0" w:color="auto"/>
              <w:bottom w:val="single" w:sz="4" w:space="0" w:color="auto"/>
              <w:right w:val="single" w:sz="4" w:space="0" w:color="auto"/>
            </w:tcBorders>
            <w:noWrap/>
            <w:vAlign w:val="bottom"/>
            <w:hideMark/>
          </w:tcPr>
          <w:p w14:paraId="2B56AB88" w14:textId="77777777" w:rsidR="000336FE" w:rsidRPr="008017F0" w:rsidRDefault="000336FE" w:rsidP="00953B6F">
            <w:pPr>
              <w:spacing w:after="0" w:line="240" w:lineRule="auto"/>
              <w:ind w:right="-74"/>
              <w:rPr>
                <w:rFonts w:eastAsia="Times New Roman" w:cstheme="minorHAnsi"/>
                <w:sz w:val="15"/>
                <w:szCs w:val="15"/>
                <w:lang w:val="en-GB" w:eastAsia="it-IT"/>
              </w:rPr>
            </w:pPr>
            <w:r w:rsidRPr="008017F0">
              <w:rPr>
                <w:rFonts w:eastAsia="Times New Roman" w:cstheme="minorHAnsi"/>
                <w:sz w:val="15"/>
                <w:szCs w:val="15"/>
                <w:lang w:val="en-GB" w:eastAsia="it-IT"/>
              </w:rPr>
              <w:t xml:space="preserve">BTP </w:t>
            </w:r>
            <w:proofErr w:type="spellStart"/>
            <w:r w:rsidRPr="008017F0">
              <w:rPr>
                <w:rFonts w:eastAsia="Times New Roman" w:cstheme="minorHAnsi"/>
                <w:sz w:val="15"/>
                <w:szCs w:val="15"/>
                <w:lang w:val="en-GB" w:eastAsia="it-IT"/>
              </w:rPr>
              <w:t>F</w:t>
            </w:r>
            <w:r w:rsidRPr="008017F0">
              <w:rPr>
                <w:rFonts w:eastAsia="Times New Roman" w:cs="Calibri (Corpo)"/>
                <w:sz w:val="15"/>
                <w:szCs w:val="15"/>
                <w:vertAlign w:val="subscript"/>
                <w:lang w:val="en-GB" w:eastAsia="it-IT"/>
              </w:rPr>
              <w:t>x</w:t>
            </w:r>
            <w:proofErr w:type="spellEnd"/>
          </w:p>
        </w:tc>
        <w:tc>
          <w:tcPr>
            <w:tcW w:w="1332" w:type="dxa"/>
            <w:tcBorders>
              <w:top w:val="nil"/>
              <w:left w:val="nil"/>
              <w:bottom w:val="single" w:sz="4" w:space="0" w:color="auto"/>
              <w:right w:val="single" w:sz="4" w:space="0" w:color="auto"/>
            </w:tcBorders>
            <w:noWrap/>
            <w:vAlign w:val="bottom"/>
            <w:hideMark/>
          </w:tcPr>
          <w:p w14:paraId="36FF5394"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16.55</w:t>
            </w:r>
            <w:r w:rsidRPr="008017F0">
              <w:rPr>
                <w:rFonts w:eastAsia="Times New Roman" w:cstheme="minorHAnsi"/>
                <w:sz w:val="18"/>
                <w:szCs w:val="18"/>
                <w:lang w:val="en-GB" w:eastAsia="it-IT"/>
              </w:rPr>
              <w:t>***</w:t>
            </w:r>
          </w:p>
        </w:tc>
        <w:tc>
          <w:tcPr>
            <w:tcW w:w="1332" w:type="dxa"/>
            <w:tcBorders>
              <w:top w:val="nil"/>
              <w:left w:val="nil"/>
              <w:bottom w:val="single" w:sz="4" w:space="0" w:color="auto"/>
              <w:right w:val="single" w:sz="4" w:space="0" w:color="auto"/>
            </w:tcBorders>
            <w:noWrap/>
            <w:vAlign w:val="bottom"/>
            <w:hideMark/>
          </w:tcPr>
          <w:p w14:paraId="7C362011"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34.46</w:t>
            </w:r>
            <w:r w:rsidRPr="008017F0">
              <w:rPr>
                <w:rFonts w:eastAsia="Times New Roman" w:cstheme="minorHAnsi"/>
                <w:sz w:val="18"/>
                <w:szCs w:val="18"/>
                <w:lang w:val="en-GB" w:eastAsia="it-IT"/>
              </w:rPr>
              <w:t>***</w:t>
            </w:r>
          </w:p>
        </w:tc>
        <w:tc>
          <w:tcPr>
            <w:tcW w:w="1333" w:type="dxa"/>
            <w:tcBorders>
              <w:top w:val="nil"/>
              <w:left w:val="nil"/>
              <w:bottom w:val="single" w:sz="4" w:space="0" w:color="auto"/>
              <w:right w:val="single" w:sz="4" w:space="0" w:color="auto"/>
            </w:tcBorders>
            <w:noWrap/>
            <w:vAlign w:val="bottom"/>
            <w:hideMark/>
          </w:tcPr>
          <w:p w14:paraId="43791B12"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23.78</w:t>
            </w:r>
            <w:r w:rsidRPr="008017F0">
              <w:rPr>
                <w:rFonts w:eastAsia="Times New Roman" w:cstheme="minorHAnsi"/>
                <w:sz w:val="18"/>
                <w:szCs w:val="18"/>
                <w:lang w:val="en-GB" w:eastAsia="it-IT"/>
              </w:rPr>
              <w:t>***</w:t>
            </w:r>
          </w:p>
        </w:tc>
        <w:tc>
          <w:tcPr>
            <w:tcW w:w="1332" w:type="dxa"/>
            <w:tcBorders>
              <w:top w:val="nil"/>
              <w:left w:val="nil"/>
              <w:bottom w:val="single" w:sz="4" w:space="0" w:color="auto"/>
              <w:right w:val="single" w:sz="4" w:space="0" w:color="auto"/>
            </w:tcBorders>
            <w:noWrap/>
            <w:vAlign w:val="bottom"/>
            <w:hideMark/>
          </w:tcPr>
          <w:p w14:paraId="181054C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6.57</w:t>
            </w:r>
            <w:r w:rsidRPr="008017F0">
              <w:rPr>
                <w:rFonts w:eastAsia="Times New Roman" w:cstheme="minorHAnsi"/>
                <w:sz w:val="18"/>
                <w:szCs w:val="18"/>
                <w:lang w:val="en-GB" w:eastAsia="it-IT"/>
              </w:rPr>
              <w:t>***</w:t>
            </w:r>
          </w:p>
        </w:tc>
        <w:tc>
          <w:tcPr>
            <w:tcW w:w="1333" w:type="dxa"/>
            <w:tcBorders>
              <w:top w:val="nil"/>
              <w:left w:val="nil"/>
              <w:bottom w:val="single" w:sz="4" w:space="0" w:color="auto"/>
              <w:right w:val="single" w:sz="4" w:space="0" w:color="auto"/>
            </w:tcBorders>
            <w:noWrap/>
            <w:vAlign w:val="bottom"/>
            <w:hideMark/>
          </w:tcPr>
          <w:p w14:paraId="4591754A" w14:textId="77777777" w:rsidR="000336FE" w:rsidRPr="008017F0" w:rsidRDefault="000336FE" w:rsidP="00953B6F">
            <w:pPr>
              <w:spacing w:after="0" w:line="240" w:lineRule="auto"/>
              <w:jc w:val="center"/>
              <w:rPr>
                <w:rFonts w:eastAsia="Times New Roman" w:cstheme="minorHAnsi"/>
                <w:sz w:val="18"/>
                <w:szCs w:val="18"/>
                <w:lang w:val="en-GB" w:eastAsia="it-IT"/>
              </w:rPr>
            </w:pPr>
            <w:r w:rsidRPr="008017F0">
              <w:rPr>
                <w:rFonts w:ascii="Calibri" w:hAnsi="Calibri" w:cs="Calibri"/>
                <w:sz w:val="18"/>
                <w:szCs w:val="18"/>
                <w:lang w:val="en-GB"/>
              </w:rPr>
              <w:t>5.55</w:t>
            </w:r>
            <w:r w:rsidRPr="008017F0">
              <w:rPr>
                <w:rFonts w:eastAsia="Times New Roman" w:cstheme="minorHAnsi"/>
                <w:sz w:val="18"/>
                <w:szCs w:val="18"/>
                <w:lang w:val="en-GB" w:eastAsia="it-IT"/>
              </w:rPr>
              <w:t>***</w:t>
            </w:r>
          </w:p>
        </w:tc>
      </w:tr>
    </w:tbl>
    <w:p w14:paraId="509A3AA7" w14:textId="77777777" w:rsidR="000336FE" w:rsidRPr="008017F0" w:rsidRDefault="000336FE" w:rsidP="000336FE">
      <w:pPr>
        <w:spacing w:after="0" w:line="240" w:lineRule="auto"/>
        <w:ind w:left="142" w:right="-1"/>
        <w:jc w:val="both"/>
        <w:rPr>
          <w:rFonts w:ascii="Times New Roman" w:hAnsi="Times New Roman" w:cs="Times New Roman"/>
          <w:i/>
          <w:iCs/>
          <w:sz w:val="16"/>
          <w:szCs w:val="16"/>
          <w:lang w:val="en-GB"/>
        </w:rPr>
      </w:pPr>
      <w:r w:rsidRPr="008017F0">
        <w:rPr>
          <w:rFonts w:ascii="Times New Roman" w:hAnsi="Times New Roman" w:cs="Times New Roman"/>
          <w:b/>
          <w:bCs/>
          <w:i/>
          <w:iCs/>
          <w:sz w:val="16"/>
          <w:szCs w:val="16"/>
          <w:lang w:val="en-GB"/>
        </w:rPr>
        <w:t>Note</w:t>
      </w:r>
      <w:r w:rsidRPr="008017F0">
        <w:rPr>
          <w:rFonts w:ascii="Times New Roman" w:hAnsi="Times New Roman" w:cs="Times New Roman"/>
          <w:i/>
          <w:iCs/>
          <w:sz w:val="16"/>
          <w:szCs w:val="16"/>
          <w:lang w:val="en-GB"/>
        </w:rPr>
        <w:t>: The following variables are all taken as the natural log of their ratio over GDP:</w:t>
      </w:r>
    </w:p>
    <w:p w14:paraId="47C8E76B" w14:textId="77777777" w:rsidR="000336FE" w:rsidRPr="008017F0" w:rsidRDefault="000336FE" w:rsidP="000336FE">
      <w:pPr>
        <w:spacing w:after="0" w:line="240" w:lineRule="auto"/>
        <w:ind w:left="142" w:right="-1"/>
        <w:jc w:val="both"/>
        <w:rPr>
          <w:rFonts w:ascii="Times New Roman" w:hAnsi="Times New Roman" w:cs="Times New Roman"/>
          <w:i/>
          <w:iCs/>
          <w:sz w:val="16"/>
          <w:szCs w:val="16"/>
          <w:lang w:val="en-GB"/>
        </w:rPr>
      </w:pPr>
      <w:r w:rsidRPr="008017F0">
        <w:rPr>
          <w:rFonts w:ascii="Times New Roman" w:hAnsi="Times New Roman" w:cs="Times New Roman"/>
          <w:i/>
          <w:iCs/>
          <w:sz w:val="16"/>
          <w:szCs w:val="16"/>
          <w:lang w:val="en-GB"/>
        </w:rPr>
        <w:t>EU Funds plus national co-financing, Current account subsidies to firms, Nationally financed cohesion funds, Capital account subsidies, Nationally financed public investments, Gross fixed investment, Current account subsidies to households.</w:t>
      </w:r>
    </w:p>
    <w:p w14:paraId="0162CA0B" w14:textId="77777777" w:rsidR="000336FE" w:rsidRPr="008017F0" w:rsidRDefault="000336FE" w:rsidP="008017F0">
      <w:pPr>
        <w:spacing w:after="240" w:line="240" w:lineRule="auto"/>
        <w:ind w:left="142"/>
        <w:jc w:val="both"/>
        <w:rPr>
          <w:rFonts w:ascii="Times New Roman" w:hAnsi="Times New Roman" w:cs="Times New Roman"/>
          <w:lang w:val="en-GB"/>
        </w:rPr>
      </w:pPr>
      <w:r w:rsidRPr="008017F0">
        <w:rPr>
          <w:rFonts w:ascii="Times New Roman" w:hAnsi="Times New Roman" w:cs="Times New Roman"/>
          <w:i/>
          <w:iCs/>
          <w:sz w:val="16"/>
          <w:szCs w:val="16"/>
          <w:lang w:val="en-GB"/>
        </w:rPr>
        <w:t xml:space="preserve">D. is the first-difference operator. N is the number of observations, </w:t>
      </w:r>
      <w:proofErr w:type="spellStart"/>
      <w:r w:rsidRPr="008017F0">
        <w:rPr>
          <w:rFonts w:ascii="Times New Roman" w:hAnsi="Times New Roman" w:cs="Times New Roman"/>
          <w:i/>
          <w:iCs/>
          <w:sz w:val="16"/>
          <w:szCs w:val="16"/>
          <w:lang w:val="en-GB"/>
        </w:rPr>
        <w:t>rss</w:t>
      </w:r>
      <w:proofErr w:type="spellEnd"/>
      <w:r w:rsidRPr="008017F0">
        <w:rPr>
          <w:rFonts w:ascii="Times New Roman" w:hAnsi="Times New Roman" w:cs="Times New Roman"/>
          <w:i/>
          <w:iCs/>
          <w:sz w:val="16"/>
          <w:szCs w:val="16"/>
          <w:lang w:val="en-GB"/>
        </w:rPr>
        <w:t xml:space="preserve"> is the residual sum of squares, r2_a is the coefficient of determination adjusted for degrees of freedom. C-W is the Cook-Weisberg test for heteroskedasticity. A-B is the Arellano-Bond test for serial correlation present at lag one, Reset is Ramsey’s test for functional form and omitted variables (carried out including quadratic terms of fitted values).***p&lt;0.01; ** p&lt;0.05; * p&lt;0.1; P-values reported for the C-W test, the A-B test and the Reset test. See Appendix 3 for information about BTP </w:t>
      </w:r>
      <w:proofErr w:type="spellStart"/>
      <w:r w:rsidRPr="008017F0">
        <w:rPr>
          <w:rFonts w:ascii="Times New Roman" w:hAnsi="Times New Roman" w:cs="Times New Roman"/>
          <w:i/>
          <w:iCs/>
          <w:sz w:val="16"/>
          <w:szCs w:val="16"/>
          <w:lang w:val="en-GB"/>
        </w:rPr>
        <w:t>F</w:t>
      </w:r>
      <w:r w:rsidRPr="008017F0">
        <w:rPr>
          <w:rFonts w:ascii="Times New Roman" w:hAnsi="Times New Roman" w:cs="Times New Roman"/>
          <w:i/>
          <w:iCs/>
          <w:sz w:val="16"/>
          <w:szCs w:val="16"/>
          <w:vertAlign w:val="subscript"/>
          <w:lang w:val="en-GB"/>
        </w:rPr>
        <w:t>yx</w:t>
      </w:r>
      <w:proofErr w:type="spellEnd"/>
      <w:r w:rsidRPr="008017F0">
        <w:rPr>
          <w:rFonts w:ascii="Times New Roman" w:hAnsi="Times New Roman" w:cs="Times New Roman"/>
          <w:i/>
          <w:iCs/>
          <w:sz w:val="16"/>
          <w:szCs w:val="16"/>
          <w:lang w:val="en-GB"/>
        </w:rPr>
        <w:t>, BTP t</w:t>
      </w:r>
      <w:r w:rsidRPr="008017F0">
        <w:rPr>
          <w:rFonts w:ascii="Times New Roman" w:hAnsi="Times New Roman" w:cs="Times New Roman"/>
          <w:i/>
          <w:iCs/>
          <w:sz w:val="16"/>
          <w:szCs w:val="16"/>
          <w:vertAlign w:val="subscript"/>
          <w:lang w:val="en-GB"/>
        </w:rPr>
        <w:t>y</w:t>
      </w:r>
      <w:r w:rsidRPr="008017F0">
        <w:rPr>
          <w:rFonts w:ascii="Times New Roman" w:hAnsi="Times New Roman" w:cs="Times New Roman"/>
          <w:i/>
          <w:iCs/>
          <w:sz w:val="16"/>
          <w:szCs w:val="16"/>
          <w:lang w:val="en-GB"/>
        </w:rPr>
        <w:t xml:space="preserve">, BTP </w:t>
      </w:r>
      <w:proofErr w:type="spellStart"/>
      <w:r w:rsidRPr="008017F0">
        <w:rPr>
          <w:rFonts w:ascii="Times New Roman" w:hAnsi="Times New Roman" w:cs="Times New Roman"/>
          <w:i/>
          <w:iCs/>
          <w:sz w:val="16"/>
          <w:szCs w:val="16"/>
          <w:lang w:val="en-GB"/>
        </w:rPr>
        <w:t>F</w:t>
      </w:r>
      <w:r w:rsidRPr="008017F0">
        <w:rPr>
          <w:rFonts w:ascii="Times New Roman" w:hAnsi="Times New Roman" w:cs="Times New Roman"/>
          <w:i/>
          <w:iCs/>
          <w:sz w:val="16"/>
          <w:szCs w:val="16"/>
          <w:vertAlign w:val="subscript"/>
          <w:lang w:val="en-GB"/>
        </w:rPr>
        <w:t>x</w:t>
      </w:r>
      <w:proofErr w:type="spellEnd"/>
    </w:p>
    <w:p w14:paraId="77DB9C99" w14:textId="77777777" w:rsidR="00AF0BA3" w:rsidRPr="008017F0" w:rsidRDefault="00AF0BA3" w:rsidP="00AF0BA3">
      <w:pPr>
        <w:spacing w:after="0" w:line="360" w:lineRule="auto"/>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All policy funds are related to their own past values, but none of them is characterized by a strong inertia. We find substitutability between EU funds and national </w:t>
      </w:r>
      <w:r w:rsidRPr="008017F0">
        <w:rPr>
          <w:rFonts w:ascii="Times New Roman" w:eastAsia="Times New Roman" w:hAnsi="Times New Roman" w:cs="Times New Roman"/>
          <w:sz w:val="24"/>
          <w:szCs w:val="24"/>
          <w:lang w:val="en-GB"/>
        </w:rPr>
        <w:t xml:space="preserve">public investments. EU funds are countercyclical relative to gross fixed investment, while </w:t>
      </w:r>
      <w:r w:rsidRPr="008017F0">
        <w:rPr>
          <w:rFonts w:ascii="Times New Roman" w:hAnsi="Times New Roman" w:cs="Times New Roman"/>
          <w:sz w:val="24"/>
          <w:szCs w:val="24"/>
          <w:lang w:val="en-GB"/>
        </w:rPr>
        <w:t>current account subsidies to firms are</w:t>
      </w:r>
      <w:r w:rsidRPr="008017F0">
        <w:rPr>
          <w:rFonts w:ascii="Times New Roman" w:eastAsia="Times New Roman" w:hAnsi="Times New Roman" w:cs="Times New Roman"/>
          <w:sz w:val="24"/>
          <w:szCs w:val="24"/>
          <w:lang w:val="en-GB"/>
        </w:rPr>
        <w:t xml:space="preserve"> procyclical relative to this variable. However, </w:t>
      </w:r>
      <w:r w:rsidRPr="008017F0">
        <w:rPr>
          <w:rFonts w:ascii="Times New Roman" w:hAnsi="Times New Roman" w:cs="Times New Roman"/>
          <w:sz w:val="24"/>
          <w:szCs w:val="24"/>
          <w:lang w:val="en-GB"/>
        </w:rPr>
        <w:t xml:space="preserve">current account subsidies to firms and nationally financed cohesion funds are countercyclical vis-à-vis GDP (current account subsidies are also countercyclical relative to </w:t>
      </w:r>
      <w:r w:rsidRPr="008017F0">
        <w:rPr>
          <w:rFonts w:ascii="Times New Roman" w:eastAsia="Times New Roman" w:hAnsi="Times New Roman" w:cs="Times New Roman"/>
          <w:sz w:val="24"/>
          <w:szCs w:val="24"/>
          <w:lang w:val="en-GB"/>
        </w:rPr>
        <w:t>the female rate of unemployment</w:t>
      </w:r>
      <w:r w:rsidRPr="008017F0">
        <w:rPr>
          <w:rFonts w:ascii="Times New Roman" w:hAnsi="Times New Roman" w:cs="Times New Roman"/>
          <w:sz w:val="24"/>
          <w:szCs w:val="24"/>
          <w:lang w:val="en-GB"/>
        </w:rPr>
        <w:t>). N</w:t>
      </w:r>
      <w:r w:rsidRPr="008017F0">
        <w:rPr>
          <w:rFonts w:ascii="Times New Roman" w:eastAsia="Times New Roman" w:hAnsi="Times New Roman" w:cs="Times New Roman"/>
          <w:sz w:val="24"/>
          <w:szCs w:val="24"/>
          <w:lang w:val="en-GB"/>
        </w:rPr>
        <w:t>ational public investments are apparently unrelated to any cyclical influence. Other variables consistently showing up in Table 13 are human capital and patents per capita (virtually always with a positive sign) and the share of the manufacturing sector (either value added or employment).</w:t>
      </w:r>
    </w:p>
    <w:p w14:paraId="3F138734" w14:textId="2331D1E0" w:rsidR="00AF0BA3" w:rsidRPr="008017F0" w:rsidRDefault="00AF0BA3" w:rsidP="00AF0BA3">
      <w:pPr>
        <w:pStyle w:val="RSEG"/>
      </w:pPr>
      <w:r w:rsidRPr="008017F0">
        <w:lastRenderedPageBreak/>
        <w:t>Following the suggestion of Wooldridge (2004, p. 35), we build the W</w:t>
      </w:r>
      <w:r w:rsidRPr="008017F0">
        <w:rPr>
          <w:vertAlign w:val="subscript"/>
        </w:rPr>
        <w:t>rt-1</w:t>
      </w:r>
      <w:r w:rsidRPr="008017F0">
        <w:t xml:space="preserve"> vectors using the predicted values from the auxiliary regressions of Table A</w:t>
      </w:r>
      <w:r w:rsidR="005A043F" w:rsidRPr="008017F0">
        <w:t>12</w:t>
      </w:r>
      <w:r w:rsidRPr="008017F0">
        <w:t xml:space="preserve"> and proceed to the estimation of equations [6] and [7]</w:t>
      </w:r>
      <w:r w:rsidR="000336FE" w:rsidRPr="008017F0">
        <w:t xml:space="preserve"> from the main text</w:t>
      </w:r>
      <w:r w:rsidRPr="008017F0">
        <w:t xml:space="preserve">. We adopt for this purpose a dynamic panel two-way fixed-effects method (we test for the endogeneity of all current </w:t>
      </w:r>
      <w:r w:rsidR="004E0372" w:rsidRPr="008017F0">
        <w:t>regressors and</w:t>
      </w:r>
      <w:r w:rsidRPr="008017F0">
        <w:t xml:space="preserve"> never reject the null hypothesis; results are available upon request) and rely on the consistent covariance matrix proposed by Driscoll and Kraay (1998) to deal with cross-section dependence and heteroskedasticity. On the other hand, there is no need to test for cointegration, since the W</w:t>
      </w:r>
      <w:r w:rsidRPr="008017F0">
        <w:rPr>
          <w:vertAlign w:val="subscript"/>
        </w:rPr>
        <w:t>rt-1</w:t>
      </w:r>
      <w:r w:rsidRPr="008017F0">
        <w:t xml:space="preserve"> variables are cointegrated and the null of non-stationarity is rejected for the other variables (see </w:t>
      </w:r>
      <w:r w:rsidR="004E0372" w:rsidRPr="008017F0">
        <w:t xml:space="preserve">the second column of </w:t>
      </w:r>
      <w:r w:rsidRPr="008017F0">
        <w:t>Table A</w:t>
      </w:r>
      <w:r w:rsidR="005A043F" w:rsidRPr="008017F0">
        <w:t>9</w:t>
      </w:r>
      <w:r w:rsidRPr="008017F0">
        <w:t>.B).</w:t>
      </w:r>
    </w:p>
    <w:p w14:paraId="75AE8A6F" w14:textId="442C6493" w:rsidR="00B11595" w:rsidRPr="008017F0" w:rsidRDefault="004E0372" w:rsidP="00B11595">
      <w:pPr>
        <w:pStyle w:val="RSEG"/>
        <w:rPr>
          <w:sz w:val="22"/>
          <w:szCs w:val="22"/>
        </w:rPr>
      </w:pPr>
      <w:r w:rsidRPr="008017F0">
        <w:t>W</w:t>
      </w:r>
      <w:r w:rsidR="00B11595" w:rsidRPr="008017F0">
        <w:t>hen EU Funds (plus national co-financing) enter</w:t>
      </w:r>
      <w:r w:rsidR="00B11595" w:rsidRPr="008017F0">
        <w:rPr>
          <w:sz w:val="16"/>
          <w:szCs w:val="16"/>
        </w:rPr>
        <w:t xml:space="preserve"> </w:t>
      </w:r>
      <w:r w:rsidR="00B11595" w:rsidRPr="008017F0">
        <w:t>equations [</w:t>
      </w:r>
      <w:r w:rsidR="006F4088" w:rsidRPr="008017F0">
        <w:t>6</w:t>
      </w:r>
      <w:r w:rsidR="00B11595" w:rsidRPr="008017F0">
        <w:t>] and [</w:t>
      </w:r>
      <w:r w:rsidR="006F4088" w:rsidRPr="008017F0">
        <w:t>7</w:t>
      </w:r>
      <w:r w:rsidR="00B11595" w:rsidRPr="008017F0">
        <w:t xml:space="preserve">] </w:t>
      </w:r>
      <w:r w:rsidR="00D30EED" w:rsidRPr="008017F0">
        <w:t xml:space="preserve">from the main text </w:t>
      </w:r>
      <w:r w:rsidR="00B11595" w:rsidRPr="008017F0">
        <w:t>as a regressor</w:t>
      </w:r>
      <w:r w:rsidR="00B11595" w:rsidRPr="008017F0">
        <w:rPr>
          <w:sz w:val="16"/>
          <w:szCs w:val="16"/>
        </w:rPr>
        <w:t xml:space="preserve">, </w:t>
      </w:r>
      <w:r w:rsidR="00B11595" w:rsidRPr="008017F0">
        <w:t>the W</w:t>
      </w:r>
      <w:r w:rsidR="00B11595" w:rsidRPr="008017F0">
        <w:rPr>
          <w:vertAlign w:val="subscript"/>
        </w:rPr>
        <w:t>rt</w:t>
      </w:r>
      <w:r w:rsidRPr="008017F0">
        <w:rPr>
          <w:vertAlign w:val="subscript"/>
        </w:rPr>
        <w:t>-</w:t>
      </w:r>
      <w:r w:rsidR="00B11595" w:rsidRPr="008017F0">
        <w:rPr>
          <w:vertAlign w:val="subscript"/>
        </w:rPr>
        <w:t>1</w:t>
      </w:r>
      <w:r w:rsidR="00B11595" w:rsidRPr="008017F0">
        <w:t xml:space="preserve"> vector includes the predicted values from the equation in column (1), Table </w:t>
      </w:r>
      <w:r w:rsidR="000C1C80" w:rsidRPr="008017F0">
        <w:t>A1</w:t>
      </w:r>
      <w:r w:rsidR="00A5202B" w:rsidRPr="008017F0">
        <w:t>2</w:t>
      </w:r>
      <w:r w:rsidR="00B11595" w:rsidRPr="008017F0">
        <w:t>; when Current account subsidies to firms enter</w:t>
      </w:r>
      <w:r w:rsidR="00B11595" w:rsidRPr="008017F0">
        <w:rPr>
          <w:sz w:val="16"/>
          <w:szCs w:val="16"/>
        </w:rPr>
        <w:t xml:space="preserve"> </w:t>
      </w:r>
      <w:r w:rsidR="00B11595" w:rsidRPr="008017F0">
        <w:t>equations [</w:t>
      </w:r>
      <w:r w:rsidR="006F4088" w:rsidRPr="008017F0">
        <w:t>6</w:t>
      </w:r>
      <w:r w:rsidR="00B11595" w:rsidRPr="008017F0">
        <w:t>] and [</w:t>
      </w:r>
      <w:r w:rsidR="006F4088" w:rsidRPr="008017F0">
        <w:t>7</w:t>
      </w:r>
      <w:r w:rsidR="00B11595" w:rsidRPr="008017F0">
        <w:t>], the W</w:t>
      </w:r>
      <w:r w:rsidR="00B11595" w:rsidRPr="008017F0">
        <w:rPr>
          <w:vertAlign w:val="subscript"/>
        </w:rPr>
        <w:t>rt-1</w:t>
      </w:r>
      <w:r w:rsidR="00B11595" w:rsidRPr="008017F0">
        <w:t xml:space="preserve"> vector also includes the predicted values from column (2), Table </w:t>
      </w:r>
      <w:r w:rsidR="000C1C80" w:rsidRPr="008017F0">
        <w:t>A1</w:t>
      </w:r>
      <w:r w:rsidR="00A5202B" w:rsidRPr="008017F0">
        <w:t>2</w:t>
      </w:r>
      <w:r w:rsidR="00B11595" w:rsidRPr="008017F0">
        <w:t>, and so on.</w:t>
      </w:r>
      <w:r w:rsidRPr="008017F0">
        <w:t xml:space="preserve"> T</w:t>
      </w:r>
      <w:r w:rsidR="00B11595" w:rsidRPr="008017F0">
        <w:t>he W</w:t>
      </w:r>
      <w:r w:rsidR="00B11595" w:rsidRPr="008017F0">
        <w:rPr>
          <w:vertAlign w:val="subscript"/>
        </w:rPr>
        <w:t>rt-1</w:t>
      </w:r>
      <w:r w:rsidR="00B11595" w:rsidRPr="008017F0">
        <w:t xml:space="preserve"> vector also includes the predicted values from column (3), Table </w:t>
      </w:r>
      <w:r w:rsidR="000C1C80" w:rsidRPr="008017F0">
        <w:t>A1</w:t>
      </w:r>
      <w:r w:rsidR="00A5202B" w:rsidRPr="008017F0">
        <w:t>2</w:t>
      </w:r>
      <w:r w:rsidR="00B11595" w:rsidRPr="008017F0">
        <w:t>, when Nationally financed cohesion funds enter [</w:t>
      </w:r>
      <w:r w:rsidR="006F4088" w:rsidRPr="008017F0">
        <w:t>6</w:t>
      </w:r>
      <w:r w:rsidR="00B11595" w:rsidRPr="008017F0">
        <w:t>] and [</w:t>
      </w:r>
      <w:r w:rsidR="006F4088" w:rsidRPr="008017F0">
        <w:t>7</w:t>
      </w:r>
      <w:r w:rsidR="00B11595" w:rsidRPr="008017F0">
        <w:t xml:space="preserve">], the predicted values from column (4), Table </w:t>
      </w:r>
      <w:r w:rsidR="000C1C80" w:rsidRPr="008017F0">
        <w:t>A1</w:t>
      </w:r>
      <w:r w:rsidR="00A5202B" w:rsidRPr="008017F0">
        <w:t>2</w:t>
      </w:r>
      <w:r w:rsidR="00B11595" w:rsidRPr="008017F0">
        <w:t>, when Capital account subsidies enter [</w:t>
      </w:r>
      <w:r w:rsidR="006F4088" w:rsidRPr="008017F0">
        <w:t>6</w:t>
      </w:r>
      <w:r w:rsidR="00B11595" w:rsidRPr="008017F0">
        <w:t>] and [</w:t>
      </w:r>
      <w:r w:rsidR="006F4088" w:rsidRPr="008017F0">
        <w:t>7</w:t>
      </w:r>
      <w:r w:rsidR="00B11595" w:rsidRPr="008017F0">
        <w:t xml:space="preserve">], and the predicted values from column (5), Table </w:t>
      </w:r>
      <w:r w:rsidR="000C1C80" w:rsidRPr="008017F0">
        <w:t>A1</w:t>
      </w:r>
      <w:r w:rsidR="00A5202B" w:rsidRPr="008017F0">
        <w:t>2</w:t>
      </w:r>
      <w:r w:rsidR="00B11595" w:rsidRPr="008017F0">
        <w:t>, when Nationally financed public investments enter [</w:t>
      </w:r>
      <w:r w:rsidR="006F4088" w:rsidRPr="008017F0">
        <w:t>6</w:t>
      </w:r>
      <w:r w:rsidR="00B11595" w:rsidRPr="008017F0">
        <w:t>] and [</w:t>
      </w:r>
      <w:r w:rsidR="006F4088" w:rsidRPr="008017F0">
        <w:t>7</w:t>
      </w:r>
      <w:r w:rsidR="00B11595" w:rsidRPr="008017F0">
        <w:t>].</w:t>
      </w:r>
    </w:p>
    <w:p w14:paraId="4401C37A" w14:textId="77777777" w:rsidR="00B11595" w:rsidRPr="008017F0" w:rsidRDefault="00B11595" w:rsidP="00B11595">
      <w:pPr>
        <w:spacing w:after="0" w:line="360" w:lineRule="auto"/>
        <w:rPr>
          <w:rFonts w:ascii="Times New Roman" w:hAnsi="Times New Roman" w:cs="Times New Roman"/>
          <w:b/>
          <w:sz w:val="24"/>
          <w:szCs w:val="24"/>
          <w:lang w:val="en-GB"/>
        </w:rPr>
      </w:pPr>
    </w:p>
    <w:p w14:paraId="5421081A" w14:textId="77777777" w:rsidR="002A306E" w:rsidRPr="008017F0" w:rsidRDefault="002A306E" w:rsidP="002A306E">
      <w:pPr>
        <w:spacing w:after="0" w:line="360" w:lineRule="auto"/>
        <w:jc w:val="both"/>
        <w:rPr>
          <w:rFonts w:ascii="Times New Roman" w:hAnsi="Times New Roman" w:cs="Times New Roman"/>
          <w:b/>
          <w:sz w:val="24"/>
          <w:szCs w:val="24"/>
          <w:lang w:val="en-GB"/>
        </w:rPr>
      </w:pPr>
      <w:r w:rsidRPr="008017F0">
        <w:rPr>
          <w:rFonts w:ascii="Times New Roman" w:hAnsi="Times New Roman" w:cs="Times New Roman"/>
          <w:b/>
          <w:sz w:val="24"/>
          <w:szCs w:val="24"/>
          <w:lang w:val="en-GB"/>
        </w:rPr>
        <w:t>References for supplementary material</w:t>
      </w:r>
    </w:p>
    <w:p w14:paraId="4A8B93F2" w14:textId="77777777" w:rsidR="00CB56CD" w:rsidRPr="008017F0" w:rsidRDefault="00CB56CD" w:rsidP="00CB56CD">
      <w:pPr>
        <w:spacing w:after="0" w:line="240" w:lineRule="auto"/>
        <w:ind w:left="567" w:hanging="567"/>
        <w:jc w:val="both"/>
        <w:rPr>
          <w:rFonts w:ascii="Times New Roman" w:hAnsi="Times New Roman" w:cs="Times New Roman"/>
          <w:sz w:val="24"/>
          <w:szCs w:val="24"/>
          <w:u w:color="000000"/>
          <w:lang w:val="en-GB"/>
        </w:rPr>
      </w:pPr>
      <w:r w:rsidRPr="008017F0">
        <w:rPr>
          <w:rFonts w:ascii="Times New Roman" w:hAnsi="Times New Roman" w:cs="Times New Roman"/>
          <w:sz w:val="24"/>
          <w:szCs w:val="24"/>
          <w:lang w:val="en-GB"/>
        </w:rPr>
        <w:t xml:space="preserve">Aschauer D. A. (1989), Is Public Expenditure </w:t>
      </w:r>
      <w:proofErr w:type="gramStart"/>
      <w:r w:rsidRPr="008017F0">
        <w:rPr>
          <w:rFonts w:ascii="Times New Roman" w:hAnsi="Times New Roman" w:cs="Times New Roman"/>
          <w:sz w:val="24"/>
          <w:szCs w:val="24"/>
          <w:lang w:val="en-GB"/>
        </w:rPr>
        <w:t>Productive?,</w:t>
      </w:r>
      <w:proofErr w:type="gramEnd"/>
      <w:r w:rsidRPr="008017F0">
        <w:rPr>
          <w:rFonts w:ascii="Times New Roman" w:hAnsi="Times New Roman" w:cs="Times New Roman"/>
          <w:sz w:val="24"/>
          <w:szCs w:val="24"/>
          <w:lang w:val="en-GB"/>
        </w:rPr>
        <w:t xml:space="preserve"> </w:t>
      </w:r>
      <w:r w:rsidRPr="008017F0">
        <w:rPr>
          <w:rFonts w:ascii="Times New Roman" w:hAnsi="Times New Roman" w:cs="Times New Roman"/>
          <w:i/>
          <w:iCs/>
          <w:sz w:val="24"/>
          <w:szCs w:val="24"/>
          <w:lang w:val="en-GB"/>
        </w:rPr>
        <w:t>Journal of Monetary Economics</w:t>
      </w:r>
      <w:r w:rsidRPr="008017F0">
        <w:rPr>
          <w:rFonts w:ascii="Times New Roman" w:hAnsi="Times New Roman" w:cs="Times New Roman"/>
          <w:sz w:val="24"/>
          <w:szCs w:val="24"/>
          <w:lang w:val="en-GB"/>
        </w:rPr>
        <w:t xml:space="preserve">, n. 23, 177-200. </w:t>
      </w:r>
    </w:p>
    <w:p w14:paraId="67B779E3"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Attanasio O., Picci L., </w:t>
      </w:r>
      <w:proofErr w:type="spellStart"/>
      <w:r w:rsidRPr="008017F0">
        <w:rPr>
          <w:rFonts w:ascii="Times New Roman" w:hAnsi="Times New Roman" w:cs="Times New Roman"/>
          <w:sz w:val="24"/>
          <w:szCs w:val="24"/>
          <w:lang w:val="en-GB"/>
        </w:rPr>
        <w:t>Scorcu</w:t>
      </w:r>
      <w:proofErr w:type="spellEnd"/>
      <w:r w:rsidRPr="008017F0">
        <w:rPr>
          <w:rFonts w:ascii="Times New Roman" w:hAnsi="Times New Roman" w:cs="Times New Roman"/>
          <w:sz w:val="24"/>
          <w:szCs w:val="24"/>
          <w:lang w:val="en-GB"/>
        </w:rPr>
        <w:t xml:space="preserve"> A. E. (2000). Saving, Growth, and Investment: A Macroeconomic Analysis Using a Panel of Countries. </w:t>
      </w:r>
      <w:r w:rsidRPr="008017F0">
        <w:rPr>
          <w:rFonts w:ascii="Times New Roman" w:hAnsi="Times New Roman" w:cs="Times New Roman"/>
          <w:i/>
          <w:iCs/>
          <w:sz w:val="24"/>
          <w:szCs w:val="24"/>
          <w:lang w:val="en-GB"/>
        </w:rPr>
        <w:t>Review of Economics and Statistics</w:t>
      </w:r>
      <w:r w:rsidRPr="008017F0">
        <w:rPr>
          <w:rFonts w:ascii="Times New Roman" w:hAnsi="Times New Roman" w:cs="Times New Roman"/>
          <w:sz w:val="24"/>
          <w:szCs w:val="24"/>
          <w:lang w:val="en-GB"/>
        </w:rPr>
        <w:t>, 82: 182- 211.</w:t>
      </w:r>
    </w:p>
    <w:p w14:paraId="761FF8C5"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proofErr w:type="spellStart"/>
      <w:r w:rsidRPr="008017F0">
        <w:rPr>
          <w:rFonts w:ascii="Times New Roman" w:hAnsi="Times New Roman" w:cs="Times New Roman"/>
          <w:sz w:val="24"/>
          <w:szCs w:val="24"/>
          <w:lang w:val="en-GB"/>
        </w:rPr>
        <w:t>Bertsatos</w:t>
      </w:r>
      <w:proofErr w:type="spellEnd"/>
      <w:r w:rsidRPr="008017F0">
        <w:rPr>
          <w:rFonts w:ascii="Times New Roman" w:hAnsi="Times New Roman" w:cs="Times New Roman"/>
          <w:sz w:val="24"/>
          <w:szCs w:val="24"/>
          <w:lang w:val="en-GB"/>
        </w:rPr>
        <w:t xml:space="preserve"> G., Sakellaris P., </w:t>
      </w:r>
      <w:proofErr w:type="spellStart"/>
      <w:r w:rsidRPr="008017F0">
        <w:rPr>
          <w:rFonts w:ascii="Times New Roman" w:hAnsi="Times New Roman" w:cs="Times New Roman"/>
          <w:sz w:val="24"/>
          <w:szCs w:val="24"/>
          <w:lang w:val="en-GB"/>
        </w:rPr>
        <w:t>Tsionas</w:t>
      </w:r>
      <w:proofErr w:type="spellEnd"/>
      <w:r w:rsidRPr="008017F0">
        <w:rPr>
          <w:rFonts w:ascii="Times New Roman" w:hAnsi="Times New Roman" w:cs="Times New Roman"/>
          <w:sz w:val="24"/>
          <w:szCs w:val="24"/>
          <w:lang w:val="en-GB"/>
        </w:rPr>
        <w:t xml:space="preserve"> M. (2023). A Panel Bounds Testing Procedure, </w:t>
      </w:r>
      <w:r w:rsidRPr="008017F0">
        <w:rPr>
          <w:rFonts w:ascii="Times New Roman" w:hAnsi="Times New Roman" w:cs="Times New Roman"/>
          <w:i/>
          <w:iCs/>
          <w:sz w:val="24"/>
          <w:szCs w:val="24"/>
          <w:lang w:val="en-GB"/>
        </w:rPr>
        <w:t>Theoretical Economics Letters</w:t>
      </w:r>
      <w:r w:rsidRPr="008017F0">
        <w:rPr>
          <w:rFonts w:ascii="Times New Roman" w:hAnsi="Times New Roman" w:cs="Times New Roman"/>
          <w:sz w:val="24"/>
          <w:szCs w:val="24"/>
          <w:lang w:val="en-GB"/>
        </w:rPr>
        <w:t>,13(7), 1765-1779.</w:t>
      </w:r>
    </w:p>
    <w:p w14:paraId="43978E42"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eastAsia="Times New Roman" w:hAnsi="Times New Roman" w:cs="Times New Roman"/>
          <w:color w:val="000000"/>
          <w:sz w:val="24"/>
          <w:szCs w:val="24"/>
          <w:lang w:val="en-GB" w:eastAsia="it-IT"/>
        </w:rPr>
        <w:t>Biehl D. (1986), </w:t>
      </w:r>
      <w:r w:rsidRPr="008017F0">
        <w:rPr>
          <w:rFonts w:ascii="Times New Roman" w:eastAsia="Times New Roman" w:hAnsi="Times New Roman" w:cs="Times New Roman"/>
          <w:i/>
          <w:iCs/>
          <w:color w:val="000000"/>
          <w:sz w:val="24"/>
          <w:szCs w:val="24"/>
          <w:lang w:val="en-GB" w:eastAsia="it-IT"/>
        </w:rPr>
        <w:t>The contribution of infrastructure to the regional development</w:t>
      </w:r>
      <w:r w:rsidRPr="008017F0">
        <w:rPr>
          <w:rFonts w:ascii="Times New Roman" w:eastAsia="Times New Roman" w:hAnsi="Times New Roman" w:cs="Times New Roman"/>
          <w:color w:val="000000"/>
          <w:sz w:val="24"/>
          <w:szCs w:val="24"/>
          <w:lang w:val="en-GB" w:eastAsia="it-IT"/>
        </w:rPr>
        <w:t>, Commission of the European Communities.</w:t>
      </w:r>
    </w:p>
    <w:p w14:paraId="28395B03"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Biehl D. (1991). The Role of Infrastructure in Regional Development, in </w:t>
      </w:r>
      <w:r w:rsidRPr="008017F0">
        <w:rPr>
          <w:rFonts w:ascii="Times New Roman" w:hAnsi="Times New Roman" w:cs="Times New Roman"/>
          <w:i/>
          <w:iCs/>
          <w:sz w:val="24"/>
          <w:szCs w:val="24"/>
          <w:lang w:val="en-GB"/>
        </w:rPr>
        <w:t>Infrastructure and Regional Development</w:t>
      </w:r>
      <w:r w:rsidRPr="008017F0">
        <w:rPr>
          <w:rFonts w:ascii="Times New Roman" w:hAnsi="Times New Roman" w:cs="Times New Roman"/>
          <w:sz w:val="24"/>
          <w:szCs w:val="24"/>
          <w:lang w:val="en-GB"/>
        </w:rPr>
        <w:t xml:space="preserve">, R.W. Vickerman (ed.), London, Pion. </w:t>
      </w:r>
    </w:p>
    <w:p w14:paraId="3B653E2F" w14:textId="77777777" w:rsidR="00CB56CD" w:rsidRPr="008017F0" w:rsidRDefault="00CB56CD" w:rsidP="00CB56CD">
      <w:pPr>
        <w:spacing w:after="0" w:line="240" w:lineRule="auto"/>
        <w:ind w:left="567" w:hanging="567"/>
        <w:jc w:val="both"/>
        <w:rPr>
          <w:rFonts w:cstheme="minorHAnsi"/>
          <w:lang w:val="en-GB"/>
        </w:rPr>
      </w:pPr>
      <w:r w:rsidRPr="008017F0">
        <w:rPr>
          <w:rFonts w:ascii="Times New Roman" w:hAnsi="Times New Roman" w:cs="Times New Roman"/>
          <w:sz w:val="24"/>
          <w:szCs w:val="24"/>
          <w:lang w:val="en-GB"/>
        </w:rPr>
        <w:t xml:space="preserve">Biehl D., Bracalente B., Di Palma M., Mazziotta C. (1990). </w:t>
      </w:r>
      <w:r w:rsidRPr="008017F0">
        <w:rPr>
          <w:rFonts w:ascii="Times New Roman" w:hAnsi="Times New Roman" w:cs="Times New Roman"/>
          <w:i/>
          <w:iCs/>
          <w:sz w:val="24"/>
          <w:szCs w:val="24"/>
          <w:lang w:val="en-GB"/>
        </w:rPr>
        <w:t xml:space="preserve">La </w:t>
      </w:r>
      <w:proofErr w:type="spellStart"/>
      <w:r w:rsidRPr="008017F0">
        <w:rPr>
          <w:rFonts w:ascii="Times New Roman" w:hAnsi="Times New Roman" w:cs="Times New Roman"/>
          <w:i/>
          <w:iCs/>
          <w:sz w:val="24"/>
          <w:szCs w:val="24"/>
          <w:lang w:val="en-GB"/>
        </w:rPr>
        <w:t>diffusione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territoriale</w:t>
      </w:r>
      <w:proofErr w:type="spellEnd"/>
      <w:r w:rsidRPr="008017F0">
        <w:rPr>
          <w:rFonts w:ascii="Times New Roman" w:hAnsi="Times New Roman" w:cs="Times New Roman"/>
          <w:i/>
          <w:iCs/>
          <w:sz w:val="24"/>
          <w:szCs w:val="24"/>
          <w:lang w:val="en-GB"/>
        </w:rPr>
        <w:t xml:space="preserve"> delle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un’analisi</w:t>
      </w:r>
      <w:proofErr w:type="spellEnd"/>
      <w:r w:rsidRPr="008017F0">
        <w:rPr>
          <w:rFonts w:ascii="Times New Roman" w:hAnsi="Times New Roman" w:cs="Times New Roman"/>
          <w:i/>
          <w:iCs/>
          <w:sz w:val="24"/>
          <w:szCs w:val="24"/>
          <w:lang w:val="en-GB"/>
        </w:rPr>
        <w:t xml:space="preserve"> per </w:t>
      </w:r>
      <w:proofErr w:type="spellStart"/>
      <w:r w:rsidRPr="008017F0">
        <w:rPr>
          <w:rFonts w:ascii="Times New Roman" w:hAnsi="Times New Roman" w:cs="Times New Roman"/>
          <w:i/>
          <w:iCs/>
          <w:sz w:val="24"/>
          <w:szCs w:val="24"/>
          <w:lang w:val="en-GB"/>
        </w:rPr>
        <w:t>l’Europa</w:t>
      </w:r>
      <w:proofErr w:type="spellEnd"/>
      <w:r w:rsidRPr="008017F0">
        <w:rPr>
          <w:rFonts w:ascii="Times New Roman" w:hAnsi="Times New Roman" w:cs="Times New Roman"/>
          <w:i/>
          <w:iCs/>
          <w:sz w:val="24"/>
          <w:szCs w:val="24"/>
          <w:lang w:val="en-GB"/>
        </w:rPr>
        <w:t xml:space="preserve"> e per </w:t>
      </w:r>
      <w:proofErr w:type="spellStart"/>
      <w:r w:rsidRPr="008017F0">
        <w:rPr>
          <w:rFonts w:ascii="Times New Roman" w:hAnsi="Times New Roman" w:cs="Times New Roman"/>
          <w:i/>
          <w:iCs/>
          <w:sz w:val="24"/>
          <w:szCs w:val="24"/>
          <w:lang w:val="en-GB"/>
        </w:rPr>
        <w:t>l’Italia</w:t>
      </w:r>
      <w:proofErr w:type="spellEnd"/>
      <w:r w:rsidRPr="008017F0">
        <w:rPr>
          <w:rFonts w:ascii="Times New Roman" w:hAnsi="Times New Roman" w:cs="Times New Roman"/>
          <w:sz w:val="24"/>
          <w:szCs w:val="24"/>
          <w:lang w:val="en-GB"/>
        </w:rPr>
        <w:t xml:space="preserve">, Sipi </w:t>
      </w:r>
      <w:proofErr w:type="spellStart"/>
      <w:r w:rsidRPr="008017F0">
        <w:rPr>
          <w:rFonts w:ascii="Times New Roman" w:hAnsi="Times New Roman" w:cs="Times New Roman"/>
          <w:sz w:val="24"/>
          <w:szCs w:val="24"/>
          <w:lang w:val="en-GB"/>
        </w:rPr>
        <w:t>editore</w:t>
      </w:r>
      <w:proofErr w:type="spellEnd"/>
      <w:r w:rsidRPr="008017F0">
        <w:rPr>
          <w:rFonts w:ascii="Times New Roman" w:hAnsi="Times New Roman" w:cs="Times New Roman"/>
          <w:sz w:val="24"/>
          <w:szCs w:val="24"/>
          <w:lang w:val="en-GB"/>
        </w:rPr>
        <w:t>, Roma.</w:t>
      </w:r>
      <w:r w:rsidRPr="008017F0">
        <w:rPr>
          <w:rFonts w:cstheme="minorHAnsi"/>
          <w:lang w:val="en-GB"/>
        </w:rPr>
        <w:t xml:space="preserve"> </w:t>
      </w:r>
    </w:p>
    <w:p w14:paraId="360F5E7A"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Bracalente B., Di Palma M., Mazziotta C. (2006), </w:t>
      </w:r>
      <w:proofErr w:type="spellStart"/>
      <w:r w:rsidRPr="008017F0">
        <w:rPr>
          <w:rFonts w:ascii="Times New Roman" w:hAnsi="Times New Roman" w:cs="Times New Roman"/>
          <w:sz w:val="24"/>
          <w:szCs w:val="24"/>
          <w:lang w:val="en-GB"/>
        </w:rPr>
        <w:t>Investimenti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capitale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pubblico</w:t>
      </w:r>
      <w:proofErr w:type="spellEnd"/>
      <w:r w:rsidRPr="008017F0">
        <w:rPr>
          <w:rFonts w:ascii="Times New Roman" w:hAnsi="Times New Roman" w:cs="Times New Roman"/>
          <w:sz w:val="24"/>
          <w:szCs w:val="24"/>
          <w:lang w:val="en-GB"/>
        </w:rPr>
        <w:t xml:space="preserve"> e </w:t>
      </w:r>
      <w:proofErr w:type="spellStart"/>
      <w:r w:rsidRPr="008017F0">
        <w:rPr>
          <w:rFonts w:ascii="Times New Roman" w:hAnsi="Times New Roman" w:cs="Times New Roman"/>
          <w:sz w:val="24"/>
          <w:szCs w:val="24"/>
          <w:lang w:val="en-GB"/>
        </w:rPr>
        <w:t>dotazione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fisica</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nelle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regioni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italiane</w:t>
      </w:r>
      <w:proofErr w:type="spellEnd"/>
      <w:r w:rsidRPr="008017F0">
        <w:rPr>
          <w:rFonts w:ascii="Times New Roman" w:hAnsi="Times New Roman" w:cs="Times New Roman"/>
          <w:sz w:val="24"/>
          <w:szCs w:val="24"/>
          <w:lang w:val="en-GB"/>
        </w:rPr>
        <w:t xml:space="preserve">, in </w:t>
      </w:r>
      <w:proofErr w:type="spellStart"/>
      <w:r w:rsidRPr="008017F0">
        <w:rPr>
          <w:rFonts w:ascii="Times New Roman" w:hAnsi="Times New Roman" w:cs="Times New Roman"/>
          <w:i/>
          <w:iCs/>
          <w:sz w:val="24"/>
          <w:szCs w:val="24"/>
          <w:lang w:val="en-GB"/>
        </w:rPr>
        <w:t>Federalismo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equità</w:t>
      </w:r>
      <w:proofErr w:type="spellEnd"/>
      <w:r w:rsidRPr="008017F0">
        <w:rPr>
          <w:rFonts w:ascii="Times New Roman" w:hAnsi="Times New Roman" w:cs="Times New Roman"/>
          <w:i/>
          <w:iCs/>
          <w:sz w:val="24"/>
          <w:szCs w:val="24"/>
          <w:lang w:val="en-GB"/>
        </w:rPr>
        <w:t xml:space="preserve"> e </w:t>
      </w:r>
      <w:proofErr w:type="spellStart"/>
      <w:r w:rsidRPr="008017F0">
        <w:rPr>
          <w:rFonts w:ascii="Times New Roman" w:hAnsi="Times New Roman" w:cs="Times New Roman"/>
          <w:i/>
          <w:iCs/>
          <w:sz w:val="24"/>
          <w:szCs w:val="24"/>
          <w:lang w:val="en-GB"/>
        </w:rPr>
        <w:t>sviluppo</w:t>
      </w:r>
      <w:proofErr w:type="spellEnd"/>
      <w:r w:rsidRPr="008017F0">
        <w:rPr>
          <w:rFonts w:ascii="Times New Roman" w:hAnsi="Times New Roman" w:cs="Times New Roman"/>
          <w:i/>
          <w:iCs/>
          <w:sz w:val="24"/>
          <w:szCs w:val="24"/>
          <w:lang w:val="en-GB"/>
        </w:rPr>
        <w:t xml:space="preserve"> Barca</w:t>
      </w:r>
      <w:r w:rsidRPr="008017F0">
        <w:rPr>
          <w:rFonts w:ascii="Times New Roman" w:hAnsi="Times New Roman" w:cs="Times New Roman"/>
          <w:sz w:val="24"/>
          <w:szCs w:val="24"/>
          <w:lang w:val="en-GB"/>
        </w:rPr>
        <w:t xml:space="preserve">, Cappiello F, </w:t>
      </w:r>
      <w:proofErr w:type="spellStart"/>
      <w:r w:rsidRPr="008017F0">
        <w:rPr>
          <w:rFonts w:ascii="Times New Roman" w:hAnsi="Times New Roman" w:cs="Times New Roman"/>
          <w:sz w:val="24"/>
          <w:szCs w:val="24"/>
          <w:lang w:val="en-GB"/>
        </w:rPr>
        <w:t>Ravoni</w:t>
      </w:r>
      <w:proofErr w:type="spellEnd"/>
      <w:r w:rsidRPr="008017F0">
        <w:rPr>
          <w:rFonts w:ascii="Times New Roman" w:hAnsi="Times New Roman" w:cs="Times New Roman"/>
          <w:sz w:val="24"/>
          <w:szCs w:val="24"/>
          <w:lang w:val="en-GB"/>
        </w:rPr>
        <w:t xml:space="preserve"> L. e Volpe M. (eds), Il Mulino, Bologna. </w:t>
      </w:r>
    </w:p>
    <w:p w14:paraId="06A83A27"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proofErr w:type="spellStart"/>
      <w:r w:rsidRPr="008017F0">
        <w:rPr>
          <w:rFonts w:ascii="Times New Roman" w:hAnsi="Times New Roman" w:cs="Times New Roman"/>
          <w:sz w:val="24"/>
          <w:szCs w:val="24"/>
          <w:lang w:val="en-GB"/>
        </w:rPr>
        <w:t>Bonaglia</w:t>
      </w:r>
      <w:proofErr w:type="spellEnd"/>
      <w:r w:rsidRPr="008017F0">
        <w:rPr>
          <w:rFonts w:ascii="Times New Roman" w:hAnsi="Times New Roman" w:cs="Times New Roman"/>
          <w:sz w:val="24"/>
          <w:szCs w:val="24"/>
          <w:lang w:val="en-GB"/>
        </w:rPr>
        <w:t xml:space="preserve"> F., Picci L. (2000), Lo stock di </w:t>
      </w:r>
      <w:proofErr w:type="spellStart"/>
      <w:r w:rsidRPr="008017F0">
        <w:rPr>
          <w:rFonts w:ascii="Times New Roman" w:hAnsi="Times New Roman" w:cs="Times New Roman"/>
          <w:sz w:val="24"/>
          <w:szCs w:val="24"/>
          <w:lang w:val="en-GB"/>
        </w:rPr>
        <w:t>capitale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nelle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regioni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italiane</w:t>
      </w:r>
      <w:proofErr w:type="spellEnd"/>
      <w:r w:rsidRPr="008017F0">
        <w:rPr>
          <w:rFonts w:ascii="Times New Roman" w:hAnsi="Times New Roman" w:cs="Times New Roman"/>
          <w:sz w:val="24"/>
          <w:szCs w:val="24"/>
          <w:lang w:val="en-GB"/>
        </w:rPr>
        <w:t xml:space="preserve">, </w:t>
      </w:r>
      <w:r w:rsidRPr="008017F0">
        <w:rPr>
          <w:rFonts w:ascii="Times New Roman" w:hAnsi="Times New Roman" w:cs="Times New Roman"/>
          <w:i/>
          <w:iCs/>
          <w:sz w:val="24"/>
          <w:szCs w:val="24"/>
          <w:lang w:val="en-GB"/>
        </w:rPr>
        <w:t>Working papers</w:t>
      </w:r>
      <w:r w:rsidRPr="008017F0">
        <w:rPr>
          <w:rFonts w:ascii="Times New Roman" w:hAnsi="Times New Roman" w:cs="Times New Roman"/>
          <w:sz w:val="24"/>
          <w:szCs w:val="24"/>
          <w:lang w:val="en-GB"/>
        </w:rPr>
        <w:t xml:space="preserve">, n. 374, </w:t>
      </w:r>
      <w:proofErr w:type="spellStart"/>
      <w:r w:rsidRPr="008017F0">
        <w:rPr>
          <w:rFonts w:ascii="Times New Roman" w:hAnsi="Times New Roman" w:cs="Times New Roman"/>
          <w:sz w:val="24"/>
          <w:szCs w:val="24"/>
          <w:lang w:val="en-GB"/>
        </w:rPr>
        <w:t>Dipartimento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Scienze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Economiche</w:t>
      </w:r>
      <w:proofErr w:type="spellEnd"/>
      <w:r w:rsidRPr="008017F0">
        <w:rPr>
          <w:rFonts w:ascii="Times New Roman" w:hAnsi="Times New Roman" w:cs="Times New Roman"/>
          <w:sz w:val="24"/>
          <w:szCs w:val="24"/>
          <w:lang w:val="en-GB"/>
        </w:rPr>
        <w:t>, Università di Bologna.</w:t>
      </w:r>
    </w:p>
    <w:p w14:paraId="63632082"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Buhr W. (2003). </w:t>
      </w:r>
      <w:r w:rsidRPr="008017F0">
        <w:rPr>
          <w:rFonts w:ascii="Times New Roman" w:hAnsi="Times New Roman" w:cs="Times New Roman"/>
          <w:i/>
          <w:iCs/>
          <w:sz w:val="24"/>
          <w:szCs w:val="24"/>
          <w:lang w:val="en-GB"/>
        </w:rPr>
        <w:t>What is Infrastructure</w:t>
      </w:r>
      <w:r w:rsidRPr="008017F0">
        <w:rPr>
          <w:rFonts w:ascii="Times New Roman" w:hAnsi="Times New Roman" w:cs="Times New Roman"/>
          <w:sz w:val="24"/>
          <w:szCs w:val="24"/>
          <w:lang w:val="en-GB"/>
        </w:rPr>
        <w:t xml:space="preserve">? Department of Economics, School of Economic Disciplines, University of Siegen, Siegen Discussion Paper n. 107- 03. </w:t>
      </w:r>
    </w:p>
    <w:p w14:paraId="0ADCD364"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Charron N., Dijkstra L., Lapuente V. (2014). Regional governance matters: Quality of government within European Union member states. </w:t>
      </w:r>
      <w:r w:rsidRPr="008017F0">
        <w:rPr>
          <w:rFonts w:ascii="Times New Roman" w:hAnsi="Times New Roman" w:cs="Times New Roman"/>
          <w:i/>
          <w:iCs/>
          <w:sz w:val="24"/>
          <w:szCs w:val="24"/>
          <w:lang w:val="en-GB"/>
        </w:rPr>
        <w:t>Regional Studies</w:t>
      </w:r>
      <w:r w:rsidRPr="008017F0">
        <w:rPr>
          <w:rFonts w:ascii="Times New Roman" w:hAnsi="Times New Roman" w:cs="Times New Roman"/>
          <w:sz w:val="24"/>
          <w:szCs w:val="24"/>
          <w:lang w:val="en-GB"/>
        </w:rPr>
        <w:t>, 48, 68–90.</w:t>
      </w:r>
    </w:p>
    <w:p w14:paraId="54A66783"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Charron N., Dijkstra L., Lapuente, V. (2015). Mapping the regional divide in Europe: A measure for assessing quality of government in 206 European regions. </w:t>
      </w:r>
      <w:r w:rsidRPr="008017F0">
        <w:rPr>
          <w:rFonts w:ascii="Times New Roman" w:hAnsi="Times New Roman" w:cs="Times New Roman"/>
          <w:i/>
          <w:iCs/>
          <w:sz w:val="24"/>
          <w:szCs w:val="24"/>
          <w:lang w:val="en-GB"/>
        </w:rPr>
        <w:t>Social indicators research</w:t>
      </w:r>
      <w:r w:rsidRPr="008017F0">
        <w:rPr>
          <w:rFonts w:ascii="Times New Roman" w:hAnsi="Times New Roman" w:cs="Times New Roman"/>
          <w:sz w:val="24"/>
          <w:szCs w:val="24"/>
          <w:lang w:val="en-GB"/>
        </w:rPr>
        <w:t xml:space="preserve">, 122(2), 315-346. </w:t>
      </w:r>
    </w:p>
    <w:p w14:paraId="0EDDF1AC"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lastRenderedPageBreak/>
        <w:t xml:space="preserve">Charron N., Lapuente V., Annoni P. (2019). Measuring Quality of Government in EU Regions Across Space and Time. </w:t>
      </w:r>
      <w:r w:rsidRPr="008017F0">
        <w:rPr>
          <w:rFonts w:ascii="Times New Roman" w:hAnsi="Times New Roman" w:cs="Times New Roman"/>
          <w:i/>
          <w:iCs/>
          <w:sz w:val="24"/>
          <w:szCs w:val="24"/>
          <w:lang w:val="en-GB"/>
        </w:rPr>
        <w:t>Papers in Regional Science</w:t>
      </w:r>
      <w:r w:rsidRPr="008017F0">
        <w:rPr>
          <w:rFonts w:ascii="Times New Roman" w:hAnsi="Times New Roman" w:cs="Times New Roman"/>
          <w:sz w:val="24"/>
          <w:szCs w:val="24"/>
          <w:lang w:val="en-GB"/>
        </w:rPr>
        <w:t xml:space="preserve">. </w:t>
      </w:r>
    </w:p>
    <w:p w14:paraId="738D083B"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Charron N., Lapuente V., </w:t>
      </w:r>
      <w:proofErr w:type="spellStart"/>
      <w:r w:rsidRPr="008017F0">
        <w:rPr>
          <w:rFonts w:ascii="Times New Roman" w:hAnsi="Times New Roman" w:cs="Times New Roman"/>
          <w:sz w:val="24"/>
          <w:szCs w:val="24"/>
          <w:lang w:val="en-GB"/>
        </w:rPr>
        <w:t>Bauhr</w:t>
      </w:r>
      <w:proofErr w:type="spellEnd"/>
      <w:r w:rsidRPr="008017F0">
        <w:rPr>
          <w:rFonts w:ascii="Times New Roman" w:hAnsi="Times New Roman" w:cs="Times New Roman"/>
          <w:sz w:val="24"/>
          <w:szCs w:val="24"/>
          <w:lang w:val="en-GB"/>
        </w:rPr>
        <w:t xml:space="preserve"> M., Annoni P. (2022). Change and Continuity in Quality of Government: Trends in subnational quality of government in EU member states. </w:t>
      </w:r>
      <w:proofErr w:type="spellStart"/>
      <w:r w:rsidRPr="008017F0">
        <w:rPr>
          <w:rFonts w:ascii="Times New Roman" w:hAnsi="Times New Roman" w:cs="Times New Roman"/>
          <w:i/>
          <w:iCs/>
          <w:sz w:val="24"/>
          <w:szCs w:val="24"/>
          <w:lang w:val="en-GB"/>
        </w:rPr>
        <w:t>Investigaciones</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Regionales</w:t>
      </w:r>
      <w:proofErr w:type="spellEnd"/>
      <w:r w:rsidRPr="008017F0">
        <w:rPr>
          <w:rFonts w:ascii="Times New Roman" w:hAnsi="Times New Roman" w:cs="Times New Roman"/>
          <w:i/>
          <w:iCs/>
          <w:sz w:val="24"/>
          <w:szCs w:val="24"/>
          <w:lang w:val="en-GB"/>
        </w:rPr>
        <w:t>-Journal of Regional Research</w:t>
      </w:r>
      <w:r w:rsidRPr="008017F0">
        <w:rPr>
          <w:rFonts w:ascii="Times New Roman" w:hAnsi="Times New Roman" w:cs="Times New Roman"/>
          <w:sz w:val="24"/>
          <w:szCs w:val="24"/>
          <w:lang w:val="en-GB"/>
        </w:rPr>
        <w:t xml:space="preserve">, 2022(53), 5-23. </w:t>
      </w:r>
    </w:p>
    <w:p w14:paraId="0481BAD8"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Confindustria-</w:t>
      </w:r>
      <w:proofErr w:type="spellStart"/>
      <w:r w:rsidRPr="008017F0">
        <w:rPr>
          <w:rFonts w:ascii="Times New Roman" w:hAnsi="Times New Roman" w:cs="Times New Roman"/>
          <w:sz w:val="24"/>
          <w:szCs w:val="24"/>
          <w:lang w:val="en-GB"/>
        </w:rPr>
        <w:t>Ecoter</w:t>
      </w:r>
      <w:proofErr w:type="spellEnd"/>
      <w:r w:rsidRPr="008017F0">
        <w:rPr>
          <w:rFonts w:ascii="Times New Roman" w:hAnsi="Times New Roman" w:cs="Times New Roman"/>
          <w:sz w:val="24"/>
          <w:szCs w:val="24"/>
          <w:lang w:val="en-GB"/>
        </w:rPr>
        <w:t xml:space="preserve">, (2000a). La </w:t>
      </w:r>
      <w:proofErr w:type="spellStart"/>
      <w:r w:rsidRPr="008017F0">
        <w:rPr>
          <w:rFonts w:ascii="Times New Roman" w:hAnsi="Times New Roman" w:cs="Times New Roman"/>
          <w:sz w:val="24"/>
          <w:szCs w:val="24"/>
          <w:lang w:val="en-GB"/>
        </w:rPr>
        <w:t>dotazione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infrastrutturale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nelle</w:t>
      </w:r>
      <w:proofErr w:type="spellEnd"/>
      <w:r w:rsidRPr="008017F0">
        <w:rPr>
          <w:rFonts w:ascii="Times New Roman" w:hAnsi="Times New Roman" w:cs="Times New Roman"/>
          <w:sz w:val="24"/>
          <w:szCs w:val="24"/>
          <w:lang w:val="en-GB"/>
        </w:rPr>
        <w:t xml:space="preserve"> province </w:t>
      </w:r>
      <w:proofErr w:type="spellStart"/>
      <w:r w:rsidRPr="008017F0">
        <w:rPr>
          <w:rFonts w:ascii="Times New Roman" w:hAnsi="Times New Roman" w:cs="Times New Roman"/>
          <w:sz w:val="24"/>
          <w:szCs w:val="24"/>
          <w:lang w:val="en-GB"/>
        </w:rPr>
        <w:t>italiane</w:t>
      </w:r>
      <w:proofErr w:type="spellEnd"/>
      <w:r w:rsidRPr="008017F0">
        <w:rPr>
          <w:rFonts w:ascii="Times New Roman" w:hAnsi="Times New Roman" w:cs="Times New Roman"/>
          <w:sz w:val="24"/>
          <w:szCs w:val="24"/>
          <w:lang w:val="en-GB"/>
        </w:rPr>
        <w:t xml:space="preserve">, aggiornamento al 1997. </w:t>
      </w:r>
      <w:proofErr w:type="spellStart"/>
      <w:r w:rsidRPr="008017F0">
        <w:rPr>
          <w:rFonts w:ascii="Times New Roman" w:hAnsi="Times New Roman" w:cs="Times New Roman"/>
          <w:i/>
          <w:iCs/>
          <w:sz w:val="24"/>
          <w:szCs w:val="24"/>
          <w:lang w:val="en-GB"/>
        </w:rPr>
        <w:t>Quaderni</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sul</w:t>
      </w:r>
      <w:proofErr w:type="spellEnd"/>
      <w:r w:rsidRPr="008017F0">
        <w:rPr>
          <w:rFonts w:ascii="Times New Roman" w:hAnsi="Times New Roman" w:cs="Times New Roman"/>
          <w:i/>
          <w:iCs/>
          <w:sz w:val="24"/>
          <w:szCs w:val="24"/>
          <w:lang w:val="en-GB"/>
        </w:rPr>
        <w:t xml:space="preserve"> Mezzogiorno e le </w:t>
      </w:r>
      <w:proofErr w:type="spellStart"/>
      <w:r w:rsidRPr="008017F0">
        <w:rPr>
          <w:rFonts w:ascii="Times New Roman" w:hAnsi="Times New Roman" w:cs="Times New Roman"/>
          <w:i/>
          <w:iCs/>
          <w:sz w:val="24"/>
          <w:szCs w:val="24"/>
          <w:lang w:val="en-GB"/>
        </w:rPr>
        <w:t>politiche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territoriali</w:t>
      </w:r>
      <w:proofErr w:type="spellEnd"/>
      <w:r w:rsidRPr="008017F0">
        <w:rPr>
          <w:rFonts w:ascii="Times New Roman" w:hAnsi="Times New Roman" w:cs="Times New Roman"/>
          <w:sz w:val="24"/>
          <w:szCs w:val="24"/>
          <w:lang w:val="en-GB"/>
        </w:rPr>
        <w:t>, 33.</w:t>
      </w:r>
    </w:p>
    <w:p w14:paraId="7FE9AA3C"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Confindustria-</w:t>
      </w:r>
      <w:proofErr w:type="spellStart"/>
      <w:r w:rsidRPr="008017F0">
        <w:rPr>
          <w:rFonts w:ascii="Times New Roman" w:hAnsi="Times New Roman" w:cs="Times New Roman"/>
          <w:sz w:val="24"/>
          <w:szCs w:val="24"/>
          <w:lang w:val="en-GB"/>
        </w:rPr>
        <w:t>Ecoter</w:t>
      </w:r>
      <w:proofErr w:type="spellEnd"/>
      <w:r w:rsidRPr="008017F0">
        <w:rPr>
          <w:rFonts w:ascii="Times New Roman" w:hAnsi="Times New Roman" w:cs="Times New Roman"/>
          <w:sz w:val="24"/>
          <w:szCs w:val="24"/>
          <w:lang w:val="en-GB"/>
        </w:rPr>
        <w:t xml:space="preserve">, (2000b). </w:t>
      </w:r>
      <w:proofErr w:type="spellStart"/>
      <w:r w:rsidRPr="008017F0">
        <w:rPr>
          <w:rFonts w:ascii="Times New Roman" w:hAnsi="Times New Roman" w:cs="Times New Roman"/>
          <w:sz w:val="24"/>
          <w:szCs w:val="24"/>
          <w:lang w:val="en-GB"/>
        </w:rPr>
        <w:t>Analisi</w:t>
      </w:r>
      <w:proofErr w:type="spellEnd"/>
      <w:r w:rsidRPr="008017F0">
        <w:rPr>
          <w:rFonts w:ascii="Times New Roman" w:hAnsi="Times New Roman" w:cs="Times New Roman"/>
          <w:sz w:val="24"/>
          <w:szCs w:val="24"/>
          <w:lang w:val="en-GB"/>
        </w:rPr>
        <w:t xml:space="preserve"> della </w:t>
      </w:r>
      <w:proofErr w:type="spellStart"/>
      <w:r w:rsidRPr="008017F0">
        <w:rPr>
          <w:rFonts w:ascii="Times New Roman" w:hAnsi="Times New Roman" w:cs="Times New Roman"/>
          <w:sz w:val="24"/>
          <w:szCs w:val="24"/>
          <w:lang w:val="en-GB"/>
        </w:rPr>
        <w:t>dotazione</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nei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principali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paesi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europei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i/>
          <w:iCs/>
          <w:sz w:val="24"/>
          <w:szCs w:val="24"/>
          <w:lang w:val="en-GB"/>
        </w:rPr>
        <w:t>Quaderni</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sul</w:t>
      </w:r>
      <w:proofErr w:type="spellEnd"/>
      <w:r w:rsidRPr="008017F0">
        <w:rPr>
          <w:rFonts w:ascii="Times New Roman" w:hAnsi="Times New Roman" w:cs="Times New Roman"/>
          <w:i/>
          <w:iCs/>
          <w:sz w:val="24"/>
          <w:szCs w:val="24"/>
          <w:lang w:val="en-GB"/>
        </w:rPr>
        <w:t xml:space="preserve"> Mezzogiorno e le </w:t>
      </w:r>
      <w:proofErr w:type="spellStart"/>
      <w:r w:rsidRPr="008017F0">
        <w:rPr>
          <w:rFonts w:ascii="Times New Roman" w:hAnsi="Times New Roman" w:cs="Times New Roman"/>
          <w:i/>
          <w:iCs/>
          <w:sz w:val="24"/>
          <w:szCs w:val="24"/>
          <w:lang w:val="en-GB"/>
        </w:rPr>
        <w:t>politiche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territoriali</w:t>
      </w:r>
      <w:proofErr w:type="spellEnd"/>
      <w:r w:rsidRPr="008017F0">
        <w:rPr>
          <w:rFonts w:ascii="Times New Roman" w:hAnsi="Times New Roman" w:cs="Times New Roman"/>
          <w:sz w:val="24"/>
          <w:szCs w:val="24"/>
          <w:lang w:val="en-GB"/>
        </w:rPr>
        <w:t>, 34.</w:t>
      </w:r>
    </w:p>
    <w:p w14:paraId="7CF8AED8"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CPT (2019). </w:t>
      </w:r>
      <w:proofErr w:type="spellStart"/>
      <w:r w:rsidRPr="008017F0">
        <w:rPr>
          <w:rFonts w:ascii="Times New Roman" w:hAnsi="Times New Roman" w:cs="Times New Roman"/>
          <w:sz w:val="24"/>
          <w:szCs w:val="24"/>
          <w:lang w:val="en-GB"/>
        </w:rPr>
        <w:t>Confronto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tra</w:t>
      </w:r>
      <w:proofErr w:type="spellEnd"/>
      <w:r w:rsidRPr="008017F0">
        <w:rPr>
          <w:rFonts w:ascii="Times New Roman" w:hAnsi="Times New Roman" w:cs="Times New Roman"/>
          <w:sz w:val="24"/>
          <w:szCs w:val="24"/>
          <w:lang w:val="en-GB"/>
        </w:rPr>
        <w:t xml:space="preserve"> il </w:t>
      </w:r>
      <w:proofErr w:type="spellStart"/>
      <w:r w:rsidRPr="008017F0">
        <w:rPr>
          <w:rFonts w:ascii="Times New Roman" w:hAnsi="Times New Roman" w:cs="Times New Roman"/>
          <w:sz w:val="24"/>
          <w:szCs w:val="24"/>
          <w:lang w:val="en-GB"/>
        </w:rPr>
        <w:t>sistema</w:t>
      </w:r>
      <w:proofErr w:type="spellEnd"/>
      <w:r w:rsidRPr="008017F0">
        <w:rPr>
          <w:rFonts w:ascii="Times New Roman" w:hAnsi="Times New Roman" w:cs="Times New Roman"/>
          <w:sz w:val="24"/>
          <w:szCs w:val="24"/>
          <w:lang w:val="en-GB"/>
        </w:rPr>
        <w:t xml:space="preserve"> CPT e </w:t>
      </w:r>
      <w:proofErr w:type="spellStart"/>
      <w:r w:rsidRPr="008017F0">
        <w:rPr>
          <w:rFonts w:ascii="Times New Roman" w:hAnsi="Times New Roman" w:cs="Times New Roman"/>
          <w:sz w:val="24"/>
          <w:szCs w:val="24"/>
          <w:lang w:val="en-GB"/>
        </w:rPr>
        <w:t>i</w:t>
      </w:r>
      <w:proofErr w:type="spellEnd"/>
      <w:r w:rsidRPr="008017F0">
        <w:rPr>
          <w:rFonts w:ascii="Times New Roman" w:hAnsi="Times New Roman" w:cs="Times New Roman"/>
          <w:sz w:val="24"/>
          <w:szCs w:val="24"/>
          <w:lang w:val="en-GB"/>
        </w:rPr>
        <w:t xml:space="preserve"> Conti delle </w:t>
      </w:r>
      <w:proofErr w:type="spellStart"/>
      <w:r w:rsidRPr="008017F0">
        <w:rPr>
          <w:rFonts w:ascii="Times New Roman" w:hAnsi="Times New Roman" w:cs="Times New Roman"/>
          <w:sz w:val="24"/>
          <w:szCs w:val="24"/>
          <w:lang w:val="en-GB"/>
        </w:rPr>
        <w:t>Amministrazioni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Pubbliche</w:t>
      </w:r>
      <w:proofErr w:type="spellEnd"/>
      <w:r w:rsidRPr="008017F0">
        <w:rPr>
          <w:rFonts w:ascii="Times New Roman" w:hAnsi="Times New Roman" w:cs="Times New Roman"/>
          <w:sz w:val="24"/>
          <w:szCs w:val="24"/>
          <w:lang w:val="en-GB"/>
        </w:rPr>
        <w:t xml:space="preserve"> Istat. </w:t>
      </w:r>
      <w:r w:rsidRPr="008017F0">
        <w:rPr>
          <w:rFonts w:ascii="Times New Roman" w:hAnsi="Times New Roman" w:cs="Times New Roman"/>
          <w:i/>
          <w:iCs/>
          <w:sz w:val="24"/>
          <w:szCs w:val="24"/>
          <w:lang w:val="en-GB"/>
        </w:rPr>
        <w:t>CPT Informa,</w:t>
      </w:r>
      <w:r w:rsidRPr="008017F0">
        <w:rPr>
          <w:rFonts w:ascii="Times New Roman" w:hAnsi="Times New Roman" w:cs="Times New Roman"/>
          <w:sz w:val="24"/>
          <w:szCs w:val="24"/>
          <w:lang w:val="en-GB"/>
        </w:rPr>
        <w:t xml:space="preserve"> 3. </w:t>
      </w:r>
    </w:p>
    <w:p w14:paraId="750EBCED"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Di Giacinto V., Micucci G., Montanaro P. (2010a). </w:t>
      </w:r>
      <w:proofErr w:type="spellStart"/>
      <w:r w:rsidRPr="008017F0">
        <w:rPr>
          <w:rFonts w:ascii="Times New Roman" w:hAnsi="Times New Roman" w:cs="Times New Roman"/>
          <w:sz w:val="24"/>
          <w:szCs w:val="24"/>
          <w:lang w:val="en-GB"/>
        </w:rPr>
        <w:t>L’impatto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macroeconomico</w:t>
      </w:r>
      <w:proofErr w:type="spellEnd"/>
      <w:r w:rsidRPr="008017F0">
        <w:rPr>
          <w:rFonts w:ascii="Times New Roman" w:hAnsi="Times New Roman" w:cs="Times New Roman"/>
          <w:sz w:val="24"/>
          <w:szCs w:val="24"/>
          <w:lang w:val="en-GB"/>
        </w:rPr>
        <w:t xml:space="preserve"> delle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una</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rassegna</w:t>
      </w:r>
      <w:proofErr w:type="spellEnd"/>
      <w:r w:rsidRPr="008017F0">
        <w:rPr>
          <w:rFonts w:ascii="Times New Roman" w:hAnsi="Times New Roman" w:cs="Times New Roman"/>
          <w:sz w:val="24"/>
          <w:szCs w:val="24"/>
          <w:lang w:val="en-GB"/>
        </w:rPr>
        <w:t xml:space="preserve"> della </w:t>
      </w:r>
      <w:proofErr w:type="spellStart"/>
      <w:r w:rsidRPr="008017F0">
        <w:rPr>
          <w:rFonts w:ascii="Times New Roman" w:hAnsi="Times New Roman" w:cs="Times New Roman"/>
          <w:sz w:val="24"/>
          <w:szCs w:val="24"/>
          <w:lang w:val="en-GB"/>
        </w:rPr>
        <w:t>letteratura</w:t>
      </w:r>
      <w:proofErr w:type="spellEnd"/>
      <w:r w:rsidRPr="008017F0">
        <w:rPr>
          <w:rFonts w:ascii="Times New Roman" w:hAnsi="Times New Roman" w:cs="Times New Roman"/>
          <w:sz w:val="24"/>
          <w:szCs w:val="24"/>
          <w:lang w:val="en-GB"/>
        </w:rPr>
        <w:t xml:space="preserve"> e </w:t>
      </w:r>
      <w:proofErr w:type="spellStart"/>
      <w:r w:rsidRPr="008017F0">
        <w:rPr>
          <w:rFonts w:ascii="Times New Roman" w:hAnsi="Times New Roman" w:cs="Times New Roman"/>
          <w:sz w:val="24"/>
          <w:szCs w:val="24"/>
          <w:lang w:val="en-GB"/>
        </w:rPr>
        <w:t>un’analisi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empirica</w:t>
      </w:r>
      <w:proofErr w:type="spellEnd"/>
      <w:r w:rsidRPr="008017F0">
        <w:rPr>
          <w:rFonts w:ascii="Times New Roman" w:hAnsi="Times New Roman" w:cs="Times New Roman"/>
          <w:sz w:val="24"/>
          <w:szCs w:val="24"/>
          <w:lang w:val="en-GB"/>
        </w:rPr>
        <w:t xml:space="preserve"> per </w:t>
      </w:r>
      <w:proofErr w:type="spellStart"/>
      <w:r w:rsidRPr="008017F0">
        <w:rPr>
          <w:rFonts w:ascii="Times New Roman" w:hAnsi="Times New Roman" w:cs="Times New Roman"/>
          <w:sz w:val="24"/>
          <w:szCs w:val="24"/>
          <w:lang w:val="en-GB"/>
        </w:rPr>
        <w:t>l’Italia</w:t>
      </w:r>
      <w:proofErr w:type="spellEnd"/>
      <w:r w:rsidRPr="008017F0">
        <w:rPr>
          <w:rFonts w:ascii="Times New Roman" w:hAnsi="Times New Roman" w:cs="Times New Roman"/>
          <w:sz w:val="24"/>
          <w:szCs w:val="24"/>
          <w:lang w:val="en-GB"/>
        </w:rPr>
        <w:t xml:space="preserve">, in </w:t>
      </w:r>
      <w:r w:rsidRPr="008017F0">
        <w:rPr>
          <w:rFonts w:ascii="Times New Roman" w:hAnsi="Times New Roman" w:cs="Times New Roman"/>
          <w:i/>
          <w:iCs/>
          <w:sz w:val="24"/>
          <w:szCs w:val="24"/>
          <w:lang w:val="en-GB"/>
        </w:rPr>
        <w:t xml:space="preserve">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in Italia: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programmazione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realizzazione</w:t>
      </w:r>
      <w:proofErr w:type="spellEnd"/>
      <w:r w:rsidRPr="008017F0">
        <w:rPr>
          <w:rFonts w:ascii="Times New Roman" w:hAnsi="Times New Roman" w:cs="Times New Roman"/>
          <w:sz w:val="24"/>
          <w:szCs w:val="24"/>
          <w:lang w:val="en-GB"/>
        </w:rPr>
        <w:t>, Banca d’Italia, Workshop.</w:t>
      </w:r>
    </w:p>
    <w:p w14:paraId="5172CC2E"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Di Giacinto, V., Micucci G., Montanaro P. (2010b). </w:t>
      </w:r>
      <w:proofErr w:type="spellStart"/>
      <w:r w:rsidRPr="008017F0">
        <w:rPr>
          <w:rFonts w:ascii="Times New Roman" w:hAnsi="Times New Roman" w:cs="Times New Roman"/>
          <w:sz w:val="24"/>
          <w:szCs w:val="24"/>
          <w:lang w:val="en-GB"/>
        </w:rPr>
        <w:t>Coordinamento</w:t>
      </w:r>
      <w:proofErr w:type="spellEnd"/>
      <w:r w:rsidRPr="008017F0">
        <w:rPr>
          <w:rFonts w:ascii="Times New Roman" w:hAnsi="Times New Roman" w:cs="Times New Roman"/>
          <w:sz w:val="24"/>
          <w:szCs w:val="24"/>
          <w:lang w:val="en-GB"/>
        </w:rPr>
        <w:t xml:space="preserve"> della </w:t>
      </w:r>
      <w:proofErr w:type="spellStart"/>
      <w:r w:rsidRPr="008017F0">
        <w:rPr>
          <w:rFonts w:ascii="Times New Roman" w:hAnsi="Times New Roman" w:cs="Times New Roman"/>
          <w:sz w:val="24"/>
          <w:szCs w:val="24"/>
          <w:lang w:val="en-GB"/>
        </w:rPr>
        <w:t>spesa</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pubblica</w:t>
      </w:r>
      <w:proofErr w:type="spellEnd"/>
      <w:r w:rsidRPr="008017F0">
        <w:rPr>
          <w:rFonts w:ascii="Times New Roman" w:hAnsi="Times New Roman" w:cs="Times New Roman"/>
          <w:sz w:val="24"/>
          <w:szCs w:val="24"/>
          <w:lang w:val="en-GB"/>
        </w:rPr>
        <w:t xml:space="preserve"> e spillover </w:t>
      </w:r>
      <w:proofErr w:type="spellStart"/>
      <w:r w:rsidRPr="008017F0">
        <w:rPr>
          <w:rFonts w:ascii="Times New Roman" w:hAnsi="Times New Roman" w:cs="Times New Roman"/>
          <w:sz w:val="24"/>
          <w:szCs w:val="24"/>
          <w:lang w:val="en-GB"/>
        </w:rPr>
        <w:t>spaziali</w:t>
      </w:r>
      <w:proofErr w:type="spellEnd"/>
      <w:r w:rsidRPr="008017F0">
        <w:rPr>
          <w:rFonts w:ascii="Times New Roman" w:hAnsi="Times New Roman" w:cs="Times New Roman"/>
          <w:sz w:val="24"/>
          <w:szCs w:val="24"/>
          <w:lang w:val="en-GB"/>
        </w:rPr>
        <w:t xml:space="preserve"> delle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trasporto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evidenze</w:t>
      </w:r>
      <w:proofErr w:type="spellEnd"/>
      <w:r w:rsidRPr="008017F0">
        <w:rPr>
          <w:rFonts w:ascii="Times New Roman" w:hAnsi="Times New Roman" w:cs="Times New Roman"/>
          <w:sz w:val="24"/>
          <w:szCs w:val="24"/>
          <w:lang w:val="en-GB"/>
        </w:rPr>
        <w:t xml:space="preserve"> per </w:t>
      </w:r>
      <w:proofErr w:type="spellStart"/>
      <w:r w:rsidRPr="008017F0">
        <w:rPr>
          <w:rFonts w:ascii="Times New Roman" w:hAnsi="Times New Roman" w:cs="Times New Roman"/>
          <w:sz w:val="24"/>
          <w:szCs w:val="24"/>
          <w:lang w:val="en-GB"/>
        </w:rPr>
        <w:t>l’Italia</w:t>
      </w:r>
      <w:proofErr w:type="spellEnd"/>
      <w:r w:rsidRPr="008017F0">
        <w:rPr>
          <w:rFonts w:ascii="Times New Roman" w:hAnsi="Times New Roman" w:cs="Times New Roman"/>
          <w:sz w:val="24"/>
          <w:szCs w:val="24"/>
          <w:lang w:val="en-GB"/>
        </w:rPr>
        <w:t xml:space="preserve">, in </w:t>
      </w:r>
      <w:r w:rsidRPr="008017F0">
        <w:rPr>
          <w:rFonts w:ascii="Times New Roman" w:hAnsi="Times New Roman" w:cs="Times New Roman"/>
          <w:i/>
          <w:iCs/>
          <w:sz w:val="24"/>
          <w:szCs w:val="24"/>
          <w:lang w:val="en-GB"/>
        </w:rPr>
        <w:t xml:space="preserve">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in Italia: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programmazione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realizzazione</w:t>
      </w:r>
      <w:proofErr w:type="spellEnd"/>
      <w:r w:rsidRPr="008017F0">
        <w:rPr>
          <w:rFonts w:ascii="Times New Roman" w:hAnsi="Times New Roman" w:cs="Times New Roman"/>
          <w:sz w:val="24"/>
          <w:szCs w:val="24"/>
          <w:lang w:val="en-GB"/>
        </w:rPr>
        <w:t>, Banca d’Italia, Workshop.</w:t>
      </w:r>
    </w:p>
    <w:p w14:paraId="3C0FD2C2"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Di Giacinto V., Micucci G., Montanaro P. (2012). Network effects of public transport infrastructure: evidence on Italian regions. </w:t>
      </w:r>
      <w:r w:rsidRPr="008017F0">
        <w:rPr>
          <w:rFonts w:ascii="Times New Roman" w:hAnsi="Times New Roman" w:cs="Times New Roman"/>
          <w:i/>
          <w:iCs/>
          <w:sz w:val="24"/>
          <w:szCs w:val="24"/>
          <w:lang w:val="en-GB"/>
        </w:rPr>
        <w:t xml:space="preserve">Temi di </w:t>
      </w:r>
      <w:proofErr w:type="spellStart"/>
      <w:r w:rsidRPr="008017F0">
        <w:rPr>
          <w:rFonts w:ascii="Times New Roman" w:hAnsi="Times New Roman" w:cs="Times New Roman"/>
          <w:i/>
          <w:iCs/>
          <w:sz w:val="24"/>
          <w:szCs w:val="24"/>
          <w:lang w:val="en-GB"/>
        </w:rPr>
        <w:t>discussione</w:t>
      </w:r>
      <w:proofErr w:type="spellEnd"/>
      <w:r w:rsidRPr="008017F0">
        <w:rPr>
          <w:rFonts w:ascii="Times New Roman" w:hAnsi="Times New Roman" w:cs="Times New Roman"/>
          <w:i/>
          <w:iCs/>
          <w:sz w:val="24"/>
          <w:szCs w:val="24"/>
          <w:lang w:val="en-GB"/>
        </w:rPr>
        <w:t xml:space="preserve"> Working Papers</w:t>
      </w:r>
      <w:r w:rsidRPr="008017F0">
        <w:rPr>
          <w:rFonts w:ascii="Times New Roman" w:hAnsi="Times New Roman" w:cs="Times New Roman"/>
          <w:sz w:val="24"/>
          <w:szCs w:val="24"/>
          <w:lang w:val="en-GB"/>
        </w:rPr>
        <w:t>, n. 869, Bank of Italy.</w:t>
      </w:r>
    </w:p>
    <w:p w14:paraId="46153258"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Di Palma M., Mazziotta C. (2002), La </w:t>
      </w:r>
      <w:proofErr w:type="spellStart"/>
      <w:r w:rsidRPr="008017F0">
        <w:rPr>
          <w:rFonts w:ascii="Times New Roman" w:hAnsi="Times New Roman" w:cs="Times New Roman"/>
          <w:sz w:val="24"/>
          <w:szCs w:val="24"/>
          <w:lang w:val="en-GB"/>
        </w:rPr>
        <w:t>dotazione</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capitale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pubblico</w:t>
      </w:r>
      <w:proofErr w:type="spellEnd"/>
      <w:r w:rsidRPr="008017F0">
        <w:rPr>
          <w:rFonts w:ascii="Times New Roman" w:hAnsi="Times New Roman" w:cs="Times New Roman"/>
          <w:sz w:val="24"/>
          <w:szCs w:val="24"/>
          <w:lang w:val="en-GB"/>
        </w:rPr>
        <w:t xml:space="preserve"> in Europa e in Italia: un </w:t>
      </w:r>
      <w:proofErr w:type="spellStart"/>
      <w:r w:rsidRPr="008017F0">
        <w:rPr>
          <w:rFonts w:ascii="Times New Roman" w:hAnsi="Times New Roman" w:cs="Times New Roman"/>
          <w:sz w:val="24"/>
          <w:szCs w:val="24"/>
          <w:lang w:val="en-GB"/>
        </w:rPr>
        <w:t>quadro</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riscontri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empirici</w:t>
      </w:r>
      <w:proofErr w:type="spellEnd"/>
      <w:r w:rsidRPr="008017F0">
        <w:rPr>
          <w:rFonts w:ascii="Times New Roman" w:hAnsi="Times New Roman" w:cs="Times New Roman"/>
          <w:sz w:val="24"/>
          <w:szCs w:val="24"/>
          <w:lang w:val="en-GB"/>
        </w:rPr>
        <w:t xml:space="preserve">, in </w:t>
      </w:r>
      <w:proofErr w:type="spellStart"/>
      <w:r w:rsidRPr="008017F0">
        <w:rPr>
          <w:rFonts w:ascii="Times New Roman" w:hAnsi="Times New Roman" w:cs="Times New Roman"/>
          <w:i/>
          <w:iCs/>
          <w:sz w:val="24"/>
          <w:szCs w:val="24"/>
          <w:lang w:val="en-GB"/>
        </w:rPr>
        <w:t>L'Italia</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nella</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Competizione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Globale</w:t>
      </w:r>
      <w:proofErr w:type="spellEnd"/>
      <w:r w:rsidRPr="008017F0">
        <w:rPr>
          <w:rFonts w:ascii="Times New Roman" w:hAnsi="Times New Roman" w:cs="Times New Roman"/>
          <w:i/>
          <w:iCs/>
          <w:sz w:val="24"/>
          <w:szCs w:val="24"/>
          <w:lang w:val="en-GB"/>
        </w:rPr>
        <w:t xml:space="preserve"> - </w:t>
      </w:r>
      <w:proofErr w:type="spellStart"/>
      <w:r w:rsidRPr="008017F0">
        <w:rPr>
          <w:rFonts w:ascii="Times New Roman" w:hAnsi="Times New Roman" w:cs="Times New Roman"/>
          <w:i/>
          <w:iCs/>
          <w:sz w:val="24"/>
          <w:szCs w:val="24"/>
          <w:lang w:val="en-GB"/>
        </w:rPr>
        <w:t>Regole</w:t>
      </w:r>
      <w:proofErr w:type="spellEnd"/>
      <w:r w:rsidRPr="008017F0">
        <w:rPr>
          <w:rFonts w:ascii="Times New Roman" w:hAnsi="Times New Roman" w:cs="Times New Roman"/>
          <w:i/>
          <w:iCs/>
          <w:sz w:val="24"/>
          <w:szCs w:val="24"/>
          <w:lang w:val="en-GB"/>
        </w:rPr>
        <w:t xml:space="preserve"> per il Mercato</w:t>
      </w:r>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Baldassarri</w:t>
      </w:r>
      <w:proofErr w:type="spellEnd"/>
      <w:r w:rsidRPr="008017F0">
        <w:rPr>
          <w:rFonts w:ascii="Times New Roman" w:hAnsi="Times New Roman" w:cs="Times New Roman"/>
          <w:sz w:val="24"/>
          <w:szCs w:val="24"/>
          <w:lang w:val="en-GB"/>
        </w:rPr>
        <w:t xml:space="preserve"> M., Galli G., Piga G. (eds), </w:t>
      </w:r>
      <w:proofErr w:type="spellStart"/>
      <w:r w:rsidRPr="008017F0">
        <w:rPr>
          <w:rFonts w:ascii="Times New Roman" w:hAnsi="Times New Roman" w:cs="Times New Roman"/>
          <w:sz w:val="24"/>
          <w:szCs w:val="24"/>
          <w:lang w:val="en-GB"/>
        </w:rPr>
        <w:t>Edizioni</w:t>
      </w:r>
      <w:proofErr w:type="spellEnd"/>
      <w:r w:rsidRPr="008017F0">
        <w:rPr>
          <w:rFonts w:ascii="Times New Roman" w:hAnsi="Times New Roman" w:cs="Times New Roman"/>
          <w:sz w:val="24"/>
          <w:szCs w:val="24"/>
          <w:lang w:val="en-GB"/>
        </w:rPr>
        <w:t xml:space="preserve"> Il Sole 24 Ore. </w:t>
      </w:r>
    </w:p>
    <w:p w14:paraId="4C711344"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Driscoll J. C., Kraay A. C. (1998), Consistent Covariance Matrix Estimation with Spatially Dependent Panel Data, </w:t>
      </w:r>
      <w:r w:rsidRPr="008017F0">
        <w:rPr>
          <w:rFonts w:ascii="Times New Roman" w:hAnsi="Times New Roman" w:cs="Times New Roman"/>
          <w:i/>
          <w:iCs/>
          <w:sz w:val="24"/>
          <w:szCs w:val="24"/>
          <w:lang w:val="en-GB"/>
        </w:rPr>
        <w:t>Review of Economics and Statistics</w:t>
      </w:r>
      <w:r w:rsidRPr="008017F0">
        <w:rPr>
          <w:rFonts w:ascii="Times New Roman" w:hAnsi="Times New Roman" w:cs="Times New Roman"/>
          <w:sz w:val="24"/>
          <w:szCs w:val="24"/>
          <w:lang w:val="en-GB"/>
        </w:rPr>
        <w:t>, 80, 549-560.</w:t>
      </w:r>
    </w:p>
    <w:p w14:paraId="51C4DFF3"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Godfrey L. G. (1988). </w:t>
      </w:r>
      <w:r w:rsidRPr="008017F0">
        <w:rPr>
          <w:rFonts w:ascii="Times New Roman" w:hAnsi="Times New Roman" w:cs="Times New Roman"/>
          <w:i/>
          <w:iCs/>
          <w:sz w:val="24"/>
          <w:szCs w:val="24"/>
          <w:lang w:val="en-GB"/>
        </w:rPr>
        <w:t>Mis-specification tests in econometrics: The Lagrange multiplier principle and other approaches</w:t>
      </w:r>
      <w:r w:rsidRPr="008017F0">
        <w:rPr>
          <w:rFonts w:ascii="Times New Roman" w:hAnsi="Times New Roman" w:cs="Times New Roman"/>
          <w:sz w:val="24"/>
          <w:szCs w:val="24"/>
          <w:lang w:val="en-GB"/>
        </w:rPr>
        <w:t>. Cambridge University Press, Cambridge.</w:t>
      </w:r>
    </w:p>
    <w:p w14:paraId="08D05DF9" w14:textId="77777777" w:rsidR="00CB56CD" w:rsidRPr="008017F0" w:rsidRDefault="00CB56CD" w:rsidP="00CB56CD">
      <w:pPr>
        <w:autoSpaceDE w:val="0"/>
        <w:autoSpaceDN w:val="0"/>
        <w:adjustRightInd w:val="0"/>
        <w:spacing w:after="0" w:line="240" w:lineRule="auto"/>
        <w:ind w:left="567" w:hanging="567"/>
        <w:jc w:val="both"/>
        <w:rPr>
          <w:lang w:val="en-GB"/>
        </w:rPr>
      </w:pPr>
      <w:r w:rsidRPr="008017F0">
        <w:rPr>
          <w:rFonts w:ascii="Times New Roman" w:hAnsi="Times New Roman" w:cs="Times New Roman"/>
          <w:sz w:val="24"/>
          <w:szCs w:val="24"/>
          <w:lang w:val="en-GB"/>
        </w:rPr>
        <w:t xml:space="preserve">Golden M. A., Picci L. (2005). Proposal for a measure of corruption, and tests using Italian data. </w:t>
      </w:r>
      <w:r w:rsidRPr="008017F0">
        <w:rPr>
          <w:rFonts w:ascii="Times New Roman" w:hAnsi="Times New Roman" w:cs="Times New Roman"/>
          <w:i/>
          <w:iCs/>
          <w:sz w:val="24"/>
          <w:szCs w:val="24"/>
          <w:lang w:val="en-GB"/>
        </w:rPr>
        <w:t>Economics &amp; Politics</w:t>
      </w:r>
      <w:r w:rsidRPr="008017F0">
        <w:rPr>
          <w:rFonts w:ascii="Times New Roman" w:hAnsi="Times New Roman" w:cs="Times New Roman"/>
          <w:sz w:val="24"/>
          <w:szCs w:val="24"/>
          <w:lang w:val="en-GB"/>
        </w:rPr>
        <w:t>, 17, 37-75.</w:t>
      </w:r>
    </w:p>
    <w:p w14:paraId="3CB1D420"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Hansen N. M. (1965), The structure and determinants of local public investment expenditures, </w:t>
      </w:r>
      <w:r w:rsidRPr="008017F0">
        <w:rPr>
          <w:rFonts w:ascii="Times New Roman" w:hAnsi="Times New Roman" w:cs="Times New Roman"/>
          <w:i/>
          <w:iCs/>
          <w:sz w:val="24"/>
          <w:szCs w:val="24"/>
          <w:lang w:val="en-GB"/>
        </w:rPr>
        <w:t>Review of economics and statistics</w:t>
      </w:r>
      <w:r w:rsidRPr="008017F0">
        <w:rPr>
          <w:rFonts w:ascii="Times New Roman" w:hAnsi="Times New Roman" w:cs="Times New Roman"/>
          <w:sz w:val="24"/>
          <w:szCs w:val="24"/>
          <w:lang w:val="en-GB"/>
        </w:rPr>
        <w:t>, n. 2, 150-162.</w:t>
      </w:r>
    </w:p>
    <w:p w14:paraId="0D23B216"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Hulten C.R., Wykoff F.C. (1996). Issues in the Measurement of Economic Depreciation: Introductory Remarks. </w:t>
      </w:r>
      <w:r w:rsidRPr="008017F0">
        <w:rPr>
          <w:rFonts w:ascii="Times New Roman" w:hAnsi="Times New Roman" w:cs="Times New Roman"/>
          <w:i/>
          <w:iCs/>
          <w:sz w:val="24"/>
          <w:szCs w:val="24"/>
          <w:lang w:val="en-GB"/>
        </w:rPr>
        <w:t>Economic Inquiry</w:t>
      </w:r>
      <w:r w:rsidRPr="008017F0">
        <w:rPr>
          <w:rFonts w:ascii="Times New Roman" w:hAnsi="Times New Roman" w:cs="Times New Roman"/>
          <w:sz w:val="24"/>
          <w:szCs w:val="24"/>
          <w:lang w:val="en-GB"/>
        </w:rPr>
        <w:t xml:space="preserve"> 34(1): 10–23</w:t>
      </w:r>
    </w:p>
    <w:p w14:paraId="2D739D08"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(1954-1998). </w:t>
      </w:r>
      <w:r w:rsidRPr="008017F0">
        <w:rPr>
          <w:rFonts w:ascii="Times New Roman" w:hAnsi="Times New Roman" w:cs="Times New Roman"/>
          <w:i/>
          <w:iCs/>
          <w:sz w:val="24"/>
          <w:szCs w:val="24"/>
          <w:lang w:val="en-GB"/>
        </w:rPr>
        <w:t xml:space="preserve">Opere </w:t>
      </w:r>
      <w:proofErr w:type="spellStart"/>
      <w:r w:rsidRPr="008017F0">
        <w:rPr>
          <w:rFonts w:ascii="Times New Roman" w:hAnsi="Times New Roman" w:cs="Times New Roman"/>
          <w:i/>
          <w:iCs/>
          <w:sz w:val="24"/>
          <w:szCs w:val="24"/>
          <w:lang w:val="en-GB"/>
        </w:rPr>
        <w:t>Pubbliche</w:t>
      </w:r>
      <w:proofErr w:type="spellEnd"/>
      <w:r w:rsidRPr="008017F0">
        <w:rPr>
          <w:rFonts w:ascii="Times New Roman" w:hAnsi="Times New Roman" w:cs="Times New Roman"/>
          <w:sz w:val="24"/>
          <w:szCs w:val="24"/>
          <w:lang w:val="en-GB"/>
        </w:rPr>
        <w:t xml:space="preserve">, Roma. </w:t>
      </w:r>
    </w:p>
    <w:p w14:paraId="475C07BC"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(1995). </w:t>
      </w:r>
      <w:proofErr w:type="spellStart"/>
      <w:r w:rsidRPr="008017F0">
        <w:rPr>
          <w:rFonts w:ascii="Times New Roman" w:hAnsi="Times New Roman" w:cs="Times New Roman"/>
          <w:i/>
          <w:iCs/>
          <w:sz w:val="24"/>
          <w:szCs w:val="24"/>
          <w:lang w:val="en-GB"/>
        </w:rPr>
        <w:t>Investimenti</w:t>
      </w:r>
      <w:proofErr w:type="spellEnd"/>
      <w:r w:rsidRPr="008017F0">
        <w:rPr>
          <w:rFonts w:ascii="Times New Roman" w:hAnsi="Times New Roman" w:cs="Times New Roman"/>
          <w:i/>
          <w:iCs/>
          <w:sz w:val="24"/>
          <w:szCs w:val="24"/>
          <w:lang w:val="en-GB"/>
        </w:rPr>
        <w:t xml:space="preserve">, stock di </w:t>
      </w:r>
      <w:proofErr w:type="spellStart"/>
      <w:r w:rsidRPr="008017F0">
        <w:rPr>
          <w:rFonts w:ascii="Times New Roman" w:hAnsi="Times New Roman" w:cs="Times New Roman"/>
          <w:i/>
          <w:iCs/>
          <w:sz w:val="24"/>
          <w:szCs w:val="24"/>
          <w:lang w:val="en-GB"/>
        </w:rPr>
        <w:t>capitale</w:t>
      </w:r>
      <w:proofErr w:type="spellEnd"/>
      <w:r w:rsidRPr="008017F0">
        <w:rPr>
          <w:rFonts w:ascii="Times New Roman" w:hAnsi="Times New Roman" w:cs="Times New Roman"/>
          <w:i/>
          <w:iCs/>
          <w:sz w:val="24"/>
          <w:szCs w:val="24"/>
          <w:lang w:val="en-GB"/>
        </w:rPr>
        <w:t xml:space="preserve"> e </w:t>
      </w:r>
      <w:proofErr w:type="spellStart"/>
      <w:r w:rsidRPr="008017F0">
        <w:rPr>
          <w:rFonts w:ascii="Times New Roman" w:hAnsi="Times New Roman" w:cs="Times New Roman"/>
          <w:i/>
          <w:iCs/>
          <w:sz w:val="24"/>
          <w:szCs w:val="24"/>
          <w:lang w:val="en-GB"/>
        </w:rPr>
        <w:t>produttività</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dei</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fattori</w:t>
      </w:r>
      <w:proofErr w:type="spellEnd"/>
      <w:r w:rsidRPr="008017F0">
        <w:rPr>
          <w:rFonts w:ascii="Times New Roman" w:hAnsi="Times New Roman" w:cs="Times New Roman"/>
          <w:sz w:val="24"/>
          <w:szCs w:val="24"/>
          <w:lang w:val="en-GB"/>
        </w:rPr>
        <w:t xml:space="preserve">. Anni 1980-1994. Note e </w:t>
      </w:r>
      <w:proofErr w:type="spellStart"/>
      <w:r w:rsidRPr="008017F0">
        <w:rPr>
          <w:rFonts w:ascii="Times New Roman" w:hAnsi="Times New Roman" w:cs="Times New Roman"/>
          <w:sz w:val="24"/>
          <w:szCs w:val="24"/>
          <w:lang w:val="en-GB"/>
        </w:rPr>
        <w:t>Relazioni</w:t>
      </w:r>
      <w:proofErr w:type="spellEnd"/>
      <w:r w:rsidRPr="008017F0">
        <w:rPr>
          <w:rFonts w:ascii="Times New Roman" w:hAnsi="Times New Roman" w:cs="Times New Roman"/>
          <w:sz w:val="24"/>
          <w:szCs w:val="24"/>
          <w:lang w:val="en-GB"/>
        </w:rPr>
        <w:t>, n. 2. Rome: ISTAT.</w:t>
      </w:r>
    </w:p>
    <w:p w14:paraId="30A18A3E"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(1999a). </w:t>
      </w:r>
      <w:proofErr w:type="spellStart"/>
      <w:r w:rsidRPr="008017F0">
        <w:rPr>
          <w:rFonts w:ascii="Times New Roman" w:hAnsi="Times New Roman" w:cs="Times New Roman"/>
          <w:i/>
          <w:iCs/>
          <w:sz w:val="24"/>
          <w:szCs w:val="24"/>
          <w:lang w:val="en-GB"/>
        </w:rPr>
        <w:t>Contabilità</w:t>
      </w:r>
      <w:proofErr w:type="spellEnd"/>
      <w:r w:rsidRPr="008017F0">
        <w:rPr>
          <w:rFonts w:ascii="Times New Roman" w:hAnsi="Times New Roman" w:cs="Times New Roman"/>
          <w:i/>
          <w:iCs/>
          <w:sz w:val="24"/>
          <w:szCs w:val="24"/>
          <w:lang w:val="en-GB"/>
        </w:rPr>
        <w:t xml:space="preserve"> Nazionale</w:t>
      </w:r>
      <w:r w:rsidRPr="008017F0">
        <w:rPr>
          <w:rFonts w:ascii="Times New Roman" w:hAnsi="Times New Roman" w:cs="Times New Roman"/>
          <w:sz w:val="24"/>
          <w:szCs w:val="24"/>
          <w:lang w:val="en-GB"/>
        </w:rPr>
        <w:t xml:space="preserve">. Tomo 1 - Conti Economici </w:t>
      </w:r>
      <w:proofErr w:type="spellStart"/>
      <w:r w:rsidRPr="008017F0">
        <w:rPr>
          <w:rFonts w:ascii="Times New Roman" w:hAnsi="Times New Roman" w:cs="Times New Roman"/>
          <w:sz w:val="24"/>
          <w:szCs w:val="24"/>
          <w:lang w:val="en-GB"/>
        </w:rPr>
        <w:t>Nazionali</w:t>
      </w:r>
      <w:proofErr w:type="spellEnd"/>
      <w:r w:rsidRPr="008017F0">
        <w:rPr>
          <w:rFonts w:ascii="Times New Roman" w:hAnsi="Times New Roman" w:cs="Times New Roman"/>
          <w:sz w:val="24"/>
          <w:szCs w:val="24"/>
          <w:lang w:val="en-GB"/>
        </w:rPr>
        <w:t xml:space="preserve"> Anni 1970-95, Roma. </w:t>
      </w:r>
    </w:p>
    <w:p w14:paraId="40414949"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(1999b). </w:t>
      </w:r>
      <w:proofErr w:type="spellStart"/>
      <w:r w:rsidRPr="008017F0">
        <w:rPr>
          <w:rFonts w:ascii="Times New Roman" w:hAnsi="Times New Roman" w:cs="Times New Roman"/>
          <w:i/>
          <w:iCs/>
          <w:sz w:val="24"/>
          <w:szCs w:val="24"/>
          <w:lang w:val="en-GB"/>
        </w:rPr>
        <w:t>Contabilità</w:t>
      </w:r>
      <w:proofErr w:type="spellEnd"/>
      <w:r w:rsidRPr="008017F0">
        <w:rPr>
          <w:rFonts w:ascii="Times New Roman" w:hAnsi="Times New Roman" w:cs="Times New Roman"/>
          <w:i/>
          <w:iCs/>
          <w:sz w:val="24"/>
          <w:szCs w:val="24"/>
          <w:lang w:val="en-GB"/>
        </w:rPr>
        <w:t xml:space="preserve"> Nazionale</w:t>
      </w:r>
      <w:r w:rsidRPr="008017F0">
        <w:rPr>
          <w:rFonts w:ascii="Times New Roman" w:hAnsi="Times New Roman" w:cs="Times New Roman"/>
          <w:sz w:val="24"/>
          <w:szCs w:val="24"/>
          <w:lang w:val="en-GB"/>
        </w:rPr>
        <w:t xml:space="preserve">. Tomo 2 - Conti Economici </w:t>
      </w:r>
      <w:proofErr w:type="spellStart"/>
      <w:r w:rsidRPr="008017F0">
        <w:rPr>
          <w:rFonts w:ascii="Times New Roman" w:hAnsi="Times New Roman" w:cs="Times New Roman"/>
          <w:sz w:val="24"/>
          <w:szCs w:val="24"/>
          <w:lang w:val="en-GB"/>
        </w:rPr>
        <w:t>Regionali</w:t>
      </w:r>
      <w:proofErr w:type="spellEnd"/>
      <w:r w:rsidRPr="008017F0">
        <w:rPr>
          <w:rFonts w:ascii="Times New Roman" w:hAnsi="Times New Roman" w:cs="Times New Roman"/>
          <w:sz w:val="24"/>
          <w:szCs w:val="24"/>
          <w:lang w:val="en-GB"/>
        </w:rPr>
        <w:t xml:space="preserve"> Anni 1980-95, Roma. </w:t>
      </w:r>
    </w:p>
    <w:p w14:paraId="23A54A6A"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(2000). </w:t>
      </w:r>
      <w:proofErr w:type="spellStart"/>
      <w:r w:rsidRPr="008017F0">
        <w:rPr>
          <w:rFonts w:ascii="Times New Roman" w:hAnsi="Times New Roman" w:cs="Times New Roman"/>
          <w:i/>
          <w:iCs/>
          <w:sz w:val="24"/>
          <w:szCs w:val="24"/>
          <w:lang w:val="en-GB"/>
        </w:rPr>
        <w:t>Contabilità</w:t>
      </w:r>
      <w:proofErr w:type="spellEnd"/>
      <w:r w:rsidRPr="008017F0">
        <w:rPr>
          <w:rFonts w:ascii="Times New Roman" w:hAnsi="Times New Roman" w:cs="Times New Roman"/>
          <w:i/>
          <w:iCs/>
          <w:sz w:val="24"/>
          <w:szCs w:val="24"/>
          <w:lang w:val="en-GB"/>
        </w:rPr>
        <w:t xml:space="preserve"> Nazionale</w:t>
      </w:r>
      <w:r w:rsidRPr="008017F0">
        <w:rPr>
          <w:rFonts w:ascii="Times New Roman" w:hAnsi="Times New Roman" w:cs="Times New Roman"/>
          <w:sz w:val="24"/>
          <w:szCs w:val="24"/>
          <w:lang w:val="en-GB"/>
        </w:rPr>
        <w:t xml:space="preserve">, Roma. </w:t>
      </w:r>
    </w:p>
    <w:p w14:paraId="172496A2"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(2001). </w:t>
      </w:r>
      <w:proofErr w:type="spellStart"/>
      <w:r w:rsidRPr="008017F0">
        <w:rPr>
          <w:rFonts w:ascii="Times New Roman" w:hAnsi="Times New Roman" w:cs="Times New Roman"/>
          <w:i/>
          <w:iCs/>
          <w:sz w:val="24"/>
          <w:szCs w:val="24"/>
          <w:lang w:val="en-GB"/>
        </w:rPr>
        <w:t>Statistiche</w:t>
      </w:r>
      <w:proofErr w:type="spellEnd"/>
      <w:r w:rsidRPr="008017F0">
        <w:rPr>
          <w:rFonts w:ascii="Times New Roman" w:hAnsi="Times New Roman" w:cs="Times New Roman"/>
          <w:i/>
          <w:iCs/>
          <w:sz w:val="24"/>
          <w:szCs w:val="24"/>
          <w:lang w:val="en-GB"/>
        </w:rPr>
        <w:t xml:space="preserve"> delle opere </w:t>
      </w:r>
      <w:proofErr w:type="spellStart"/>
      <w:r w:rsidRPr="008017F0">
        <w:rPr>
          <w:rFonts w:ascii="Times New Roman" w:hAnsi="Times New Roman" w:cs="Times New Roman"/>
          <w:i/>
          <w:iCs/>
          <w:sz w:val="24"/>
          <w:szCs w:val="24"/>
          <w:lang w:val="en-GB"/>
        </w:rPr>
        <w:t>pubbliche</w:t>
      </w:r>
      <w:proofErr w:type="spellEnd"/>
      <w:r w:rsidRPr="008017F0">
        <w:rPr>
          <w:rFonts w:ascii="Times New Roman" w:hAnsi="Times New Roman" w:cs="Times New Roman"/>
          <w:i/>
          <w:iCs/>
          <w:sz w:val="24"/>
          <w:szCs w:val="24"/>
          <w:lang w:val="en-GB"/>
        </w:rPr>
        <w:t xml:space="preserve"> Anni 1999-2000</w:t>
      </w:r>
      <w:r w:rsidRPr="008017F0">
        <w:rPr>
          <w:rFonts w:ascii="Times New Roman" w:hAnsi="Times New Roman" w:cs="Times New Roman"/>
          <w:sz w:val="24"/>
          <w:szCs w:val="24"/>
          <w:lang w:val="en-GB"/>
        </w:rPr>
        <w:t xml:space="preserve">, Roma. </w:t>
      </w:r>
    </w:p>
    <w:p w14:paraId="71B37B52"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(2006). </w:t>
      </w:r>
      <w:r w:rsidRPr="008017F0">
        <w:rPr>
          <w:rFonts w:ascii="Times New Roman" w:hAnsi="Times New Roman" w:cs="Times New Roman"/>
          <w:i/>
          <w:iCs/>
          <w:sz w:val="24"/>
          <w:szCs w:val="24"/>
          <w:lang w:val="en-GB"/>
        </w:rPr>
        <w:t xml:space="preserve">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in Italia. </w:t>
      </w:r>
      <w:proofErr w:type="spellStart"/>
      <w:r w:rsidRPr="008017F0">
        <w:rPr>
          <w:rFonts w:ascii="Times New Roman" w:hAnsi="Times New Roman" w:cs="Times New Roman"/>
          <w:i/>
          <w:iCs/>
          <w:sz w:val="24"/>
          <w:szCs w:val="24"/>
          <w:lang w:val="en-GB"/>
        </w:rPr>
        <w:t>Un'analisi</w:t>
      </w:r>
      <w:proofErr w:type="spellEnd"/>
      <w:r w:rsidRPr="008017F0">
        <w:rPr>
          <w:rFonts w:ascii="Times New Roman" w:hAnsi="Times New Roman" w:cs="Times New Roman"/>
          <w:i/>
          <w:iCs/>
          <w:sz w:val="24"/>
          <w:szCs w:val="24"/>
          <w:lang w:val="en-GB"/>
        </w:rPr>
        <w:t xml:space="preserve"> della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e della </w:t>
      </w:r>
      <w:proofErr w:type="spellStart"/>
      <w:r w:rsidRPr="008017F0">
        <w:rPr>
          <w:rFonts w:ascii="Times New Roman" w:hAnsi="Times New Roman" w:cs="Times New Roman"/>
          <w:i/>
          <w:iCs/>
          <w:sz w:val="24"/>
          <w:szCs w:val="24"/>
          <w:lang w:val="en-GB"/>
        </w:rPr>
        <w:t>funzionalità</w:t>
      </w:r>
      <w:proofErr w:type="spellEnd"/>
      <w:r w:rsidRPr="008017F0">
        <w:rPr>
          <w:rFonts w:ascii="Times New Roman" w:hAnsi="Times New Roman" w:cs="Times New Roman"/>
          <w:sz w:val="24"/>
          <w:szCs w:val="24"/>
          <w:lang w:val="en-GB"/>
        </w:rPr>
        <w:t>, Roma.</w:t>
      </w:r>
    </w:p>
    <w:p w14:paraId="0D8EFB05"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(2015a). </w:t>
      </w:r>
      <w:r w:rsidRPr="008017F0">
        <w:rPr>
          <w:rFonts w:ascii="Times New Roman" w:hAnsi="Times New Roman" w:cs="Times New Roman"/>
          <w:i/>
          <w:iCs/>
          <w:sz w:val="24"/>
          <w:szCs w:val="24"/>
          <w:lang w:val="en-GB"/>
        </w:rPr>
        <w:t xml:space="preserve">Atlante </w:t>
      </w:r>
      <w:proofErr w:type="spellStart"/>
      <w:r w:rsidRPr="008017F0">
        <w:rPr>
          <w:rFonts w:ascii="Times New Roman" w:hAnsi="Times New Roman" w:cs="Times New Roman"/>
          <w:i/>
          <w:iCs/>
          <w:sz w:val="24"/>
          <w:szCs w:val="24"/>
          <w:lang w:val="en-GB"/>
        </w:rPr>
        <w:t>statistico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territoriale</w:t>
      </w:r>
      <w:proofErr w:type="spellEnd"/>
      <w:r w:rsidRPr="008017F0">
        <w:rPr>
          <w:rFonts w:ascii="Times New Roman" w:hAnsi="Times New Roman" w:cs="Times New Roman"/>
          <w:i/>
          <w:iCs/>
          <w:sz w:val="24"/>
          <w:szCs w:val="24"/>
          <w:lang w:val="en-GB"/>
        </w:rPr>
        <w:t xml:space="preserve"> delle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sz w:val="24"/>
          <w:szCs w:val="24"/>
          <w:lang w:val="en-GB"/>
        </w:rPr>
        <w:t>.</w:t>
      </w:r>
    </w:p>
    <w:p w14:paraId="4140969B"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ISTAT, (2015b). </w:t>
      </w:r>
      <w:r w:rsidRPr="008017F0">
        <w:rPr>
          <w:rFonts w:ascii="Times New Roman" w:hAnsi="Times New Roman" w:cs="Times New Roman"/>
          <w:i/>
          <w:iCs/>
          <w:sz w:val="24"/>
          <w:szCs w:val="24"/>
          <w:lang w:val="en-GB"/>
        </w:rPr>
        <w:t xml:space="preserve">Nota </w:t>
      </w:r>
      <w:proofErr w:type="spellStart"/>
      <w:r w:rsidRPr="008017F0">
        <w:rPr>
          <w:rFonts w:ascii="Times New Roman" w:hAnsi="Times New Roman" w:cs="Times New Roman"/>
          <w:i/>
          <w:iCs/>
          <w:sz w:val="24"/>
          <w:szCs w:val="24"/>
          <w:lang w:val="en-GB"/>
        </w:rPr>
        <w:t>metodologica</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luglio</w:t>
      </w:r>
      <w:proofErr w:type="spellEnd"/>
      <w:r w:rsidRPr="008017F0">
        <w:rPr>
          <w:rFonts w:ascii="Times New Roman" w:hAnsi="Times New Roman" w:cs="Times New Roman"/>
          <w:sz w:val="24"/>
          <w:szCs w:val="24"/>
          <w:lang w:val="en-GB"/>
        </w:rPr>
        <w:t xml:space="preserve"> 2015.</w:t>
      </w:r>
    </w:p>
    <w:p w14:paraId="65DE7D17"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Istituto Guglielmo </w:t>
      </w:r>
      <w:proofErr w:type="spellStart"/>
      <w:r w:rsidRPr="008017F0">
        <w:rPr>
          <w:rFonts w:ascii="Times New Roman" w:hAnsi="Times New Roman" w:cs="Times New Roman"/>
          <w:sz w:val="24"/>
          <w:szCs w:val="24"/>
          <w:lang w:val="en-GB"/>
        </w:rPr>
        <w:t>Tagliacarne</w:t>
      </w:r>
      <w:proofErr w:type="spellEnd"/>
      <w:r w:rsidRPr="008017F0">
        <w:rPr>
          <w:rFonts w:ascii="Times New Roman" w:hAnsi="Times New Roman" w:cs="Times New Roman"/>
          <w:sz w:val="24"/>
          <w:szCs w:val="24"/>
          <w:lang w:val="en-GB"/>
        </w:rPr>
        <w:t xml:space="preserve">, (1995). </w:t>
      </w:r>
      <w:r w:rsidRPr="008017F0">
        <w:rPr>
          <w:rFonts w:ascii="Times New Roman" w:hAnsi="Times New Roman" w:cs="Times New Roman"/>
          <w:i/>
          <w:iCs/>
          <w:sz w:val="24"/>
          <w:szCs w:val="24"/>
          <w:lang w:val="en-GB"/>
        </w:rPr>
        <w:t xml:space="preserve">La </w:t>
      </w:r>
      <w:proofErr w:type="spellStart"/>
      <w:r w:rsidRPr="008017F0">
        <w:rPr>
          <w:rFonts w:ascii="Times New Roman" w:hAnsi="Times New Roman" w:cs="Times New Roman"/>
          <w:i/>
          <w:iCs/>
          <w:sz w:val="24"/>
          <w:szCs w:val="24"/>
          <w:lang w:val="en-GB"/>
        </w:rPr>
        <w:t>dimensione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dello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sviluppo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infrastrutturale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nelle</w:t>
      </w:r>
      <w:proofErr w:type="spellEnd"/>
      <w:r w:rsidRPr="008017F0">
        <w:rPr>
          <w:rFonts w:ascii="Times New Roman" w:hAnsi="Times New Roman" w:cs="Times New Roman"/>
          <w:i/>
          <w:iCs/>
          <w:sz w:val="24"/>
          <w:szCs w:val="24"/>
          <w:lang w:val="en-GB"/>
        </w:rPr>
        <w:t xml:space="preserve"> province </w:t>
      </w:r>
      <w:proofErr w:type="spellStart"/>
      <w:r w:rsidRPr="008017F0">
        <w:rPr>
          <w:rFonts w:ascii="Times New Roman" w:hAnsi="Times New Roman" w:cs="Times New Roman"/>
          <w:i/>
          <w:iCs/>
          <w:sz w:val="24"/>
          <w:szCs w:val="24"/>
          <w:lang w:val="en-GB"/>
        </w:rPr>
        <w:t>italiane</w:t>
      </w:r>
      <w:proofErr w:type="spellEnd"/>
      <w:r w:rsidRPr="008017F0">
        <w:rPr>
          <w:rFonts w:ascii="Times New Roman" w:hAnsi="Times New Roman" w:cs="Times New Roman"/>
          <w:i/>
          <w:iCs/>
          <w:sz w:val="24"/>
          <w:szCs w:val="24"/>
          <w:lang w:val="en-GB"/>
        </w:rPr>
        <w:t xml:space="preserve">, Reti &amp; </w:t>
      </w:r>
      <w:proofErr w:type="spellStart"/>
      <w:r w:rsidRPr="008017F0">
        <w:rPr>
          <w:rFonts w:ascii="Times New Roman" w:hAnsi="Times New Roman" w:cs="Times New Roman"/>
          <w:i/>
          <w:iCs/>
          <w:sz w:val="24"/>
          <w:szCs w:val="24"/>
          <w:lang w:val="en-GB"/>
        </w:rPr>
        <w:t>Territorio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Ferrovie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dello</w:t>
      </w:r>
      <w:proofErr w:type="spellEnd"/>
      <w:r w:rsidRPr="008017F0">
        <w:rPr>
          <w:rFonts w:ascii="Times New Roman" w:hAnsi="Times New Roman" w:cs="Times New Roman"/>
          <w:i/>
          <w:iCs/>
          <w:sz w:val="24"/>
          <w:szCs w:val="24"/>
          <w:lang w:val="en-GB"/>
        </w:rPr>
        <w:t xml:space="preserve"> Stato S.p.A.</w:t>
      </w:r>
      <w:r w:rsidRPr="008017F0">
        <w:rPr>
          <w:rFonts w:ascii="Times New Roman" w:hAnsi="Times New Roman" w:cs="Times New Roman"/>
          <w:sz w:val="24"/>
          <w:szCs w:val="24"/>
          <w:lang w:val="en-GB"/>
        </w:rPr>
        <w:t xml:space="preserve"> </w:t>
      </w:r>
    </w:p>
    <w:p w14:paraId="2371D1D2"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Istituto Guglielmo </w:t>
      </w:r>
      <w:proofErr w:type="spellStart"/>
      <w:r w:rsidRPr="008017F0">
        <w:rPr>
          <w:rFonts w:ascii="Times New Roman" w:hAnsi="Times New Roman" w:cs="Times New Roman"/>
          <w:sz w:val="24"/>
          <w:szCs w:val="24"/>
          <w:lang w:val="en-GB"/>
        </w:rPr>
        <w:t>Tagliacarne</w:t>
      </w:r>
      <w:proofErr w:type="spellEnd"/>
      <w:r w:rsidRPr="008017F0">
        <w:rPr>
          <w:rFonts w:ascii="Times New Roman" w:hAnsi="Times New Roman" w:cs="Times New Roman"/>
          <w:sz w:val="24"/>
          <w:szCs w:val="24"/>
          <w:lang w:val="en-GB"/>
        </w:rPr>
        <w:t xml:space="preserve">, (1998). </w:t>
      </w:r>
      <w:r w:rsidRPr="008017F0">
        <w:rPr>
          <w:rFonts w:ascii="Times New Roman" w:hAnsi="Times New Roman" w:cs="Times New Roman"/>
          <w:i/>
          <w:iCs/>
          <w:sz w:val="24"/>
          <w:szCs w:val="24"/>
          <w:lang w:val="en-GB"/>
        </w:rPr>
        <w:t xml:space="preserve">La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delle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per lo </w:t>
      </w:r>
      <w:proofErr w:type="spellStart"/>
      <w:r w:rsidRPr="008017F0">
        <w:rPr>
          <w:rFonts w:ascii="Times New Roman" w:hAnsi="Times New Roman" w:cs="Times New Roman"/>
          <w:i/>
          <w:iCs/>
          <w:sz w:val="24"/>
          <w:szCs w:val="24"/>
          <w:lang w:val="en-GB"/>
        </w:rPr>
        <w:t>sviluppo</w:t>
      </w:r>
      <w:proofErr w:type="spellEnd"/>
      <w:r w:rsidRPr="008017F0">
        <w:rPr>
          <w:rFonts w:ascii="Times New Roman" w:hAnsi="Times New Roman" w:cs="Times New Roman"/>
          <w:i/>
          <w:iCs/>
          <w:sz w:val="24"/>
          <w:szCs w:val="24"/>
          <w:lang w:val="en-GB"/>
        </w:rPr>
        <w:t xml:space="preserve"> delle </w:t>
      </w:r>
      <w:proofErr w:type="spellStart"/>
      <w:r w:rsidRPr="008017F0">
        <w:rPr>
          <w:rFonts w:ascii="Times New Roman" w:hAnsi="Times New Roman" w:cs="Times New Roman"/>
          <w:i/>
          <w:iCs/>
          <w:sz w:val="24"/>
          <w:szCs w:val="24"/>
          <w:lang w:val="en-GB"/>
        </w:rPr>
        <w:t>imprese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nelle</w:t>
      </w:r>
      <w:proofErr w:type="spellEnd"/>
      <w:r w:rsidRPr="008017F0">
        <w:rPr>
          <w:rFonts w:ascii="Times New Roman" w:hAnsi="Times New Roman" w:cs="Times New Roman"/>
          <w:i/>
          <w:iCs/>
          <w:sz w:val="24"/>
          <w:szCs w:val="24"/>
          <w:lang w:val="en-GB"/>
        </w:rPr>
        <w:t xml:space="preserve"> 103 province</w:t>
      </w:r>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Unioncamere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maggio</w:t>
      </w:r>
      <w:proofErr w:type="spellEnd"/>
      <w:r w:rsidRPr="008017F0">
        <w:rPr>
          <w:rFonts w:ascii="Times New Roman" w:hAnsi="Times New Roman" w:cs="Times New Roman"/>
          <w:sz w:val="24"/>
          <w:szCs w:val="24"/>
          <w:lang w:val="en-GB"/>
        </w:rPr>
        <w:t>.</w:t>
      </w:r>
    </w:p>
    <w:p w14:paraId="608B1F6F"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Istituto Guglielmo </w:t>
      </w:r>
      <w:proofErr w:type="spellStart"/>
      <w:r w:rsidRPr="008017F0">
        <w:rPr>
          <w:rFonts w:ascii="Times New Roman" w:hAnsi="Times New Roman" w:cs="Times New Roman"/>
          <w:sz w:val="24"/>
          <w:szCs w:val="24"/>
          <w:lang w:val="en-GB"/>
        </w:rPr>
        <w:t>Tagliacarne</w:t>
      </w:r>
      <w:proofErr w:type="spellEnd"/>
      <w:r w:rsidRPr="008017F0">
        <w:rPr>
          <w:rFonts w:ascii="Times New Roman" w:hAnsi="Times New Roman" w:cs="Times New Roman"/>
          <w:sz w:val="24"/>
          <w:szCs w:val="24"/>
          <w:lang w:val="en-GB"/>
        </w:rPr>
        <w:t xml:space="preserve">, (2001). </w:t>
      </w:r>
      <w:r w:rsidRPr="008017F0">
        <w:rPr>
          <w:rFonts w:ascii="Times New Roman" w:hAnsi="Times New Roman" w:cs="Times New Roman"/>
          <w:i/>
          <w:iCs/>
          <w:sz w:val="24"/>
          <w:szCs w:val="24"/>
          <w:lang w:val="en-GB"/>
        </w:rPr>
        <w:t xml:space="preserve">La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di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nelle</w:t>
      </w:r>
      <w:proofErr w:type="spellEnd"/>
      <w:r w:rsidRPr="008017F0">
        <w:rPr>
          <w:rFonts w:ascii="Times New Roman" w:hAnsi="Times New Roman" w:cs="Times New Roman"/>
          <w:i/>
          <w:iCs/>
          <w:sz w:val="24"/>
          <w:szCs w:val="24"/>
          <w:lang w:val="en-GB"/>
        </w:rPr>
        <w:t xml:space="preserve"> province </w:t>
      </w:r>
      <w:proofErr w:type="spellStart"/>
      <w:r w:rsidRPr="008017F0">
        <w:rPr>
          <w:rFonts w:ascii="Times New Roman" w:hAnsi="Times New Roman" w:cs="Times New Roman"/>
          <w:i/>
          <w:iCs/>
          <w:sz w:val="24"/>
          <w:szCs w:val="24"/>
          <w:lang w:val="en-GB"/>
        </w:rPr>
        <w:t>italiane</w:t>
      </w:r>
      <w:proofErr w:type="spellEnd"/>
      <w:r w:rsidRPr="008017F0">
        <w:rPr>
          <w:rFonts w:ascii="Times New Roman" w:hAnsi="Times New Roman" w:cs="Times New Roman"/>
          <w:i/>
          <w:iCs/>
          <w:sz w:val="24"/>
          <w:szCs w:val="24"/>
          <w:lang w:val="en-GB"/>
        </w:rPr>
        <w:t xml:space="preserve"> 1997-2000</w:t>
      </w:r>
      <w:r w:rsidRPr="008017F0">
        <w:rPr>
          <w:rFonts w:ascii="Times New Roman" w:hAnsi="Times New Roman" w:cs="Times New Roman"/>
          <w:sz w:val="24"/>
          <w:szCs w:val="24"/>
          <w:lang w:val="en-GB"/>
        </w:rPr>
        <w:t>, Roma.</w:t>
      </w:r>
    </w:p>
    <w:p w14:paraId="5441BD5D"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Istituto Guglielmo </w:t>
      </w:r>
      <w:proofErr w:type="spellStart"/>
      <w:r w:rsidRPr="008017F0">
        <w:rPr>
          <w:rFonts w:ascii="Times New Roman" w:hAnsi="Times New Roman" w:cs="Times New Roman"/>
          <w:sz w:val="24"/>
          <w:szCs w:val="24"/>
          <w:lang w:val="en-GB"/>
        </w:rPr>
        <w:t>Tagliacarne</w:t>
      </w:r>
      <w:proofErr w:type="spellEnd"/>
      <w:r w:rsidRPr="008017F0">
        <w:rPr>
          <w:rFonts w:ascii="Times New Roman" w:hAnsi="Times New Roman" w:cs="Times New Roman"/>
          <w:sz w:val="24"/>
          <w:szCs w:val="24"/>
          <w:lang w:val="en-GB"/>
        </w:rPr>
        <w:t xml:space="preserve">, (2002). </w:t>
      </w:r>
      <w:r w:rsidRPr="008017F0">
        <w:rPr>
          <w:rFonts w:ascii="Times New Roman" w:hAnsi="Times New Roman" w:cs="Times New Roman"/>
          <w:i/>
          <w:iCs/>
          <w:sz w:val="24"/>
          <w:szCs w:val="24"/>
          <w:lang w:val="en-GB"/>
        </w:rPr>
        <w:t xml:space="preserve">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nelle</w:t>
      </w:r>
      <w:proofErr w:type="spellEnd"/>
      <w:r w:rsidRPr="008017F0">
        <w:rPr>
          <w:rFonts w:ascii="Times New Roman" w:hAnsi="Times New Roman" w:cs="Times New Roman"/>
          <w:i/>
          <w:iCs/>
          <w:sz w:val="24"/>
          <w:szCs w:val="24"/>
          <w:lang w:val="en-GB"/>
        </w:rPr>
        <w:t xml:space="preserve"> province </w:t>
      </w:r>
      <w:proofErr w:type="spellStart"/>
      <w:r w:rsidRPr="008017F0">
        <w:rPr>
          <w:rFonts w:ascii="Times New Roman" w:hAnsi="Times New Roman" w:cs="Times New Roman"/>
          <w:i/>
          <w:iCs/>
          <w:sz w:val="24"/>
          <w:szCs w:val="24"/>
          <w:lang w:val="en-GB"/>
        </w:rPr>
        <w:t>italiane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tra</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l’inizio</w:t>
      </w:r>
      <w:proofErr w:type="spellEnd"/>
      <w:r w:rsidRPr="008017F0">
        <w:rPr>
          <w:rFonts w:ascii="Times New Roman" w:hAnsi="Times New Roman" w:cs="Times New Roman"/>
          <w:i/>
          <w:iCs/>
          <w:sz w:val="24"/>
          <w:szCs w:val="24"/>
          <w:lang w:val="en-GB"/>
        </w:rPr>
        <w:t xml:space="preserve"> e la fine degli anni ’90: un </w:t>
      </w:r>
      <w:proofErr w:type="spellStart"/>
      <w:r w:rsidRPr="008017F0">
        <w:rPr>
          <w:rFonts w:ascii="Times New Roman" w:hAnsi="Times New Roman" w:cs="Times New Roman"/>
          <w:i/>
          <w:iCs/>
          <w:sz w:val="24"/>
          <w:szCs w:val="24"/>
          <w:lang w:val="en-GB"/>
        </w:rPr>
        <w:t>confronto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temporale</w:t>
      </w:r>
      <w:proofErr w:type="spellEnd"/>
      <w:r w:rsidRPr="008017F0">
        <w:rPr>
          <w:rFonts w:ascii="Times New Roman" w:hAnsi="Times New Roman" w:cs="Times New Roman"/>
          <w:sz w:val="24"/>
          <w:szCs w:val="24"/>
          <w:lang w:val="en-GB"/>
        </w:rPr>
        <w:t>, Roma.</w:t>
      </w:r>
    </w:p>
    <w:p w14:paraId="790A8308"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Istituto Guglielmo </w:t>
      </w:r>
      <w:proofErr w:type="spellStart"/>
      <w:r w:rsidRPr="008017F0">
        <w:rPr>
          <w:rFonts w:ascii="Times New Roman" w:hAnsi="Times New Roman" w:cs="Times New Roman"/>
          <w:sz w:val="24"/>
          <w:szCs w:val="24"/>
          <w:lang w:val="en-GB"/>
        </w:rPr>
        <w:t>Tagliacarne</w:t>
      </w:r>
      <w:proofErr w:type="spellEnd"/>
      <w:r w:rsidRPr="008017F0">
        <w:rPr>
          <w:rFonts w:ascii="Times New Roman" w:hAnsi="Times New Roman" w:cs="Times New Roman"/>
          <w:sz w:val="24"/>
          <w:szCs w:val="24"/>
          <w:lang w:val="en-GB"/>
        </w:rPr>
        <w:t xml:space="preserve">, (2006). </w:t>
      </w:r>
      <w:r w:rsidRPr="008017F0">
        <w:rPr>
          <w:rFonts w:ascii="Times New Roman" w:hAnsi="Times New Roman" w:cs="Times New Roman"/>
          <w:i/>
          <w:iCs/>
          <w:sz w:val="24"/>
          <w:szCs w:val="24"/>
          <w:lang w:val="en-GB"/>
        </w:rPr>
        <w:t xml:space="preserve">La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di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nelle</w:t>
      </w:r>
      <w:proofErr w:type="spellEnd"/>
      <w:r w:rsidRPr="008017F0">
        <w:rPr>
          <w:rFonts w:ascii="Times New Roman" w:hAnsi="Times New Roman" w:cs="Times New Roman"/>
          <w:i/>
          <w:iCs/>
          <w:sz w:val="24"/>
          <w:szCs w:val="24"/>
          <w:lang w:val="en-GB"/>
        </w:rPr>
        <w:t xml:space="preserve"> province </w:t>
      </w:r>
      <w:proofErr w:type="spellStart"/>
      <w:r w:rsidRPr="008017F0">
        <w:rPr>
          <w:rFonts w:ascii="Times New Roman" w:hAnsi="Times New Roman" w:cs="Times New Roman"/>
          <w:i/>
          <w:iCs/>
          <w:sz w:val="24"/>
          <w:szCs w:val="24"/>
          <w:lang w:val="en-GB"/>
        </w:rPr>
        <w:t>italiane</w:t>
      </w:r>
      <w:proofErr w:type="spellEnd"/>
      <w:r w:rsidRPr="008017F0">
        <w:rPr>
          <w:rFonts w:ascii="Times New Roman" w:hAnsi="Times New Roman" w:cs="Times New Roman"/>
          <w:sz w:val="24"/>
          <w:szCs w:val="24"/>
          <w:lang w:val="en-GB"/>
        </w:rPr>
        <w:t>, Roma.</w:t>
      </w:r>
    </w:p>
    <w:p w14:paraId="2351B97A"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lastRenderedPageBreak/>
        <w:t xml:space="preserve">Jochimsen R. (1966), </w:t>
      </w:r>
      <w:proofErr w:type="spellStart"/>
      <w:r w:rsidRPr="008017F0">
        <w:rPr>
          <w:rFonts w:ascii="Times New Roman" w:hAnsi="Times New Roman" w:cs="Times New Roman"/>
          <w:i/>
          <w:iCs/>
          <w:sz w:val="24"/>
          <w:szCs w:val="24"/>
          <w:lang w:val="en-GB"/>
        </w:rPr>
        <w:t>Theorie</w:t>
      </w:r>
      <w:proofErr w:type="spellEnd"/>
      <w:r w:rsidRPr="008017F0">
        <w:rPr>
          <w:rFonts w:ascii="Times New Roman" w:hAnsi="Times New Roman" w:cs="Times New Roman"/>
          <w:i/>
          <w:iCs/>
          <w:sz w:val="24"/>
          <w:szCs w:val="24"/>
          <w:lang w:val="en-GB"/>
        </w:rPr>
        <w:t xml:space="preserve"> der </w:t>
      </w:r>
      <w:proofErr w:type="spellStart"/>
      <w:r w:rsidRPr="008017F0">
        <w:rPr>
          <w:rFonts w:ascii="Times New Roman" w:hAnsi="Times New Roman" w:cs="Times New Roman"/>
          <w:i/>
          <w:iCs/>
          <w:sz w:val="24"/>
          <w:szCs w:val="24"/>
          <w:lang w:val="en-GB"/>
        </w:rPr>
        <w:t>Infrastruktur</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Grundlagen</w:t>
      </w:r>
      <w:proofErr w:type="spellEnd"/>
      <w:r w:rsidRPr="008017F0">
        <w:rPr>
          <w:rFonts w:ascii="Times New Roman" w:hAnsi="Times New Roman" w:cs="Times New Roman"/>
          <w:i/>
          <w:iCs/>
          <w:sz w:val="24"/>
          <w:szCs w:val="24"/>
          <w:lang w:val="en-GB"/>
        </w:rPr>
        <w:t xml:space="preserve"> der </w:t>
      </w:r>
      <w:proofErr w:type="spellStart"/>
      <w:r w:rsidRPr="008017F0">
        <w:rPr>
          <w:rFonts w:ascii="Times New Roman" w:hAnsi="Times New Roman" w:cs="Times New Roman"/>
          <w:i/>
          <w:iCs/>
          <w:sz w:val="24"/>
          <w:szCs w:val="24"/>
          <w:lang w:val="en-GB"/>
        </w:rPr>
        <w:t>marktwirtschaftlichen</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Entwicklung</w:t>
      </w:r>
      <w:proofErr w:type="spellEnd"/>
      <w:r w:rsidRPr="008017F0">
        <w:rPr>
          <w:rFonts w:ascii="Times New Roman" w:hAnsi="Times New Roman" w:cs="Times New Roman"/>
          <w:sz w:val="24"/>
          <w:szCs w:val="24"/>
          <w:lang w:val="en-GB"/>
        </w:rPr>
        <w:t>, (eds), Tübingen, J.C.B. Mohr.</w:t>
      </w:r>
    </w:p>
    <w:p w14:paraId="114542A2" w14:textId="77777777" w:rsidR="00CB56CD" w:rsidRPr="008017F0" w:rsidRDefault="00CB56CD" w:rsidP="00CB56CD">
      <w:pPr>
        <w:autoSpaceDE w:val="0"/>
        <w:autoSpaceDN w:val="0"/>
        <w:adjustRightInd w:val="0"/>
        <w:spacing w:after="0" w:line="240" w:lineRule="auto"/>
        <w:ind w:left="567" w:hanging="567"/>
        <w:jc w:val="both"/>
        <w:rPr>
          <w:rFonts w:ascii="Times New Roman" w:eastAsia="Times New Roman" w:hAnsi="Times New Roman" w:cs="Times New Roman"/>
          <w:sz w:val="24"/>
          <w:szCs w:val="24"/>
          <w:lang w:val="en-GB" w:eastAsia="it-IT"/>
        </w:rPr>
      </w:pPr>
      <w:r w:rsidRPr="008017F0">
        <w:rPr>
          <w:rFonts w:ascii="Times New Roman" w:hAnsi="Times New Roman" w:cs="Times New Roman"/>
          <w:sz w:val="24"/>
          <w:szCs w:val="24"/>
          <w:lang w:val="en-GB"/>
        </w:rPr>
        <w:t xml:space="preserve">Mazziotta C. (1998). </w:t>
      </w:r>
      <w:proofErr w:type="spellStart"/>
      <w:r w:rsidRPr="008017F0">
        <w:rPr>
          <w:rFonts w:ascii="Times New Roman" w:hAnsi="Times New Roman" w:cs="Times New Roman"/>
          <w:sz w:val="24"/>
          <w:szCs w:val="24"/>
          <w:lang w:val="en-GB"/>
        </w:rPr>
        <w:t>Definizione</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aree</w:t>
      </w:r>
      <w:proofErr w:type="spellEnd"/>
      <w:r w:rsidRPr="008017F0">
        <w:rPr>
          <w:rFonts w:ascii="Times New Roman" w:hAnsi="Times New Roman" w:cs="Times New Roman"/>
          <w:sz w:val="24"/>
          <w:szCs w:val="24"/>
          <w:lang w:val="en-GB"/>
        </w:rPr>
        <w:t xml:space="preserve"> e di </w:t>
      </w:r>
      <w:proofErr w:type="spellStart"/>
      <w:r w:rsidRPr="008017F0">
        <w:rPr>
          <w:rFonts w:ascii="Times New Roman" w:hAnsi="Times New Roman" w:cs="Times New Roman"/>
          <w:sz w:val="24"/>
          <w:szCs w:val="24"/>
          <w:lang w:val="en-GB"/>
        </w:rPr>
        <w:t>indicatori</w:t>
      </w:r>
      <w:proofErr w:type="spellEnd"/>
      <w:r w:rsidRPr="008017F0">
        <w:rPr>
          <w:rFonts w:ascii="Times New Roman" w:hAnsi="Times New Roman" w:cs="Times New Roman"/>
          <w:sz w:val="24"/>
          <w:szCs w:val="24"/>
          <w:lang w:val="en-GB"/>
        </w:rPr>
        <w:t xml:space="preserve"> per la </w:t>
      </w:r>
      <w:proofErr w:type="spellStart"/>
      <w:r w:rsidRPr="008017F0">
        <w:rPr>
          <w:rFonts w:ascii="Times New Roman" w:hAnsi="Times New Roman" w:cs="Times New Roman"/>
          <w:sz w:val="24"/>
          <w:szCs w:val="24"/>
          <w:lang w:val="en-GB"/>
        </w:rPr>
        <w:t>misurazione</w:t>
      </w:r>
      <w:proofErr w:type="spellEnd"/>
      <w:r w:rsidRPr="008017F0">
        <w:rPr>
          <w:rFonts w:ascii="Times New Roman" w:hAnsi="Times New Roman" w:cs="Times New Roman"/>
          <w:sz w:val="24"/>
          <w:szCs w:val="24"/>
          <w:lang w:val="en-GB"/>
        </w:rPr>
        <w:t xml:space="preserve"> della </w:t>
      </w:r>
      <w:proofErr w:type="spellStart"/>
      <w:r w:rsidRPr="008017F0">
        <w:rPr>
          <w:rFonts w:ascii="Times New Roman" w:hAnsi="Times New Roman" w:cs="Times New Roman"/>
          <w:sz w:val="24"/>
          <w:szCs w:val="24"/>
          <w:lang w:val="en-GB"/>
        </w:rPr>
        <w:t>dotazione</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Parte</w:t>
      </w:r>
      <w:proofErr w:type="spellEnd"/>
      <w:r w:rsidRPr="008017F0">
        <w:rPr>
          <w:rFonts w:ascii="Times New Roman" w:hAnsi="Times New Roman" w:cs="Times New Roman"/>
          <w:sz w:val="24"/>
          <w:szCs w:val="24"/>
          <w:lang w:val="en-GB"/>
        </w:rPr>
        <w:t xml:space="preserve"> II — La </w:t>
      </w:r>
      <w:proofErr w:type="spellStart"/>
      <w:r w:rsidRPr="008017F0">
        <w:rPr>
          <w:rFonts w:ascii="Times New Roman" w:hAnsi="Times New Roman" w:cs="Times New Roman"/>
          <w:sz w:val="24"/>
          <w:szCs w:val="24"/>
          <w:lang w:val="en-GB"/>
        </w:rPr>
        <w:t>definizione</w:t>
      </w:r>
      <w:proofErr w:type="spellEnd"/>
      <w:r w:rsidRPr="008017F0">
        <w:rPr>
          <w:rFonts w:ascii="Times New Roman" w:hAnsi="Times New Roman" w:cs="Times New Roman"/>
          <w:sz w:val="24"/>
          <w:szCs w:val="24"/>
          <w:lang w:val="en-GB"/>
        </w:rPr>
        <w:t xml:space="preserve"> degli </w:t>
      </w:r>
      <w:proofErr w:type="spellStart"/>
      <w:r w:rsidRPr="008017F0">
        <w:rPr>
          <w:rFonts w:ascii="Times New Roman" w:hAnsi="Times New Roman" w:cs="Times New Roman"/>
          <w:sz w:val="24"/>
          <w:szCs w:val="24"/>
          <w:lang w:val="en-GB"/>
        </w:rPr>
        <w:t>indicatori</w:t>
      </w:r>
      <w:proofErr w:type="spellEnd"/>
      <w:r w:rsidRPr="008017F0">
        <w:rPr>
          <w:rFonts w:ascii="Times New Roman" w:hAnsi="Times New Roman" w:cs="Times New Roman"/>
          <w:sz w:val="24"/>
          <w:szCs w:val="24"/>
          <w:lang w:val="en-GB"/>
        </w:rPr>
        <w:t xml:space="preserve">, in </w:t>
      </w:r>
      <w:r w:rsidRPr="008017F0">
        <w:rPr>
          <w:rFonts w:ascii="Times New Roman" w:hAnsi="Times New Roman" w:cs="Times New Roman"/>
          <w:i/>
          <w:iCs/>
          <w:sz w:val="24"/>
          <w:szCs w:val="24"/>
          <w:lang w:val="en-GB"/>
        </w:rPr>
        <w:t xml:space="preserve">Statistica e </w:t>
      </w:r>
      <w:proofErr w:type="spellStart"/>
      <w:r w:rsidRPr="008017F0">
        <w:rPr>
          <w:rFonts w:ascii="Times New Roman" w:hAnsi="Times New Roman" w:cs="Times New Roman"/>
          <w:i/>
          <w:iCs/>
          <w:sz w:val="24"/>
          <w:szCs w:val="24"/>
          <w:lang w:val="en-GB"/>
        </w:rPr>
        <w:t>territorio</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Esperienze</w:t>
      </w:r>
      <w:proofErr w:type="spellEnd"/>
      <w:r w:rsidRPr="008017F0">
        <w:rPr>
          <w:rFonts w:ascii="Times New Roman" w:hAnsi="Times New Roman" w:cs="Times New Roman"/>
          <w:i/>
          <w:iCs/>
          <w:sz w:val="24"/>
          <w:szCs w:val="24"/>
          <w:lang w:val="en-GB"/>
        </w:rPr>
        <w:t xml:space="preserve"> e </w:t>
      </w:r>
      <w:proofErr w:type="spellStart"/>
      <w:r w:rsidRPr="008017F0">
        <w:rPr>
          <w:rFonts w:ascii="Times New Roman" w:hAnsi="Times New Roman" w:cs="Times New Roman"/>
          <w:i/>
          <w:iCs/>
          <w:sz w:val="24"/>
          <w:szCs w:val="24"/>
          <w:lang w:val="en-GB"/>
        </w:rPr>
        <w:t>nuovi</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percorsi</w:t>
      </w:r>
      <w:proofErr w:type="spellEnd"/>
      <w:r w:rsidRPr="008017F0">
        <w:rPr>
          <w:rFonts w:ascii="Times New Roman" w:hAnsi="Times New Roman" w:cs="Times New Roman"/>
          <w:i/>
          <w:iCs/>
          <w:sz w:val="24"/>
          <w:szCs w:val="24"/>
          <w:lang w:val="en-GB"/>
        </w:rPr>
        <w:t xml:space="preserve"> di </w:t>
      </w:r>
      <w:proofErr w:type="spellStart"/>
      <w:r w:rsidRPr="008017F0">
        <w:rPr>
          <w:rFonts w:ascii="Times New Roman" w:hAnsi="Times New Roman" w:cs="Times New Roman"/>
          <w:i/>
          <w:iCs/>
          <w:sz w:val="24"/>
          <w:szCs w:val="24"/>
          <w:lang w:val="en-GB"/>
        </w:rPr>
        <w:t>ricerca</w:t>
      </w:r>
      <w:proofErr w:type="spellEnd"/>
      <w:r w:rsidRPr="008017F0">
        <w:rPr>
          <w:rFonts w:ascii="Times New Roman" w:hAnsi="Times New Roman" w:cs="Times New Roman"/>
          <w:i/>
          <w:iCs/>
          <w:sz w:val="24"/>
          <w:szCs w:val="24"/>
          <w:lang w:val="en-GB"/>
        </w:rPr>
        <w:t xml:space="preserve"> per </w:t>
      </w:r>
      <w:proofErr w:type="spellStart"/>
      <w:r w:rsidRPr="008017F0">
        <w:rPr>
          <w:rFonts w:ascii="Times New Roman" w:hAnsi="Times New Roman" w:cs="Times New Roman"/>
          <w:i/>
          <w:iCs/>
          <w:sz w:val="24"/>
          <w:szCs w:val="24"/>
          <w:lang w:val="en-GB"/>
        </w:rPr>
        <w:t>l'analisi</w:t>
      </w:r>
      <w:proofErr w:type="spellEnd"/>
      <w:r w:rsidRPr="008017F0">
        <w:rPr>
          <w:rFonts w:ascii="Times New Roman" w:hAnsi="Times New Roman" w:cs="Times New Roman"/>
          <w:i/>
          <w:iCs/>
          <w:sz w:val="24"/>
          <w:szCs w:val="24"/>
          <w:lang w:val="en-GB"/>
        </w:rPr>
        <w:t xml:space="preserve"> delle </w:t>
      </w:r>
      <w:proofErr w:type="spellStart"/>
      <w:r w:rsidRPr="008017F0">
        <w:rPr>
          <w:rFonts w:ascii="Times New Roman" w:hAnsi="Times New Roman" w:cs="Times New Roman"/>
          <w:i/>
          <w:iCs/>
          <w:sz w:val="24"/>
          <w:szCs w:val="24"/>
          <w:lang w:val="en-GB"/>
        </w:rPr>
        <w:t>economie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locali</w:t>
      </w:r>
      <w:proofErr w:type="spellEnd"/>
      <w:r w:rsidRPr="008017F0">
        <w:rPr>
          <w:rFonts w:ascii="Times New Roman" w:hAnsi="Times New Roman" w:cs="Times New Roman"/>
          <w:sz w:val="24"/>
          <w:szCs w:val="24"/>
          <w:lang w:val="en-GB"/>
        </w:rPr>
        <w:t xml:space="preserve">, Istituto Guglielmo </w:t>
      </w:r>
      <w:proofErr w:type="spellStart"/>
      <w:r w:rsidRPr="008017F0">
        <w:rPr>
          <w:rFonts w:ascii="Times New Roman" w:hAnsi="Times New Roman" w:cs="Times New Roman"/>
          <w:sz w:val="24"/>
          <w:szCs w:val="24"/>
          <w:lang w:val="en-GB"/>
        </w:rPr>
        <w:t>Tagliacarne</w:t>
      </w:r>
      <w:proofErr w:type="spellEnd"/>
      <w:r w:rsidRPr="008017F0">
        <w:rPr>
          <w:rFonts w:ascii="Times New Roman" w:hAnsi="Times New Roman" w:cs="Times New Roman"/>
          <w:sz w:val="24"/>
          <w:szCs w:val="24"/>
          <w:lang w:val="en-GB"/>
        </w:rPr>
        <w:t xml:space="preserve"> (ed), Milan, Italy: Franco Angeli.</w:t>
      </w:r>
    </w:p>
    <w:p w14:paraId="2919F501" w14:textId="77777777" w:rsidR="00CB56CD" w:rsidRPr="008017F0" w:rsidRDefault="00CB56CD" w:rsidP="00CB56CD">
      <w:pPr>
        <w:autoSpaceDE w:val="0"/>
        <w:autoSpaceDN w:val="0"/>
        <w:adjustRightInd w:val="0"/>
        <w:spacing w:after="0" w:line="240" w:lineRule="auto"/>
        <w:ind w:left="567" w:hanging="567"/>
        <w:jc w:val="both"/>
        <w:rPr>
          <w:rFonts w:ascii="Times New Roman" w:eastAsia="Times New Roman" w:hAnsi="Times New Roman" w:cs="Times New Roman"/>
          <w:sz w:val="24"/>
          <w:szCs w:val="24"/>
          <w:lang w:val="en-GB" w:eastAsia="it-IT"/>
        </w:rPr>
      </w:pPr>
      <w:r w:rsidRPr="008017F0">
        <w:rPr>
          <w:rFonts w:ascii="Times New Roman" w:hAnsi="Times New Roman" w:cs="Times New Roman"/>
          <w:sz w:val="24"/>
          <w:szCs w:val="24"/>
          <w:lang w:val="en-GB"/>
        </w:rPr>
        <w:t xml:space="preserve">Mazziotta C. (2006). Infrastructure, Services and Competitiveness: The Italian case, in </w:t>
      </w:r>
      <w:r w:rsidRPr="008017F0">
        <w:rPr>
          <w:rFonts w:ascii="Times New Roman" w:eastAsia="Times New Roman" w:hAnsi="Times New Roman" w:cs="Times New Roman"/>
          <w:i/>
          <w:iCs/>
          <w:sz w:val="24"/>
          <w:szCs w:val="24"/>
          <w:lang w:val="en-GB" w:eastAsia="it-IT"/>
        </w:rPr>
        <w:t xml:space="preserve">Atti della XLIII </w:t>
      </w:r>
      <w:proofErr w:type="spellStart"/>
      <w:r w:rsidRPr="008017F0">
        <w:rPr>
          <w:rFonts w:ascii="Times New Roman" w:eastAsia="Times New Roman" w:hAnsi="Times New Roman" w:cs="Times New Roman"/>
          <w:i/>
          <w:iCs/>
          <w:sz w:val="24"/>
          <w:szCs w:val="24"/>
          <w:lang w:val="en-GB" w:eastAsia="it-IT"/>
        </w:rPr>
        <w:t>Riunione</w:t>
      </w:r>
      <w:proofErr w:type="spellEnd"/>
      <w:r w:rsidRPr="008017F0">
        <w:rPr>
          <w:rFonts w:ascii="Times New Roman" w:eastAsia="Times New Roman" w:hAnsi="Times New Roman" w:cs="Times New Roman"/>
          <w:i/>
          <w:iCs/>
          <w:sz w:val="24"/>
          <w:szCs w:val="24"/>
          <w:lang w:val="en-GB" w:eastAsia="it-IT"/>
        </w:rPr>
        <w:t xml:space="preserve"> </w:t>
      </w:r>
      <w:proofErr w:type="spellStart"/>
      <w:r w:rsidRPr="008017F0">
        <w:rPr>
          <w:rFonts w:ascii="Times New Roman" w:eastAsia="Times New Roman" w:hAnsi="Times New Roman" w:cs="Times New Roman"/>
          <w:i/>
          <w:iCs/>
          <w:sz w:val="24"/>
          <w:szCs w:val="24"/>
          <w:lang w:val="en-GB" w:eastAsia="it-IT"/>
        </w:rPr>
        <w:t>Scientifica</w:t>
      </w:r>
      <w:proofErr w:type="spellEnd"/>
      <w:r w:rsidRPr="008017F0">
        <w:rPr>
          <w:rFonts w:ascii="Times New Roman" w:eastAsia="Times New Roman" w:hAnsi="Times New Roman" w:cs="Times New Roman"/>
          <w:i/>
          <w:iCs/>
          <w:sz w:val="24"/>
          <w:szCs w:val="24"/>
          <w:lang w:val="en-GB" w:eastAsia="it-IT"/>
        </w:rPr>
        <w:t xml:space="preserve"> della Società </w:t>
      </w:r>
      <w:proofErr w:type="spellStart"/>
      <w:r w:rsidRPr="008017F0">
        <w:rPr>
          <w:rFonts w:ascii="Times New Roman" w:eastAsia="Times New Roman" w:hAnsi="Times New Roman" w:cs="Times New Roman"/>
          <w:i/>
          <w:iCs/>
          <w:sz w:val="24"/>
          <w:szCs w:val="24"/>
          <w:lang w:val="en-GB" w:eastAsia="it-IT"/>
        </w:rPr>
        <w:t>Italiana</w:t>
      </w:r>
      <w:proofErr w:type="spellEnd"/>
      <w:r w:rsidRPr="008017F0">
        <w:rPr>
          <w:rFonts w:ascii="Times New Roman" w:eastAsia="Times New Roman" w:hAnsi="Times New Roman" w:cs="Times New Roman"/>
          <w:i/>
          <w:iCs/>
          <w:sz w:val="24"/>
          <w:szCs w:val="24"/>
          <w:lang w:val="en-GB" w:eastAsia="it-IT"/>
        </w:rPr>
        <w:t xml:space="preserve"> di Statistica</w:t>
      </w:r>
      <w:r w:rsidRPr="008017F0">
        <w:rPr>
          <w:rFonts w:ascii="Times New Roman" w:eastAsia="Times New Roman" w:hAnsi="Times New Roman" w:cs="Times New Roman"/>
          <w:sz w:val="24"/>
          <w:szCs w:val="24"/>
          <w:lang w:val="en-GB" w:eastAsia="it-IT"/>
        </w:rPr>
        <w:t xml:space="preserve">, Torino, </w:t>
      </w:r>
      <w:proofErr w:type="spellStart"/>
      <w:r w:rsidRPr="008017F0">
        <w:rPr>
          <w:rFonts w:ascii="Times New Roman" w:eastAsia="Times New Roman" w:hAnsi="Times New Roman" w:cs="Times New Roman"/>
          <w:sz w:val="24"/>
          <w:szCs w:val="24"/>
          <w:lang w:val="en-GB" w:eastAsia="it-IT"/>
        </w:rPr>
        <w:t>giugno</w:t>
      </w:r>
      <w:proofErr w:type="spellEnd"/>
      <w:r w:rsidRPr="008017F0">
        <w:rPr>
          <w:rFonts w:ascii="Times New Roman" w:eastAsia="Times New Roman" w:hAnsi="Times New Roman" w:cs="Times New Roman"/>
          <w:sz w:val="24"/>
          <w:szCs w:val="24"/>
          <w:lang w:val="en-GB" w:eastAsia="it-IT"/>
        </w:rPr>
        <w:t xml:space="preserve"> 2006. </w:t>
      </w:r>
    </w:p>
    <w:p w14:paraId="13BD1FD9"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Montanaro P. (2003). Lo stock di </w:t>
      </w:r>
      <w:proofErr w:type="spellStart"/>
      <w:r w:rsidRPr="008017F0">
        <w:rPr>
          <w:rFonts w:ascii="Times New Roman" w:hAnsi="Times New Roman" w:cs="Times New Roman"/>
          <w:sz w:val="24"/>
          <w:szCs w:val="24"/>
          <w:lang w:val="en-GB"/>
        </w:rPr>
        <w:t>capitale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pubblico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una</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stima</w:t>
      </w:r>
      <w:proofErr w:type="spellEnd"/>
      <w:r w:rsidRPr="008017F0">
        <w:rPr>
          <w:rFonts w:ascii="Times New Roman" w:hAnsi="Times New Roman" w:cs="Times New Roman"/>
          <w:sz w:val="24"/>
          <w:szCs w:val="24"/>
          <w:lang w:val="en-GB"/>
        </w:rPr>
        <w:t xml:space="preserve"> per </w:t>
      </w:r>
      <w:proofErr w:type="spellStart"/>
      <w:r w:rsidRPr="008017F0">
        <w:rPr>
          <w:rFonts w:ascii="Times New Roman" w:hAnsi="Times New Roman" w:cs="Times New Roman"/>
          <w:sz w:val="24"/>
          <w:szCs w:val="24"/>
          <w:lang w:val="en-GB"/>
        </w:rPr>
        <w:t>regione</w:t>
      </w:r>
      <w:proofErr w:type="spellEnd"/>
      <w:r w:rsidRPr="008017F0">
        <w:rPr>
          <w:rFonts w:ascii="Times New Roman" w:hAnsi="Times New Roman" w:cs="Times New Roman"/>
          <w:sz w:val="24"/>
          <w:szCs w:val="24"/>
          <w:lang w:val="en-GB"/>
        </w:rPr>
        <w:t xml:space="preserve"> e per </w:t>
      </w:r>
      <w:proofErr w:type="spellStart"/>
      <w:r w:rsidRPr="008017F0">
        <w:rPr>
          <w:rFonts w:ascii="Times New Roman" w:hAnsi="Times New Roman" w:cs="Times New Roman"/>
          <w:sz w:val="24"/>
          <w:szCs w:val="24"/>
          <w:lang w:val="en-GB"/>
        </w:rPr>
        <w:t>tipologia</w:t>
      </w:r>
      <w:proofErr w:type="spellEnd"/>
      <w:r w:rsidRPr="008017F0">
        <w:rPr>
          <w:rFonts w:ascii="Times New Roman" w:hAnsi="Times New Roman" w:cs="Times New Roman"/>
          <w:sz w:val="24"/>
          <w:szCs w:val="24"/>
          <w:lang w:val="en-GB"/>
        </w:rPr>
        <w:t xml:space="preserve"> di bene. </w:t>
      </w:r>
      <w:r w:rsidRPr="008017F0">
        <w:rPr>
          <w:rFonts w:ascii="Times New Roman" w:hAnsi="Times New Roman" w:cs="Times New Roman"/>
          <w:i/>
          <w:iCs/>
          <w:sz w:val="24"/>
          <w:szCs w:val="24"/>
          <w:lang w:val="en-GB"/>
        </w:rPr>
        <w:t>Rivista Economica del Mezzogiorno</w:t>
      </w:r>
      <w:r w:rsidRPr="008017F0">
        <w:rPr>
          <w:rFonts w:ascii="Times New Roman" w:hAnsi="Times New Roman" w:cs="Times New Roman"/>
          <w:sz w:val="24"/>
          <w:szCs w:val="24"/>
          <w:lang w:val="en-GB"/>
        </w:rPr>
        <w:t>, XVII, 423-461.</w:t>
      </w:r>
    </w:p>
    <w:p w14:paraId="597B7310"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Montanaro P. (2010). La </w:t>
      </w:r>
      <w:proofErr w:type="spellStart"/>
      <w:r w:rsidRPr="008017F0">
        <w:rPr>
          <w:rFonts w:ascii="Times New Roman" w:hAnsi="Times New Roman" w:cs="Times New Roman"/>
          <w:sz w:val="24"/>
          <w:szCs w:val="24"/>
          <w:lang w:val="en-GB"/>
        </w:rPr>
        <w:t>spesa</w:t>
      </w:r>
      <w:proofErr w:type="spellEnd"/>
      <w:r w:rsidRPr="008017F0">
        <w:rPr>
          <w:rFonts w:ascii="Times New Roman" w:hAnsi="Times New Roman" w:cs="Times New Roman"/>
          <w:sz w:val="24"/>
          <w:szCs w:val="24"/>
          <w:lang w:val="en-GB"/>
        </w:rPr>
        <w:t xml:space="preserve"> per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in Italia: </w:t>
      </w:r>
      <w:proofErr w:type="spellStart"/>
      <w:r w:rsidRPr="008017F0">
        <w:rPr>
          <w:rFonts w:ascii="Times New Roman" w:hAnsi="Times New Roman" w:cs="Times New Roman"/>
          <w:sz w:val="24"/>
          <w:szCs w:val="24"/>
          <w:lang w:val="en-GB"/>
        </w:rPr>
        <w:t>dinamica</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recente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confronto</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internazionale</w:t>
      </w:r>
      <w:proofErr w:type="spellEnd"/>
      <w:r w:rsidRPr="008017F0">
        <w:rPr>
          <w:rFonts w:ascii="Times New Roman" w:hAnsi="Times New Roman" w:cs="Times New Roman"/>
          <w:sz w:val="24"/>
          <w:szCs w:val="24"/>
          <w:lang w:val="en-GB"/>
        </w:rPr>
        <w:t xml:space="preserve"> e </w:t>
      </w:r>
      <w:proofErr w:type="spellStart"/>
      <w:r w:rsidRPr="008017F0">
        <w:rPr>
          <w:rFonts w:ascii="Times New Roman" w:hAnsi="Times New Roman" w:cs="Times New Roman"/>
          <w:sz w:val="24"/>
          <w:szCs w:val="24"/>
          <w:lang w:val="en-GB"/>
        </w:rPr>
        <w:t>divari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regionali</w:t>
      </w:r>
      <w:proofErr w:type="spellEnd"/>
      <w:r w:rsidRPr="008017F0">
        <w:rPr>
          <w:rFonts w:ascii="Times New Roman" w:hAnsi="Times New Roman" w:cs="Times New Roman"/>
          <w:sz w:val="24"/>
          <w:szCs w:val="24"/>
          <w:lang w:val="en-GB"/>
        </w:rPr>
        <w:t xml:space="preserve">, in </w:t>
      </w:r>
      <w:r w:rsidRPr="008017F0">
        <w:rPr>
          <w:rFonts w:ascii="Times New Roman" w:hAnsi="Times New Roman" w:cs="Times New Roman"/>
          <w:i/>
          <w:iCs/>
          <w:sz w:val="24"/>
          <w:szCs w:val="24"/>
          <w:lang w:val="en-GB"/>
        </w:rPr>
        <w:t xml:space="preserve">Le </w:t>
      </w:r>
      <w:proofErr w:type="spellStart"/>
      <w:r w:rsidRPr="008017F0">
        <w:rPr>
          <w:rFonts w:ascii="Times New Roman" w:hAnsi="Times New Roman" w:cs="Times New Roman"/>
          <w:i/>
          <w:iCs/>
          <w:sz w:val="24"/>
          <w:szCs w:val="24"/>
          <w:lang w:val="en-GB"/>
        </w:rPr>
        <w:t>infrastrutture</w:t>
      </w:r>
      <w:proofErr w:type="spellEnd"/>
      <w:r w:rsidRPr="008017F0">
        <w:rPr>
          <w:rFonts w:ascii="Times New Roman" w:hAnsi="Times New Roman" w:cs="Times New Roman"/>
          <w:i/>
          <w:iCs/>
          <w:sz w:val="24"/>
          <w:szCs w:val="24"/>
          <w:lang w:val="en-GB"/>
        </w:rPr>
        <w:t xml:space="preserve"> in Italia: </w:t>
      </w:r>
      <w:proofErr w:type="spellStart"/>
      <w:r w:rsidRPr="008017F0">
        <w:rPr>
          <w:rFonts w:ascii="Times New Roman" w:hAnsi="Times New Roman" w:cs="Times New Roman"/>
          <w:i/>
          <w:iCs/>
          <w:sz w:val="24"/>
          <w:szCs w:val="24"/>
          <w:lang w:val="en-GB"/>
        </w:rPr>
        <w:t>dotazione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programmazione</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realizzazione</w:t>
      </w:r>
      <w:proofErr w:type="spellEnd"/>
      <w:r w:rsidRPr="008017F0">
        <w:rPr>
          <w:rFonts w:ascii="Times New Roman" w:hAnsi="Times New Roman" w:cs="Times New Roman"/>
          <w:sz w:val="24"/>
          <w:szCs w:val="24"/>
          <w:lang w:val="en-GB"/>
        </w:rPr>
        <w:t>, Workshop, Banca d’Italia.</w:t>
      </w:r>
    </w:p>
    <w:p w14:paraId="6FFA2598"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proofErr w:type="spellStart"/>
      <w:r w:rsidRPr="008017F0">
        <w:rPr>
          <w:rFonts w:ascii="Times New Roman" w:hAnsi="Times New Roman" w:cs="Times New Roman"/>
          <w:sz w:val="24"/>
          <w:szCs w:val="24"/>
          <w:lang w:val="en-GB"/>
        </w:rPr>
        <w:t>Nifo</w:t>
      </w:r>
      <w:proofErr w:type="spellEnd"/>
      <w:r w:rsidRPr="008017F0">
        <w:rPr>
          <w:rFonts w:ascii="Times New Roman" w:hAnsi="Times New Roman" w:cs="Times New Roman"/>
          <w:sz w:val="24"/>
          <w:szCs w:val="24"/>
          <w:lang w:val="en-GB"/>
        </w:rPr>
        <w:t xml:space="preserve"> A., Vecchione G. (2014). Do Institutions Play a Role in Skilled Migration? The Case of Italy, </w:t>
      </w:r>
      <w:r w:rsidRPr="008017F0">
        <w:rPr>
          <w:rFonts w:ascii="Times New Roman" w:hAnsi="Times New Roman" w:cs="Times New Roman"/>
          <w:i/>
          <w:iCs/>
          <w:sz w:val="24"/>
          <w:szCs w:val="24"/>
          <w:lang w:val="en-GB"/>
        </w:rPr>
        <w:t>Regional Studies</w:t>
      </w:r>
      <w:r w:rsidRPr="008017F0">
        <w:rPr>
          <w:rFonts w:ascii="Times New Roman" w:hAnsi="Times New Roman" w:cs="Times New Roman"/>
          <w:sz w:val="24"/>
          <w:szCs w:val="24"/>
          <w:lang w:val="en-GB"/>
        </w:rPr>
        <w:t xml:space="preserve">, 48 (10), 1628-1649. </w:t>
      </w:r>
    </w:p>
    <w:p w14:paraId="6A8130ED"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proofErr w:type="spellStart"/>
      <w:r w:rsidRPr="008017F0">
        <w:rPr>
          <w:rFonts w:ascii="Times New Roman" w:hAnsi="Times New Roman" w:cs="Times New Roman"/>
          <w:sz w:val="24"/>
          <w:szCs w:val="24"/>
          <w:lang w:val="en-GB"/>
        </w:rPr>
        <w:t>Nifo</w:t>
      </w:r>
      <w:proofErr w:type="spellEnd"/>
      <w:r w:rsidRPr="008017F0">
        <w:rPr>
          <w:rFonts w:ascii="Times New Roman" w:hAnsi="Times New Roman" w:cs="Times New Roman"/>
          <w:sz w:val="24"/>
          <w:szCs w:val="24"/>
          <w:lang w:val="en-GB"/>
        </w:rPr>
        <w:t xml:space="preserve"> A., Vecchione G. (2015). Measuring Institutional Quality in Italy. </w:t>
      </w:r>
      <w:r w:rsidRPr="008017F0">
        <w:rPr>
          <w:rFonts w:ascii="Times New Roman" w:hAnsi="Times New Roman" w:cs="Times New Roman"/>
          <w:i/>
          <w:iCs/>
          <w:sz w:val="24"/>
          <w:szCs w:val="24"/>
          <w:lang w:val="en-GB"/>
        </w:rPr>
        <w:t xml:space="preserve">Rivista </w:t>
      </w:r>
      <w:proofErr w:type="spellStart"/>
      <w:r w:rsidRPr="008017F0">
        <w:rPr>
          <w:rFonts w:ascii="Times New Roman" w:hAnsi="Times New Roman" w:cs="Times New Roman"/>
          <w:i/>
          <w:iCs/>
          <w:sz w:val="24"/>
          <w:szCs w:val="24"/>
          <w:lang w:val="en-GB"/>
        </w:rPr>
        <w:t>economica</w:t>
      </w:r>
      <w:proofErr w:type="spellEnd"/>
      <w:r w:rsidRPr="008017F0">
        <w:rPr>
          <w:rFonts w:ascii="Times New Roman" w:hAnsi="Times New Roman" w:cs="Times New Roman"/>
          <w:i/>
          <w:iCs/>
          <w:sz w:val="24"/>
          <w:szCs w:val="24"/>
          <w:lang w:val="en-GB"/>
        </w:rPr>
        <w:t xml:space="preserve"> del Mezzogiorno</w:t>
      </w:r>
      <w:r w:rsidRPr="008017F0">
        <w:rPr>
          <w:rFonts w:ascii="Times New Roman" w:hAnsi="Times New Roman" w:cs="Times New Roman"/>
          <w:sz w:val="24"/>
          <w:szCs w:val="24"/>
          <w:lang w:val="en-GB"/>
        </w:rPr>
        <w:t xml:space="preserve">, Società </w:t>
      </w:r>
      <w:proofErr w:type="spellStart"/>
      <w:r w:rsidRPr="008017F0">
        <w:rPr>
          <w:rFonts w:ascii="Times New Roman" w:hAnsi="Times New Roman" w:cs="Times New Roman"/>
          <w:sz w:val="24"/>
          <w:szCs w:val="24"/>
          <w:lang w:val="en-GB"/>
        </w:rPr>
        <w:t>editrice</w:t>
      </w:r>
      <w:proofErr w:type="spellEnd"/>
      <w:r w:rsidRPr="008017F0">
        <w:rPr>
          <w:rFonts w:ascii="Times New Roman" w:hAnsi="Times New Roman" w:cs="Times New Roman"/>
          <w:sz w:val="24"/>
          <w:szCs w:val="24"/>
          <w:lang w:val="en-GB"/>
        </w:rPr>
        <w:t xml:space="preserve"> il Mulino, issue 1-2, 157-182.</w:t>
      </w:r>
    </w:p>
    <w:p w14:paraId="793EE5E9"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OECD, (2009). Measuring capital. </w:t>
      </w:r>
      <w:r w:rsidRPr="008017F0">
        <w:rPr>
          <w:rFonts w:ascii="Times New Roman" w:hAnsi="Times New Roman" w:cs="Times New Roman"/>
          <w:i/>
          <w:iCs/>
          <w:sz w:val="24"/>
          <w:szCs w:val="24"/>
          <w:lang w:val="en-GB"/>
        </w:rPr>
        <w:t>OECD Publishing</w:t>
      </w:r>
      <w:r w:rsidRPr="008017F0">
        <w:rPr>
          <w:rFonts w:ascii="Times New Roman" w:hAnsi="Times New Roman" w:cs="Times New Roman"/>
          <w:sz w:val="24"/>
          <w:szCs w:val="24"/>
          <w:lang w:val="en-GB"/>
        </w:rPr>
        <w:t>, Paris.</w:t>
      </w:r>
    </w:p>
    <w:p w14:paraId="1442CB7A"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Perez F., Mas M., Martinez L. S., Jimenez E. U. (eds.), (2019). </w:t>
      </w:r>
      <w:r w:rsidRPr="008017F0">
        <w:rPr>
          <w:rFonts w:ascii="Times New Roman" w:hAnsi="Times New Roman" w:cs="Times New Roman"/>
          <w:i/>
          <w:iCs/>
          <w:sz w:val="24"/>
          <w:szCs w:val="24"/>
          <w:lang w:val="en-GB"/>
        </w:rPr>
        <w:t xml:space="preserve">El stock de capital </w:t>
      </w:r>
      <w:proofErr w:type="spellStart"/>
      <w:r w:rsidRPr="008017F0">
        <w:rPr>
          <w:rFonts w:ascii="Times New Roman" w:hAnsi="Times New Roman" w:cs="Times New Roman"/>
          <w:i/>
          <w:iCs/>
          <w:sz w:val="24"/>
          <w:szCs w:val="24"/>
          <w:lang w:val="en-GB"/>
        </w:rPr>
        <w:t>en</w:t>
      </w:r>
      <w:proofErr w:type="spellEnd"/>
      <w:r w:rsidRPr="008017F0">
        <w:rPr>
          <w:rFonts w:ascii="Times New Roman" w:hAnsi="Times New Roman" w:cs="Times New Roman"/>
          <w:i/>
          <w:iCs/>
          <w:sz w:val="24"/>
          <w:szCs w:val="24"/>
          <w:lang w:val="en-GB"/>
        </w:rPr>
        <w:t xml:space="preserve"> Espana y sus comunidades </w:t>
      </w:r>
      <w:proofErr w:type="spellStart"/>
      <w:r w:rsidRPr="008017F0">
        <w:rPr>
          <w:rFonts w:ascii="Times New Roman" w:hAnsi="Times New Roman" w:cs="Times New Roman"/>
          <w:i/>
          <w:iCs/>
          <w:sz w:val="24"/>
          <w:szCs w:val="24"/>
          <w:lang w:val="en-GB"/>
        </w:rPr>
        <w:t>autonomas</w:t>
      </w:r>
      <w:proofErr w:type="spellEnd"/>
      <w:r w:rsidRPr="008017F0">
        <w:rPr>
          <w:rFonts w:ascii="Times New Roman" w:hAnsi="Times New Roman" w:cs="Times New Roman"/>
          <w:i/>
          <w:iCs/>
          <w:sz w:val="24"/>
          <w:szCs w:val="24"/>
          <w:lang w:val="en-GB"/>
        </w:rPr>
        <w:t xml:space="preserve">, </w:t>
      </w:r>
      <w:proofErr w:type="spellStart"/>
      <w:r w:rsidRPr="008017F0">
        <w:rPr>
          <w:rFonts w:ascii="Times New Roman" w:hAnsi="Times New Roman" w:cs="Times New Roman"/>
          <w:i/>
          <w:iCs/>
          <w:sz w:val="24"/>
          <w:szCs w:val="24"/>
          <w:lang w:val="en-GB"/>
        </w:rPr>
        <w:t>Documento</w:t>
      </w:r>
      <w:proofErr w:type="spellEnd"/>
      <w:r w:rsidRPr="008017F0">
        <w:rPr>
          <w:rFonts w:ascii="Times New Roman" w:hAnsi="Times New Roman" w:cs="Times New Roman"/>
          <w:i/>
          <w:iCs/>
          <w:sz w:val="24"/>
          <w:szCs w:val="24"/>
          <w:lang w:val="en-GB"/>
        </w:rPr>
        <w:t xml:space="preserve"> de </w:t>
      </w:r>
      <w:proofErr w:type="spellStart"/>
      <w:r w:rsidRPr="008017F0">
        <w:rPr>
          <w:rFonts w:ascii="Times New Roman" w:hAnsi="Times New Roman" w:cs="Times New Roman"/>
          <w:i/>
          <w:iCs/>
          <w:sz w:val="24"/>
          <w:szCs w:val="24"/>
          <w:lang w:val="en-GB"/>
        </w:rPr>
        <w:t>Trabajo</w:t>
      </w:r>
      <w:proofErr w:type="spellEnd"/>
      <w:r w:rsidRPr="008017F0">
        <w:rPr>
          <w:rFonts w:ascii="Times New Roman" w:hAnsi="Times New Roman" w:cs="Times New Roman"/>
          <w:sz w:val="24"/>
          <w:szCs w:val="24"/>
          <w:lang w:val="en-GB"/>
        </w:rPr>
        <w:t>, Fundacion BBVA, n. 1/2019.</w:t>
      </w:r>
    </w:p>
    <w:p w14:paraId="6184C1FD" w14:textId="77777777" w:rsidR="00CB56CD" w:rsidRPr="008017F0" w:rsidRDefault="00CB56CD" w:rsidP="00CB56CD">
      <w:pPr>
        <w:spacing w:after="0" w:line="240" w:lineRule="auto"/>
        <w:ind w:left="567" w:hanging="567"/>
        <w:jc w:val="both"/>
        <w:rPr>
          <w:lang w:val="en-GB"/>
        </w:rPr>
      </w:pPr>
      <w:proofErr w:type="spellStart"/>
      <w:r w:rsidRPr="008017F0">
        <w:rPr>
          <w:rFonts w:ascii="Times New Roman" w:hAnsi="Times New Roman" w:cs="Times New Roman"/>
          <w:sz w:val="24"/>
          <w:szCs w:val="24"/>
          <w:lang w:val="en-GB"/>
        </w:rPr>
        <w:t>Pesaran</w:t>
      </w:r>
      <w:proofErr w:type="spellEnd"/>
      <w:r w:rsidRPr="008017F0">
        <w:rPr>
          <w:rFonts w:ascii="Times New Roman" w:hAnsi="Times New Roman" w:cs="Times New Roman"/>
          <w:sz w:val="24"/>
          <w:szCs w:val="24"/>
          <w:lang w:val="en-GB"/>
        </w:rPr>
        <w:t xml:space="preserve"> M. H. (2007). A simple panel unit root test in the presence of cross-section dependence. </w:t>
      </w:r>
      <w:r w:rsidRPr="008017F0">
        <w:rPr>
          <w:rFonts w:ascii="Times New Roman" w:hAnsi="Times New Roman" w:cs="Times New Roman"/>
          <w:i/>
          <w:iCs/>
          <w:sz w:val="24"/>
          <w:szCs w:val="24"/>
          <w:lang w:val="en-GB"/>
        </w:rPr>
        <w:t>Journal of Applied Econometrics</w:t>
      </w:r>
      <w:r w:rsidRPr="008017F0">
        <w:rPr>
          <w:rFonts w:ascii="Times New Roman" w:hAnsi="Times New Roman" w:cs="Times New Roman"/>
          <w:sz w:val="24"/>
          <w:szCs w:val="24"/>
          <w:lang w:val="en-GB"/>
        </w:rPr>
        <w:t>, 22(2), 265–312.</w:t>
      </w:r>
    </w:p>
    <w:p w14:paraId="3D12E95E" w14:textId="77777777" w:rsidR="00CB56CD" w:rsidRPr="008017F0" w:rsidRDefault="00CB56CD" w:rsidP="00CB56CD">
      <w:pPr>
        <w:spacing w:after="0" w:line="240" w:lineRule="auto"/>
        <w:ind w:left="567" w:hanging="567"/>
        <w:jc w:val="both"/>
        <w:rPr>
          <w:lang w:val="en-GB"/>
        </w:rPr>
      </w:pPr>
      <w:proofErr w:type="spellStart"/>
      <w:r w:rsidRPr="008017F0">
        <w:rPr>
          <w:rFonts w:ascii="Times New Roman" w:hAnsi="Times New Roman" w:cs="Times New Roman"/>
          <w:sz w:val="24"/>
          <w:szCs w:val="24"/>
          <w:lang w:val="en-GB"/>
        </w:rPr>
        <w:t>Pesaran</w:t>
      </w:r>
      <w:proofErr w:type="spellEnd"/>
      <w:r w:rsidRPr="008017F0">
        <w:rPr>
          <w:rFonts w:ascii="Times New Roman" w:hAnsi="Times New Roman" w:cs="Times New Roman"/>
          <w:sz w:val="24"/>
          <w:szCs w:val="24"/>
          <w:lang w:val="en-GB"/>
        </w:rPr>
        <w:t xml:space="preserve"> M. H. (2015). Testing weak cross-sectional dependence in large panels. </w:t>
      </w:r>
      <w:r w:rsidRPr="008017F0">
        <w:rPr>
          <w:rFonts w:ascii="Times New Roman" w:hAnsi="Times New Roman" w:cs="Times New Roman"/>
          <w:i/>
          <w:iCs/>
          <w:sz w:val="24"/>
          <w:szCs w:val="24"/>
          <w:lang w:val="en-GB"/>
        </w:rPr>
        <w:t>Econometric Reviews</w:t>
      </w:r>
      <w:r w:rsidRPr="008017F0">
        <w:rPr>
          <w:rFonts w:ascii="Times New Roman" w:hAnsi="Times New Roman" w:cs="Times New Roman"/>
          <w:sz w:val="24"/>
          <w:szCs w:val="24"/>
          <w:lang w:val="en-GB"/>
        </w:rPr>
        <w:t>, 34(6-10), 1089–1117.</w:t>
      </w:r>
    </w:p>
    <w:p w14:paraId="198F888D"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proofErr w:type="spellStart"/>
      <w:r w:rsidRPr="008017F0">
        <w:rPr>
          <w:rFonts w:ascii="Times New Roman" w:hAnsi="Times New Roman" w:cs="Times New Roman"/>
          <w:sz w:val="24"/>
          <w:szCs w:val="24"/>
          <w:lang w:val="en-GB"/>
        </w:rPr>
        <w:t>Pesaran</w:t>
      </w:r>
      <w:proofErr w:type="spellEnd"/>
      <w:r w:rsidRPr="008017F0">
        <w:rPr>
          <w:rFonts w:ascii="Times New Roman" w:hAnsi="Times New Roman" w:cs="Times New Roman"/>
          <w:sz w:val="24"/>
          <w:szCs w:val="24"/>
          <w:lang w:val="en-GB"/>
        </w:rPr>
        <w:t xml:space="preserve"> M. H., Shin Y., Smith R. J. (2001). Bounds Testing Approaches to the Analysis of Level Relationships. </w:t>
      </w:r>
      <w:r w:rsidRPr="008017F0">
        <w:rPr>
          <w:rFonts w:ascii="Times New Roman" w:hAnsi="Times New Roman" w:cs="Times New Roman"/>
          <w:i/>
          <w:iCs/>
          <w:sz w:val="24"/>
          <w:szCs w:val="24"/>
          <w:lang w:val="en-GB"/>
        </w:rPr>
        <w:t>Journal of Applied Econometrics</w:t>
      </w:r>
      <w:r w:rsidRPr="008017F0">
        <w:rPr>
          <w:rFonts w:ascii="Times New Roman" w:hAnsi="Times New Roman" w:cs="Times New Roman"/>
          <w:sz w:val="24"/>
          <w:szCs w:val="24"/>
          <w:lang w:val="en-GB"/>
        </w:rPr>
        <w:t>, 16, 289-326.</w:t>
      </w:r>
    </w:p>
    <w:p w14:paraId="3276550D"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Picci L. (1995). Lo stock di </w:t>
      </w:r>
      <w:proofErr w:type="spellStart"/>
      <w:r w:rsidRPr="008017F0">
        <w:rPr>
          <w:rFonts w:ascii="Times New Roman" w:hAnsi="Times New Roman" w:cs="Times New Roman"/>
          <w:sz w:val="24"/>
          <w:szCs w:val="24"/>
          <w:lang w:val="en-GB"/>
        </w:rPr>
        <w:t>capitale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nelle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regioni</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italiane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Dipartimento</w:t>
      </w:r>
      <w:proofErr w:type="spellEnd"/>
      <w:r w:rsidRPr="008017F0">
        <w:rPr>
          <w:rFonts w:ascii="Times New Roman" w:hAnsi="Times New Roman" w:cs="Times New Roman"/>
          <w:sz w:val="24"/>
          <w:szCs w:val="24"/>
          <w:lang w:val="en-GB"/>
        </w:rPr>
        <w:t xml:space="preserve"> di </w:t>
      </w:r>
      <w:proofErr w:type="spellStart"/>
      <w:r w:rsidRPr="008017F0">
        <w:rPr>
          <w:rFonts w:ascii="Times New Roman" w:hAnsi="Times New Roman" w:cs="Times New Roman"/>
          <w:sz w:val="24"/>
          <w:szCs w:val="24"/>
          <w:lang w:val="en-GB"/>
        </w:rPr>
        <w:t>Scienze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Economiche</w:t>
      </w:r>
      <w:proofErr w:type="spellEnd"/>
      <w:r w:rsidRPr="008017F0">
        <w:rPr>
          <w:rFonts w:ascii="Times New Roman" w:hAnsi="Times New Roman" w:cs="Times New Roman"/>
          <w:sz w:val="24"/>
          <w:szCs w:val="24"/>
          <w:lang w:val="en-GB"/>
        </w:rPr>
        <w:t xml:space="preserve">, Università di Bologna, </w:t>
      </w:r>
      <w:proofErr w:type="spellStart"/>
      <w:r w:rsidRPr="008017F0">
        <w:rPr>
          <w:rFonts w:ascii="Times New Roman" w:hAnsi="Times New Roman" w:cs="Times New Roman"/>
          <w:i/>
          <w:iCs/>
          <w:sz w:val="24"/>
          <w:szCs w:val="24"/>
          <w:lang w:val="en-GB"/>
        </w:rPr>
        <w:t>Collana</w:t>
      </w:r>
      <w:proofErr w:type="spellEnd"/>
      <w:r w:rsidRPr="008017F0">
        <w:rPr>
          <w:rFonts w:ascii="Times New Roman" w:hAnsi="Times New Roman" w:cs="Times New Roman"/>
          <w:i/>
          <w:iCs/>
          <w:sz w:val="24"/>
          <w:szCs w:val="24"/>
          <w:lang w:val="en-GB"/>
        </w:rPr>
        <w:t xml:space="preserve"> di Economia </w:t>
      </w:r>
      <w:proofErr w:type="spellStart"/>
      <w:r w:rsidRPr="008017F0">
        <w:rPr>
          <w:rFonts w:ascii="Times New Roman" w:hAnsi="Times New Roman" w:cs="Times New Roman"/>
          <w:i/>
          <w:iCs/>
          <w:sz w:val="24"/>
          <w:szCs w:val="24"/>
          <w:lang w:val="en-GB"/>
        </w:rPr>
        <w:t>Applicata</w:t>
      </w:r>
      <w:proofErr w:type="spellEnd"/>
      <w:r w:rsidRPr="008017F0">
        <w:rPr>
          <w:rFonts w:ascii="Times New Roman" w:hAnsi="Times New Roman" w:cs="Times New Roman"/>
          <w:sz w:val="24"/>
          <w:szCs w:val="24"/>
          <w:lang w:val="en-GB"/>
        </w:rPr>
        <w:t>, 4.</w:t>
      </w:r>
    </w:p>
    <w:p w14:paraId="00A9A6AC" w14:textId="77777777" w:rsidR="00CB56CD" w:rsidRPr="008017F0" w:rsidRDefault="00CB56CD" w:rsidP="00CB56CD">
      <w:pPr>
        <w:autoSpaceDE w:val="0"/>
        <w:autoSpaceDN w:val="0"/>
        <w:adjustRightInd w:val="0"/>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Picci L. (2001). Le </w:t>
      </w:r>
      <w:proofErr w:type="spellStart"/>
      <w:r w:rsidRPr="008017F0">
        <w:rPr>
          <w:rFonts w:ascii="Times New Roman" w:hAnsi="Times New Roman" w:cs="Times New Roman"/>
          <w:sz w:val="24"/>
          <w:szCs w:val="24"/>
          <w:lang w:val="en-GB"/>
        </w:rPr>
        <w:t>infrastrutture</w:t>
      </w:r>
      <w:proofErr w:type="spellEnd"/>
      <w:r w:rsidRPr="008017F0">
        <w:rPr>
          <w:rFonts w:ascii="Times New Roman" w:hAnsi="Times New Roman" w:cs="Times New Roman"/>
          <w:sz w:val="24"/>
          <w:szCs w:val="24"/>
          <w:lang w:val="en-GB"/>
        </w:rPr>
        <w:t xml:space="preserve"> in Italia. Le </w:t>
      </w:r>
      <w:proofErr w:type="spellStart"/>
      <w:r w:rsidRPr="008017F0">
        <w:rPr>
          <w:rFonts w:ascii="Times New Roman" w:hAnsi="Times New Roman" w:cs="Times New Roman"/>
          <w:sz w:val="24"/>
          <w:szCs w:val="24"/>
          <w:lang w:val="en-GB"/>
        </w:rPr>
        <w:t>differenze</w:t>
      </w:r>
      <w:proofErr w:type="spellEnd"/>
      <w:r w:rsidRPr="008017F0">
        <w:rPr>
          <w:rFonts w:ascii="Times New Roman" w:hAnsi="Times New Roman" w:cs="Times New Roman"/>
          <w:sz w:val="24"/>
          <w:szCs w:val="24"/>
          <w:lang w:val="en-GB"/>
        </w:rPr>
        <w:t xml:space="preserve"> </w:t>
      </w:r>
      <w:proofErr w:type="spellStart"/>
      <w:r w:rsidRPr="008017F0">
        <w:rPr>
          <w:rFonts w:ascii="Times New Roman" w:hAnsi="Times New Roman" w:cs="Times New Roman"/>
          <w:sz w:val="24"/>
          <w:szCs w:val="24"/>
          <w:lang w:val="en-GB"/>
        </w:rPr>
        <w:t>territoriali</w:t>
      </w:r>
      <w:proofErr w:type="spellEnd"/>
      <w:r w:rsidRPr="008017F0">
        <w:rPr>
          <w:rFonts w:ascii="Times New Roman" w:hAnsi="Times New Roman" w:cs="Times New Roman"/>
          <w:sz w:val="24"/>
          <w:szCs w:val="24"/>
          <w:lang w:val="en-GB"/>
        </w:rPr>
        <w:t xml:space="preserve"> e </w:t>
      </w:r>
      <w:proofErr w:type="spellStart"/>
      <w:r w:rsidRPr="008017F0">
        <w:rPr>
          <w:rFonts w:ascii="Times New Roman" w:hAnsi="Times New Roman" w:cs="Times New Roman"/>
          <w:sz w:val="24"/>
          <w:szCs w:val="24"/>
          <w:lang w:val="en-GB"/>
        </w:rPr>
        <w:t>l’efficienza</w:t>
      </w:r>
      <w:proofErr w:type="spellEnd"/>
      <w:r w:rsidRPr="008017F0">
        <w:rPr>
          <w:rFonts w:ascii="Times New Roman" w:hAnsi="Times New Roman" w:cs="Times New Roman"/>
          <w:sz w:val="24"/>
          <w:szCs w:val="24"/>
          <w:lang w:val="en-GB"/>
        </w:rPr>
        <w:t xml:space="preserve"> della </w:t>
      </w:r>
      <w:proofErr w:type="spellStart"/>
      <w:r w:rsidRPr="008017F0">
        <w:rPr>
          <w:rFonts w:ascii="Times New Roman" w:hAnsi="Times New Roman" w:cs="Times New Roman"/>
          <w:sz w:val="24"/>
          <w:szCs w:val="24"/>
          <w:lang w:val="en-GB"/>
        </w:rPr>
        <w:t>spesa</w:t>
      </w:r>
      <w:proofErr w:type="spellEnd"/>
      <w:r w:rsidRPr="008017F0">
        <w:rPr>
          <w:rFonts w:ascii="Times New Roman" w:hAnsi="Times New Roman" w:cs="Times New Roman"/>
          <w:sz w:val="24"/>
          <w:szCs w:val="24"/>
          <w:lang w:val="en-GB"/>
        </w:rPr>
        <w:t xml:space="preserve">, in </w:t>
      </w:r>
      <w:proofErr w:type="spellStart"/>
      <w:r w:rsidRPr="008017F0">
        <w:rPr>
          <w:rFonts w:ascii="Times New Roman" w:hAnsi="Times New Roman" w:cs="Times New Roman"/>
          <w:bCs/>
          <w:i/>
          <w:iCs/>
          <w:sz w:val="24"/>
          <w:szCs w:val="24"/>
          <w:lang w:val="en-GB"/>
        </w:rPr>
        <w:t>L'Italia</w:t>
      </w:r>
      <w:proofErr w:type="spellEnd"/>
      <w:r w:rsidRPr="008017F0">
        <w:rPr>
          <w:rFonts w:ascii="Times New Roman" w:hAnsi="Times New Roman" w:cs="Times New Roman"/>
          <w:bCs/>
          <w:i/>
          <w:iCs/>
          <w:sz w:val="24"/>
          <w:szCs w:val="24"/>
          <w:lang w:val="en-GB"/>
        </w:rPr>
        <w:t xml:space="preserve"> </w:t>
      </w:r>
      <w:proofErr w:type="spellStart"/>
      <w:r w:rsidRPr="008017F0">
        <w:rPr>
          <w:rFonts w:ascii="Times New Roman" w:hAnsi="Times New Roman" w:cs="Times New Roman"/>
          <w:bCs/>
          <w:i/>
          <w:iCs/>
          <w:sz w:val="24"/>
          <w:szCs w:val="24"/>
          <w:lang w:val="en-GB"/>
        </w:rPr>
        <w:t>nella</w:t>
      </w:r>
      <w:proofErr w:type="spellEnd"/>
      <w:r w:rsidRPr="008017F0">
        <w:rPr>
          <w:rFonts w:ascii="Times New Roman" w:hAnsi="Times New Roman" w:cs="Times New Roman"/>
          <w:bCs/>
          <w:i/>
          <w:iCs/>
          <w:sz w:val="24"/>
          <w:szCs w:val="24"/>
          <w:lang w:val="en-GB"/>
        </w:rPr>
        <w:t xml:space="preserve"> </w:t>
      </w:r>
      <w:proofErr w:type="spellStart"/>
      <w:r w:rsidRPr="008017F0">
        <w:rPr>
          <w:rFonts w:ascii="Times New Roman" w:hAnsi="Times New Roman" w:cs="Times New Roman"/>
          <w:bCs/>
          <w:i/>
          <w:iCs/>
          <w:sz w:val="24"/>
          <w:szCs w:val="24"/>
          <w:lang w:val="en-GB"/>
        </w:rPr>
        <w:t>Competizione</w:t>
      </w:r>
      <w:proofErr w:type="spellEnd"/>
      <w:r w:rsidRPr="008017F0">
        <w:rPr>
          <w:rFonts w:ascii="Times New Roman" w:hAnsi="Times New Roman" w:cs="Times New Roman"/>
          <w:bCs/>
          <w:i/>
          <w:iCs/>
          <w:sz w:val="24"/>
          <w:szCs w:val="24"/>
          <w:lang w:val="en-GB"/>
        </w:rPr>
        <w:t xml:space="preserve"> </w:t>
      </w:r>
      <w:proofErr w:type="spellStart"/>
      <w:r w:rsidRPr="008017F0">
        <w:rPr>
          <w:rFonts w:ascii="Times New Roman" w:hAnsi="Times New Roman" w:cs="Times New Roman"/>
          <w:bCs/>
          <w:i/>
          <w:iCs/>
          <w:sz w:val="24"/>
          <w:szCs w:val="24"/>
          <w:lang w:val="en-GB"/>
        </w:rPr>
        <w:t>Globale</w:t>
      </w:r>
      <w:proofErr w:type="spellEnd"/>
      <w:r w:rsidRPr="008017F0">
        <w:rPr>
          <w:rFonts w:ascii="Times New Roman" w:hAnsi="Times New Roman" w:cs="Times New Roman"/>
          <w:bCs/>
          <w:i/>
          <w:iCs/>
          <w:sz w:val="24"/>
          <w:szCs w:val="24"/>
          <w:lang w:val="en-GB"/>
        </w:rPr>
        <w:t xml:space="preserve"> - </w:t>
      </w:r>
      <w:proofErr w:type="spellStart"/>
      <w:r w:rsidRPr="008017F0">
        <w:rPr>
          <w:rFonts w:ascii="Times New Roman" w:hAnsi="Times New Roman" w:cs="Times New Roman"/>
          <w:bCs/>
          <w:i/>
          <w:iCs/>
          <w:sz w:val="24"/>
          <w:szCs w:val="24"/>
          <w:lang w:val="en-GB"/>
        </w:rPr>
        <w:t>Regole</w:t>
      </w:r>
      <w:proofErr w:type="spellEnd"/>
      <w:r w:rsidRPr="008017F0">
        <w:rPr>
          <w:rFonts w:ascii="Times New Roman" w:hAnsi="Times New Roman" w:cs="Times New Roman"/>
          <w:bCs/>
          <w:i/>
          <w:iCs/>
          <w:sz w:val="24"/>
          <w:szCs w:val="24"/>
          <w:lang w:val="en-GB"/>
        </w:rPr>
        <w:t xml:space="preserve"> per il Mercato</w:t>
      </w:r>
      <w:r w:rsidRPr="008017F0">
        <w:rPr>
          <w:rFonts w:ascii="Times New Roman" w:hAnsi="Times New Roman" w:cs="Times New Roman"/>
          <w:bCs/>
          <w:sz w:val="24"/>
          <w:szCs w:val="24"/>
          <w:lang w:val="en-GB"/>
        </w:rPr>
        <w:t xml:space="preserve">, </w:t>
      </w:r>
      <w:proofErr w:type="spellStart"/>
      <w:r w:rsidRPr="008017F0">
        <w:rPr>
          <w:rFonts w:ascii="Times New Roman" w:hAnsi="Times New Roman" w:cs="Times New Roman"/>
          <w:bCs/>
          <w:sz w:val="24"/>
          <w:szCs w:val="24"/>
          <w:lang w:val="en-GB"/>
        </w:rPr>
        <w:t>Baldassarri</w:t>
      </w:r>
      <w:proofErr w:type="spellEnd"/>
      <w:r w:rsidRPr="008017F0">
        <w:rPr>
          <w:rFonts w:ascii="Times New Roman" w:hAnsi="Times New Roman" w:cs="Times New Roman"/>
          <w:bCs/>
          <w:sz w:val="24"/>
          <w:szCs w:val="24"/>
          <w:lang w:val="en-GB"/>
        </w:rPr>
        <w:t xml:space="preserve"> M., Galli G., Piga G. (eds), </w:t>
      </w:r>
      <w:proofErr w:type="spellStart"/>
      <w:r w:rsidRPr="008017F0">
        <w:rPr>
          <w:rFonts w:ascii="Times New Roman" w:hAnsi="Times New Roman" w:cs="Times New Roman"/>
          <w:bCs/>
          <w:sz w:val="24"/>
          <w:szCs w:val="24"/>
          <w:lang w:val="en-GB"/>
        </w:rPr>
        <w:t>Edizioni</w:t>
      </w:r>
      <w:proofErr w:type="spellEnd"/>
      <w:r w:rsidRPr="008017F0">
        <w:rPr>
          <w:rFonts w:ascii="Times New Roman" w:hAnsi="Times New Roman" w:cs="Times New Roman"/>
          <w:bCs/>
          <w:sz w:val="24"/>
          <w:szCs w:val="24"/>
          <w:lang w:val="en-GB"/>
        </w:rPr>
        <w:t xml:space="preserve"> Il Sole 24 Ore.</w:t>
      </w:r>
    </w:p>
    <w:p w14:paraId="4D5314FF" w14:textId="77777777" w:rsidR="00CB56CD" w:rsidRPr="008017F0" w:rsidRDefault="00CB56CD" w:rsidP="00CB56CD">
      <w:pPr>
        <w:spacing w:after="0" w:line="240" w:lineRule="auto"/>
        <w:ind w:left="567" w:hanging="567"/>
        <w:jc w:val="both"/>
        <w:rPr>
          <w:rFonts w:ascii="Times New Roman" w:hAnsi="Times New Roman" w:cs="Times New Roman"/>
          <w:sz w:val="24"/>
          <w:szCs w:val="24"/>
          <w:lang w:val="en-GB"/>
        </w:rPr>
      </w:pPr>
      <w:r w:rsidRPr="008017F0">
        <w:rPr>
          <w:rFonts w:ascii="Times New Roman" w:hAnsi="Times New Roman" w:cs="Times New Roman"/>
          <w:sz w:val="24"/>
          <w:szCs w:val="24"/>
          <w:lang w:val="en-GB"/>
        </w:rPr>
        <w:t xml:space="preserve">Sturm J.-E., Jacobs J., Groote P. (1995). Productivity impacts of infrastructure investment in the Netherlands 1853-1913. </w:t>
      </w:r>
      <w:r w:rsidRPr="008017F0">
        <w:rPr>
          <w:rFonts w:ascii="Times New Roman" w:hAnsi="Times New Roman" w:cs="Times New Roman"/>
          <w:i/>
          <w:iCs/>
          <w:sz w:val="24"/>
          <w:szCs w:val="24"/>
          <w:lang w:val="en-GB"/>
        </w:rPr>
        <w:t>Research Institute SOM (Systems, Organisations and Management) Research Report</w:t>
      </w:r>
      <w:r w:rsidRPr="008017F0">
        <w:rPr>
          <w:rFonts w:ascii="Times New Roman" w:hAnsi="Times New Roman" w:cs="Times New Roman"/>
          <w:sz w:val="24"/>
          <w:szCs w:val="24"/>
          <w:lang w:val="en-GB"/>
        </w:rPr>
        <w:t>, University of Groningen, 95D3.</w:t>
      </w:r>
    </w:p>
    <w:p w14:paraId="099BC76D" w14:textId="77777777" w:rsidR="00CB56CD" w:rsidRPr="000336FE" w:rsidRDefault="00CB56CD" w:rsidP="00CB56CD">
      <w:pPr>
        <w:autoSpaceDE w:val="0"/>
        <w:autoSpaceDN w:val="0"/>
        <w:adjustRightInd w:val="0"/>
        <w:spacing w:after="0" w:line="240" w:lineRule="auto"/>
        <w:ind w:left="567" w:hanging="567"/>
        <w:jc w:val="both"/>
        <w:rPr>
          <w:rFonts w:ascii="Times New Roman" w:eastAsia="Yu Gothic Light" w:hAnsi="Times New Roman" w:cs="Times New Roman"/>
          <w:b/>
          <w:szCs w:val="32"/>
          <w:lang w:val="en-GB"/>
        </w:rPr>
      </w:pPr>
      <w:r w:rsidRPr="008017F0">
        <w:rPr>
          <w:rFonts w:ascii="Times New Roman" w:hAnsi="Times New Roman" w:cs="Times New Roman"/>
          <w:sz w:val="24"/>
          <w:szCs w:val="24"/>
          <w:lang w:val="en-GB"/>
        </w:rPr>
        <w:t xml:space="preserve">World Bank, (1994). Infrastructure for development. </w:t>
      </w:r>
      <w:r w:rsidRPr="008017F0">
        <w:rPr>
          <w:rFonts w:ascii="Times New Roman" w:hAnsi="Times New Roman" w:cs="Times New Roman"/>
          <w:i/>
          <w:iCs/>
          <w:sz w:val="24"/>
          <w:szCs w:val="24"/>
          <w:lang w:val="en-GB"/>
        </w:rPr>
        <w:t>World Development Report</w:t>
      </w:r>
      <w:r w:rsidRPr="008017F0">
        <w:rPr>
          <w:rFonts w:ascii="Times New Roman" w:hAnsi="Times New Roman" w:cs="Times New Roman"/>
          <w:sz w:val="24"/>
          <w:szCs w:val="24"/>
          <w:lang w:val="en-GB"/>
        </w:rPr>
        <w:t>.</w:t>
      </w:r>
    </w:p>
    <w:p w14:paraId="09E3AE51" w14:textId="77777777" w:rsidR="00B3623E" w:rsidRPr="000336FE" w:rsidRDefault="00B3623E" w:rsidP="002A306E">
      <w:pPr>
        <w:spacing w:after="0" w:line="360" w:lineRule="auto"/>
        <w:jc w:val="both"/>
        <w:rPr>
          <w:rFonts w:ascii="Times New Roman" w:hAnsi="Times New Roman" w:cs="Times New Roman"/>
          <w:b/>
          <w:sz w:val="24"/>
          <w:szCs w:val="24"/>
          <w:lang w:val="en-GB"/>
        </w:rPr>
      </w:pPr>
    </w:p>
    <w:sectPr w:rsidR="00B3623E" w:rsidRPr="000336F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D0F890" w14:textId="77777777" w:rsidR="0068640F" w:rsidRDefault="0068640F" w:rsidP="009C792C">
      <w:pPr>
        <w:spacing w:after="0" w:line="240" w:lineRule="auto"/>
      </w:pPr>
      <w:r>
        <w:separator/>
      </w:r>
    </w:p>
  </w:endnote>
  <w:endnote w:type="continuationSeparator" w:id="0">
    <w:p w14:paraId="5C9254AE" w14:textId="77777777" w:rsidR="0068640F" w:rsidRDefault="0068640F" w:rsidP="009C7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EC Square Sans Pro Medium">
    <w:altName w:val="Calibri"/>
    <w:panose1 w:val="020B06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Corpo)">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01152152"/>
      <w:docPartObj>
        <w:docPartGallery w:val="Page Numbers (Bottom of Page)"/>
        <w:docPartUnique/>
      </w:docPartObj>
    </w:sdtPr>
    <w:sdtContent>
      <w:p w14:paraId="20D1DF13" w14:textId="77777777" w:rsidR="005D02F6" w:rsidRDefault="005D02F6">
        <w:pPr>
          <w:pStyle w:val="Pidipagina"/>
          <w:jc w:val="center"/>
        </w:pPr>
        <w:r>
          <w:fldChar w:fldCharType="begin"/>
        </w:r>
        <w:r>
          <w:instrText>PAGE   \* MERGEFORMAT</w:instrText>
        </w:r>
        <w:r>
          <w:fldChar w:fldCharType="separate"/>
        </w:r>
        <w:r>
          <w:rPr>
            <w:noProof/>
          </w:rPr>
          <w:t>4</w:t>
        </w:r>
        <w:r>
          <w:fldChar w:fldCharType="end"/>
        </w:r>
      </w:p>
    </w:sdtContent>
  </w:sdt>
  <w:p w14:paraId="2E67B272" w14:textId="77777777" w:rsidR="005D02F6" w:rsidRDefault="005D02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1F3146" w14:textId="77777777" w:rsidR="0068640F" w:rsidRDefault="0068640F" w:rsidP="009C792C">
      <w:pPr>
        <w:spacing w:after="0" w:line="240" w:lineRule="auto"/>
      </w:pPr>
      <w:r>
        <w:separator/>
      </w:r>
    </w:p>
  </w:footnote>
  <w:footnote w:type="continuationSeparator" w:id="0">
    <w:p w14:paraId="530392C8" w14:textId="77777777" w:rsidR="0068640F" w:rsidRDefault="0068640F" w:rsidP="009C792C">
      <w:pPr>
        <w:spacing w:after="0" w:line="240" w:lineRule="auto"/>
      </w:pPr>
      <w:r>
        <w:continuationSeparator/>
      </w:r>
    </w:p>
  </w:footnote>
  <w:footnote w:id="1">
    <w:p w14:paraId="04D5D8E1" w14:textId="59ADB453" w:rsidR="003D4369" w:rsidRPr="008D5194" w:rsidRDefault="003D4369" w:rsidP="003D4369">
      <w:pPr>
        <w:pStyle w:val="Testonotaapidipagina"/>
        <w:jc w:val="both"/>
        <w:rPr>
          <w:rFonts w:ascii="Times New Roman" w:hAnsi="Times New Roman" w:cs="Times New Roman"/>
        </w:rPr>
      </w:pPr>
      <w:r w:rsidRPr="008D5194">
        <w:rPr>
          <w:rStyle w:val="Rimandonotaapidipagina"/>
          <w:rFonts w:ascii="Times New Roman" w:hAnsi="Times New Roman" w:cs="Times New Roman"/>
        </w:rPr>
        <w:footnoteRef/>
      </w:r>
      <w:r w:rsidRPr="008D5194">
        <w:rPr>
          <w:rFonts w:ascii="Times New Roman" w:hAnsi="Times New Roman" w:cs="Times New Roman"/>
        </w:rPr>
        <w:t xml:space="preserve"> </w:t>
      </w:r>
      <w:proofErr w:type="spellStart"/>
      <w:r w:rsidRPr="008D5194">
        <w:rPr>
          <w:rFonts w:ascii="Times New Roman" w:eastAsiaTheme="minorHAnsi" w:hAnsi="Times New Roman" w:cs="Times New Roman"/>
          <w:color w:val="000000"/>
          <w14:ligatures w14:val="standardContextual"/>
        </w:rPr>
        <w:t>We</w:t>
      </w:r>
      <w:proofErr w:type="spellEnd"/>
      <w:r w:rsidRPr="008D5194">
        <w:rPr>
          <w:rFonts w:ascii="Times New Roman" w:eastAsiaTheme="minorHAnsi" w:hAnsi="Times New Roman" w:cs="Times New Roman"/>
          <w:color w:val="000000"/>
          <w14:ligatures w14:val="standardContextual"/>
        </w:rPr>
        <w:t xml:space="preserve"> </w:t>
      </w:r>
      <w:proofErr w:type="spellStart"/>
      <w:r w:rsidRPr="008D5194">
        <w:rPr>
          <w:rFonts w:ascii="Times New Roman" w:eastAsiaTheme="minorHAnsi" w:hAnsi="Times New Roman" w:cs="Times New Roman"/>
          <w:color w:val="000000"/>
          <w14:ligatures w14:val="standardContextual"/>
        </w:rPr>
        <w:t>exclude</w:t>
      </w:r>
      <w:proofErr w:type="spellEnd"/>
      <w:r w:rsidRPr="008D5194">
        <w:rPr>
          <w:rFonts w:ascii="Times New Roman" w:eastAsiaTheme="minorHAnsi" w:hAnsi="Times New Roman" w:cs="Times New Roman"/>
          <w:color w:val="000000"/>
          <w14:ligatures w14:val="standardContextual"/>
        </w:rPr>
        <w:t xml:space="preserve"> the </w:t>
      </w:r>
      <w:proofErr w:type="spellStart"/>
      <w:r w:rsidRPr="008D5194">
        <w:rPr>
          <w:rFonts w:ascii="Times New Roman" w:eastAsiaTheme="minorHAnsi" w:hAnsi="Times New Roman" w:cs="Times New Roman"/>
          <w:color w:val="000000"/>
          <w14:ligatures w14:val="standardContextual"/>
        </w:rPr>
        <w:t>sectors</w:t>
      </w:r>
      <w:proofErr w:type="spellEnd"/>
      <w:r w:rsidRPr="008D5194">
        <w:rPr>
          <w:rFonts w:ascii="Times New Roman" w:eastAsiaTheme="minorHAnsi" w:hAnsi="Times New Roman" w:cs="Times New Roman"/>
          <w:color w:val="000000"/>
          <w14:ligatures w14:val="standardContextual"/>
        </w:rPr>
        <w:t xml:space="preserve"> </w:t>
      </w:r>
      <w:proofErr w:type="spellStart"/>
      <w:r w:rsidRPr="008D5194">
        <w:rPr>
          <w:rFonts w:ascii="Times New Roman" w:eastAsiaTheme="minorHAnsi" w:hAnsi="Times New Roman" w:cs="Times New Roman"/>
          <w:color w:val="000000"/>
          <w14:ligatures w14:val="standardContextual"/>
        </w:rPr>
        <w:t>not</w:t>
      </w:r>
      <w:proofErr w:type="spellEnd"/>
      <w:r w:rsidRPr="008D5194">
        <w:rPr>
          <w:rFonts w:ascii="Times New Roman" w:eastAsiaTheme="minorHAnsi" w:hAnsi="Times New Roman" w:cs="Times New Roman"/>
          <w:color w:val="000000"/>
          <w14:ligatures w14:val="standardContextual"/>
        </w:rPr>
        <w:t xml:space="preserve"> </w:t>
      </w:r>
      <w:proofErr w:type="spellStart"/>
      <w:r w:rsidRPr="008D5194">
        <w:rPr>
          <w:rFonts w:ascii="Times New Roman" w:eastAsiaTheme="minorHAnsi" w:hAnsi="Times New Roman" w:cs="Times New Roman"/>
          <w:color w:val="000000"/>
          <w14:ligatures w14:val="standardContextual"/>
        </w:rPr>
        <w:t>covered</w:t>
      </w:r>
      <w:proofErr w:type="spellEnd"/>
      <w:r w:rsidRPr="008D5194">
        <w:rPr>
          <w:rFonts w:ascii="Times New Roman" w:eastAsiaTheme="minorHAnsi" w:hAnsi="Times New Roman" w:cs="Times New Roman"/>
          <w:color w:val="000000"/>
          <w14:ligatures w14:val="standardContextual"/>
        </w:rPr>
        <w:t xml:space="preserve"> by the </w:t>
      </w:r>
      <w:proofErr w:type="spellStart"/>
      <w:r w:rsidRPr="008D5194">
        <w:rPr>
          <w:rFonts w:ascii="Times New Roman" w:eastAsiaTheme="minorHAnsi" w:hAnsi="Times New Roman" w:cs="Times New Roman"/>
          <w:color w:val="000000"/>
          <w14:ligatures w14:val="standardContextual"/>
        </w:rPr>
        <w:t>infrastructure</w:t>
      </w:r>
      <w:proofErr w:type="spellEnd"/>
      <w:r w:rsidRPr="008D5194">
        <w:rPr>
          <w:rFonts w:ascii="Times New Roman" w:eastAsiaTheme="minorHAnsi" w:hAnsi="Times New Roman" w:cs="Times New Roman"/>
          <w:color w:val="000000"/>
          <w14:ligatures w14:val="standardContextual"/>
        </w:rPr>
        <w:t xml:space="preserve"> index in </w:t>
      </w:r>
      <w:proofErr w:type="spellStart"/>
      <w:r w:rsidRPr="008D5194">
        <w:rPr>
          <w:rFonts w:ascii="Times New Roman" w:eastAsiaTheme="minorHAnsi" w:hAnsi="Times New Roman" w:cs="Times New Roman"/>
          <w:color w:val="000000"/>
          <w14:ligatures w14:val="standardContextual"/>
        </w:rPr>
        <w:t>physical</w:t>
      </w:r>
      <w:proofErr w:type="spellEnd"/>
      <w:r w:rsidRPr="008D5194">
        <w:rPr>
          <w:rFonts w:ascii="Times New Roman" w:eastAsiaTheme="minorHAnsi" w:hAnsi="Times New Roman" w:cs="Times New Roman"/>
          <w:color w:val="000000"/>
          <w14:ligatures w14:val="standardContextual"/>
        </w:rPr>
        <w:t xml:space="preserve"> </w:t>
      </w:r>
      <w:proofErr w:type="spellStart"/>
      <w:r w:rsidRPr="008D5194">
        <w:rPr>
          <w:rFonts w:ascii="Times New Roman" w:eastAsiaTheme="minorHAnsi" w:hAnsi="Times New Roman" w:cs="Times New Roman"/>
          <w:color w:val="000000"/>
          <w14:ligatures w14:val="standardContextual"/>
        </w:rPr>
        <w:t>terms</w:t>
      </w:r>
      <w:proofErr w:type="spellEnd"/>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Amministrazione Generale</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Difesa</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Sicurezza pubblica</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Giustizia</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Formazione</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Ricerca e Sviluppo</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Interventi in campo sociale (assistenza e beneficenza)</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Ambiente</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Lavoro</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Previdenza e Integrazioni Salariali</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Pesca marittima e Acquicoltura</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Turismo</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Commercio</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Industria e Artigianato</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Altre opere pubbliche</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Altre in campo economico</w:t>
      </w:r>
      <w:r w:rsidRPr="008D5194">
        <w:rPr>
          <w:rFonts w:ascii="Times New Roman" w:eastAsiaTheme="minorHAnsi" w:hAnsi="Times New Roman" w:cs="Times New Roman"/>
          <w:color w:val="000000"/>
          <w14:ligatures w14:val="standardContextual"/>
        </w:rPr>
        <w:t xml:space="preserve">; </w:t>
      </w:r>
      <w:r w:rsidRPr="008D5194">
        <w:rPr>
          <w:rFonts w:ascii="Times New Roman" w:eastAsiaTheme="minorHAnsi" w:hAnsi="Times New Roman" w:cs="Times New Roman"/>
          <w:i/>
          <w:iCs/>
          <w:color w:val="000000"/>
          <w14:ligatures w14:val="standardContextual"/>
        </w:rPr>
        <w:t>Oneri non ripartibili</w:t>
      </w:r>
      <w:r w:rsidRPr="008D5194">
        <w:rPr>
          <w:rFonts w:ascii="Times New Roman" w:eastAsiaTheme="minorHAnsi" w:hAnsi="Times New Roman" w:cs="Times New Roman"/>
          <w:color w:val="FB0007"/>
          <w14:ligatures w14:val="standardContextual"/>
        </w:rPr>
        <w:t>.</w:t>
      </w:r>
    </w:p>
  </w:footnote>
  <w:footnote w:id="2">
    <w:p w14:paraId="6B36A5D6" w14:textId="7CCDEF3C" w:rsidR="00AF0BA3" w:rsidRPr="00D24820" w:rsidRDefault="00AF0BA3" w:rsidP="00AF0BA3">
      <w:pPr>
        <w:pStyle w:val="Testonotaapidipagina"/>
        <w:jc w:val="both"/>
        <w:rPr>
          <w:rFonts w:ascii="Times New Roman" w:hAnsi="Times New Roman" w:cs="Times New Roman"/>
          <w:lang w:val="en-US"/>
        </w:rPr>
      </w:pPr>
      <w:r w:rsidRPr="00245F08">
        <w:rPr>
          <w:rStyle w:val="Rimandonotaapidipagina"/>
          <w:rFonts w:ascii="Times New Roman" w:hAnsi="Times New Roman" w:cs="Times New Roman"/>
        </w:rPr>
        <w:footnoteRef/>
      </w:r>
      <w:r w:rsidRPr="00D24820">
        <w:rPr>
          <w:rFonts w:ascii="Times New Roman" w:hAnsi="Times New Roman" w:cs="Times New Roman"/>
          <w:lang w:val="en-US"/>
        </w:rPr>
        <w:t xml:space="preserve"> </w:t>
      </w:r>
      <w:r w:rsidRPr="00245F08">
        <w:rPr>
          <w:rFonts w:ascii="Times New Roman" w:hAnsi="Times New Roman" w:cs="Times New Roman"/>
          <w:lang w:val="en-GB"/>
        </w:rPr>
        <w:t xml:space="preserve">Sources and further information for these variables are provided in </w:t>
      </w:r>
      <w:r w:rsidRPr="0052403B">
        <w:rPr>
          <w:rFonts w:ascii="Times New Roman" w:hAnsi="Times New Roman" w:cs="Times New Roman"/>
          <w:lang w:val="en-GB"/>
        </w:rPr>
        <w:t xml:space="preserve">Table </w:t>
      </w:r>
      <w:r w:rsidR="00892F5D">
        <w:rPr>
          <w:rFonts w:ascii="Times New Roman" w:hAnsi="Times New Roman" w:cs="Times New Roman"/>
          <w:lang w:val="en-GB"/>
        </w:rPr>
        <w:t>A11</w:t>
      </w:r>
      <w:r w:rsidRPr="0052403B">
        <w:rPr>
          <w:rFonts w:ascii="Times New Roman" w:hAnsi="Times New Roman" w:cs="Times New Roman"/>
          <w:lang w:val="en-GB"/>
        </w:rPr>
        <w:t>.</w:t>
      </w:r>
    </w:p>
  </w:footnote>
  <w:footnote w:id="3">
    <w:p w14:paraId="2A84FBAE" w14:textId="77777777" w:rsidR="00AF0BA3" w:rsidRPr="006D175D" w:rsidRDefault="00AF0BA3" w:rsidP="00AF0BA3">
      <w:pPr>
        <w:pStyle w:val="Testonotaapidipagina"/>
        <w:jc w:val="both"/>
        <w:rPr>
          <w:rFonts w:ascii="Times New Roman" w:hAnsi="Times New Roman" w:cs="Times New Roman"/>
          <w:lang w:val="en-US"/>
        </w:rPr>
      </w:pPr>
      <w:r w:rsidRPr="006D175D">
        <w:rPr>
          <w:rStyle w:val="Rimandonotaapidipagina"/>
          <w:rFonts w:ascii="Times New Roman" w:hAnsi="Times New Roman" w:cs="Times New Roman"/>
        </w:rPr>
        <w:footnoteRef/>
      </w:r>
      <w:r w:rsidRPr="006D175D">
        <w:rPr>
          <w:rFonts w:ascii="Times New Roman" w:hAnsi="Times New Roman" w:cs="Times New Roman"/>
          <w:lang w:val="en-US"/>
        </w:rPr>
        <w:t xml:space="preserve"> </w:t>
      </w:r>
      <w:r w:rsidRPr="006D175D">
        <w:rPr>
          <w:rFonts w:ascii="Times New Roman" w:hAnsi="Times New Roman" w:cs="Times New Roman"/>
          <w:lang w:val="en-GB"/>
        </w:rPr>
        <w:t>The adoption of a GMM Arellano-Bond set-up was not deemed as appropriate given the relatively low number of our cross-section units and the relatively high number of time periods in our sample (see Attanasio et al., 2000).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53387"/>
    <w:multiLevelType w:val="hybridMultilevel"/>
    <w:tmpl w:val="66D8E6C6"/>
    <w:lvl w:ilvl="0" w:tplc="35404F7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701B5F"/>
    <w:multiLevelType w:val="hybridMultilevel"/>
    <w:tmpl w:val="6DF4B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247C36"/>
    <w:multiLevelType w:val="hybridMultilevel"/>
    <w:tmpl w:val="0FE2D15A"/>
    <w:lvl w:ilvl="0" w:tplc="42F6594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7B0909"/>
    <w:multiLevelType w:val="hybridMultilevel"/>
    <w:tmpl w:val="6DF4B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BF0284"/>
    <w:multiLevelType w:val="hybridMultilevel"/>
    <w:tmpl w:val="FFD67F7C"/>
    <w:lvl w:ilvl="0" w:tplc="7B5E49D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F76CF0"/>
    <w:multiLevelType w:val="multilevel"/>
    <w:tmpl w:val="0410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Titolo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5576FA3"/>
    <w:multiLevelType w:val="multilevel"/>
    <w:tmpl w:val="41A49D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AB5083"/>
    <w:multiLevelType w:val="hybridMultilevel"/>
    <w:tmpl w:val="6DF4B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9E510F"/>
    <w:multiLevelType w:val="multilevel"/>
    <w:tmpl w:val="0040193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34E1E32"/>
    <w:multiLevelType w:val="hybridMultilevel"/>
    <w:tmpl w:val="48344F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4C4A45"/>
    <w:multiLevelType w:val="hybridMultilevel"/>
    <w:tmpl w:val="6332D9F8"/>
    <w:lvl w:ilvl="0" w:tplc="75A244C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9CF6CD6"/>
    <w:multiLevelType w:val="multilevel"/>
    <w:tmpl w:val="4956E9D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3B462482"/>
    <w:multiLevelType w:val="hybridMultilevel"/>
    <w:tmpl w:val="6DF4B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BA2C05"/>
    <w:multiLevelType w:val="hybridMultilevel"/>
    <w:tmpl w:val="3EDE4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9C681E"/>
    <w:multiLevelType w:val="multilevel"/>
    <w:tmpl w:val="445253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3E30DE"/>
    <w:multiLevelType w:val="hybridMultilevel"/>
    <w:tmpl w:val="0FCEC9AE"/>
    <w:lvl w:ilvl="0" w:tplc="42F6594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4636B4"/>
    <w:multiLevelType w:val="hybridMultilevel"/>
    <w:tmpl w:val="8C4811BA"/>
    <w:lvl w:ilvl="0" w:tplc="E6200C1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3444FAB"/>
    <w:multiLevelType w:val="hybridMultilevel"/>
    <w:tmpl w:val="76B0C1AC"/>
    <w:lvl w:ilvl="0" w:tplc="F566CBA0">
      <w:start w:val="1"/>
      <w:numFmt w:val="bullet"/>
      <w:lvlText w:val="-"/>
      <w:lvlJc w:val="left"/>
      <w:pPr>
        <w:ind w:left="720" w:hanging="360"/>
      </w:pPr>
      <w:rPr>
        <w:rFonts w:ascii="Calibri" w:eastAsiaTheme="minorHAnsi" w:hAnsi="Calibri" w:cs="Calibri"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4C554C"/>
    <w:multiLevelType w:val="hybridMultilevel"/>
    <w:tmpl w:val="B5949CC6"/>
    <w:lvl w:ilvl="0" w:tplc="D0B65228">
      <w:start w:val="1"/>
      <w:numFmt w:val="decimal"/>
      <w:pStyle w:val="RSEGTIT"/>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85E706B"/>
    <w:multiLevelType w:val="multilevel"/>
    <w:tmpl w:val="97C87D9C"/>
    <w:lvl w:ilvl="0">
      <w:start w:val="2"/>
      <w:numFmt w:val="decimal"/>
      <w:lvlText w:val="%1"/>
      <w:lvlJc w:val="left"/>
      <w:pPr>
        <w:ind w:left="432" w:hanging="432"/>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D4765C8"/>
    <w:multiLevelType w:val="hybridMultilevel"/>
    <w:tmpl w:val="CAC6CB18"/>
    <w:lvl w:ilvl="0" w:tplc="1026E4E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EDF0EE7"/>
    <w:multiLevelType w:val="hybridMultilevel"/>
    <w:tmpl w:val="614CF6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5C4463"/>
    <w:multiLevelType w:val="hybridMultilevel"/>
    <w:tmpl w:val="CA663786"/>
    <w:lvl w:ilvl="0" w:tplc="D30CEC96">
      <w:start w:val="1"/>
      <w:numFmt w:val="upperLetter"/>
      <w:lvlText w:val="%1."/>
      <w:lvlJc w:val="left"/>
      <w:pPr>
        <w:ind w:left="720" w:hanging="360"/>
      </w:pPr>
      <w:rPr>
        <w:rFonts w:ascii="Verdana" w:hAnsi="Verdana" w:cstheme="minorBidi" w:hint="default"/>
        <w:color w:val="212121"/>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893530B"/>
    <w:multiLevelType w:val="hybridMultilevel"/>
    <w:tmpl w:val="27BE221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A6A7028"/>
    <w:multiLevelType w:val="hybridMultilevel"/>
    <w:tmpl w:val="6DF4B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406D0D"/>
    <w:multiLevelType w:val="multilevel"/>
    <w:tmpl w:val="94D071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435148"/>
    <w:multiLevelType w:val="hybridMultilevel"/>
    <w:tmpl w:val="90BACC10"/>
    <w:lvl w:ilvl="0" w:tplc="E6200C1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0BA0989"/>
    <w:multiLevelType w:val="multilevel"/>
    <w:tmpl w:val="74F0B7D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1"/>
      <w:lvlJc w:val="left"/>
      <w:pPr>
        <w:ind w:left="36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52F06F2"/>
    <w:multiLevelType w:val="hybridMultilevel"/>
    <w:tmpl w:val="8BB65134"/>
    <w:lvl w:ilvl="0" w:tplc="42F6594A">
      <w:numFmt w:val="bullet"/>
      <w:lvlText w:val="-"/>
      <w:lvlJc w:val="left"/>
      <w:pPr>
        <w:ind w:left="720" w:hanging="360"/>
      </w:pPr>
      <w:rPr>
        <w:rFonts w:ascii="Calibri" w:eastAsia="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9483DBA"/>
    <w:multiLevelType w:val="multilevel"/>
    <w:tmpl w:val="831EB49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CE0211C"/>
    <w:multiLevelType w:val="hybridMultilevel"/>
    <w:tmpl w:val="5ED8159C"/>
    <w:lvl w:ilvl="0" w:tplc="1026E4E4">
      <w:numFmt w:val="bullet"/>
      <w:lvlText w:val="-"/>
      <w:lvlJc w:val="left"/>
      <w:pPr>
        <w:ind w:left="720" w:hanging="360"/>
      </w:pPr>
      <w:rPr>
        <w:rFonts w:ascii="Calibri" w:eastAsia="Calibri" w:hAnsi="Calibri" w:cs="Calibr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D674EAF"/>
    <w:multiLevelType w:val="hybridMultilevel"/>
    <w:tmpl w:val="6DF4B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3A258E5"/>
    <w:multiLevelType w:val="multilevel"/>
    <w:tmpl w:val="FE9C68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E860AC"/>
    <w:multiLevelType w:val="hybridMultilevel"/>
    <w:tmpl w:val="6DF4BB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12177094">
    <w:abstractNumId w:val="5"/>
  </w:num>
  <w:num w:numId="2" w16cid:durableId="1900938594">
    <w:abstractNumId w:val="18"/>
  </w:num>
  <w:num w:numId="3" w16cid:durableId="983124107">
    <w:abstractNumId w:val="4"/>
  </w:num>
  <w:num w:numId="4" w16cid:durableId="1765414582">
    <w:abstractNumId w:val="2"/>
  </w:num>
  <w:num w:numId="5" w16cid:durableId="448427500">
    <w:abstractNumId w:val="11"/>
  </w:num>
  <w:num w:numId="6" w16cid:durableId="603270971">
    <w:abstractNumId w:val="8"/>
  </w:num>
  <w:num w:numId="7" w16cid:durableId="108012194">
    <w:abstractNumId w:val="32"/>
  </w:num>
  <w:num w:numId="8" w16cid:durableId="633943662">
    <w:abstractNumId w:val="14"/>
  </w:num>
  <w:num w:numId="9" w16cid:durableId="1578976223">
    <w:abstractNumId w:val="21"/>
  </w:num>
  <w:num w:numId="10" w16cid:durableId="1882092652">
    <w:abstractNumId w:val="15"/>
  </w:num>
  <w:num w:numId="11" w16cid:durableId="961614982">
    <w:abstractNumId w:val="30"/>
  </w:num>
  <w:num w:numId="12" w16cid:durableId="1002124367">
    <w:abstractNumId w:val="23"/>
  </w:num>
  <w:num w:numId="13" w16cid:durableId="12853399">
    <w:abstractNumId w:val="28"/>
  </w:num>
  <w:num w:numId="14" w16cid:durableId="3946520">
    <w:abstractNumId w:val="17"/>
  </w:num>
  <w:num w:numId="15" w16cid:durableId="28575495">
    <w:abstractNumId w:val="0"/>
  </w:num>
  <w:num w:numId="16" w16cid:durableId="1039353723">
    <w:abstractNumId w:val="20"/>
  </w:num>
  <w:num w:numId="17" w16cid:durableId="266500489">
    <w:abstractNumId w:val="19"/>
  </w:num>
  <w:num w:numId="18" w16cid:durableId="37125826">
    <w:abstractNumId w:val="27"/>
  </w:num>
  <w:num w:numId="19" w16cid:durableId="1002706278">
    <w:abstractNumId w:val="6"/>
  </w:num>
  <w:num w:numId="20" w16cid:durableId="668214036">
    <w:abstractNumId w:val="29"/>
  </w:num>
  <w:num w:numId="21" w16cid:durableId="937717504">
    <w:abstractNumId w:val="25"/>
  </w:num>
  <w:num w:numId="22" w16cid:durableId="1417046284">
    <w:abstractNumId w:val="26"/>
  </w:num>
  <w:num w:numId="23" w16cid:durableId="1110202919">
    <w:abstractNumId w:val="33"/>
  </w:num>
  <w:num w:numId="24" w16cid:durableId="986323199">
    <w:abstractNumId w:val="13"/>
  </w:num>
  <w:num w:numId="25" w16cid:durableId="694502276">
    <w:abstractNumId w:val="9"/>
  </w:num>
  <w:num w:numId="26" w16cid:durableId="183518640">
    <w:abstractNumId w:val="16"/>
  </w:num>
  <w:num w:numId="27" w16cid:durableId="1358115611">
    <w:abstractNumId w:val="1"/>
  </w:num>
  <w:num w:numId="28" w16cid:durableId="1251616904">
    <w:abstractNumId w:val="31"/>
  </w:num>
  <w:num w:numId="29" w16cid:durableId="1499884770">
    <w:abstractNumId w:val="3"/>
  </w:num>
  <w:num w:numId="30" w16cid:durableId="1396322914">
    <w:abstractNumId w:val="12"/>
  </w:num>
  <w:num w:numId="31" w16cid:durableId="1925335923">
    <w:abstractNumId w:val="7"/>
  </w:num>
  <w:num w:numId="32" w16cid:durableId="1945307052">
    <w:abstractNumId w:val="24"/>
  </w:num>
  <w:num w:numId="33" w16cid:durableId="972979813">
    <w:abstractNumId w:val="10"/>
  </w:num>
  <w:num w:numId="34" w16cid:durableId="1026104624">
    <w:abstractNumId w:val="22"/>
  </w:num>
  <w:num w:numId="35" w16cid:durableId="819081614">
    <w:abstractNumId w:val="18"/>
    <w:lvlOverride w:ilvl="0">
      <w:startOverride w:val="3"/>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95"/>
    <w:rsid w:val="000277D6"/>
    <w:rsid w:val="000336FE"/>
    <w:rsid w:val="00073C4B"/>
    <w:rsid w:val="00077A4D"/>
    <w:rsid w:val="00077BC0"/>
    <w:rsid w:val="000B00CA"/>
    <w:rsid w:val="000B32E0"/>
    <w:rsid w:val="000B6D9F"/>
    <w:rsid w:val="000C1C80"/>
    <w:rsid w:val="000C77E8"/>
    <w:rsid w:val="000E694A"/>
    <w:rsid w:val="00102A36"/>
    <w:rsid w:val="00120F3A"/>
    <w:rsid w:val="00161201"/>
    <w:rsid w:val="00192B91"/>
    <w:rsid w:val="001A02BD"/>
    <w:rsid w:val="001A4241"/>
    <w:rsid w:val="001A67E7"/>
    <w:rsid w:val="00293596"/>
    <w:rsid w:val="00294613"/>
    <w:rsid w:val="002972B5"/>
    <w:rsid w:val="002A1A3A"/>
    <w:rsid w:val="002A306E"/>
    <w:rsid w:val="002B7ED9"/>
    <w:rsid w:val="002D634B"/>
    <w:rsid w:val="002E41F1"/>
    <w:rsid w:val="002E7DC0"/>
    <w:rsid w:val="003034B3"/>
    <w:rsid w:val="00345828"/>
    <w:rsid w:val="00375B42"/>
    <w:rsid w:val="00392831"/>
    <w:rsid w:val="003A0A74"/>
    <w:rsid w:val="003A7501"/>
    <w:rsid w:val="003C2EEA"/>
    <w:rsid w:val="003D4369"/>
    <w:rsid w:val="003E27E4"/>
    <w:rsid w:val="003F2503"/>
    <w:rsid w:val="00424986"/>
    <w:rsid w:val="00424F9A"/>
    <w:rsid w:val="004362B0"/>
    <w:rsid w:val="004A11D6"/>
    <w:rsid w:val="004A478A"/>
    <w:rsid w:val="004C7289"/>
    <w:rsid w:val="004E0372"/>
    <w:rsid w:val="004F5D44"/>
    <w:rsid w:val="00513E47"/>
    <w:rsid w:val="005155FB"/>
    <w:rsid w:val="0052403B"/>
    <w:rsid w:val="00534F50"/>
    <w:rsid w:val="00542420"/>
    <w:rsid w:val="0055329C"/>
    <w:rsid w:val="00556609"/>
    <w:rsid w:val="00566ADC"/>
    <w:rsid w:val="005A043F"/>
    <w:rsid w:val="005B3B16"/>
    <w:rsid w:val="005D02F6"/>
    <w:rsid w:val="005D2469"/>
    <w:rsid w:val="005F7D94"/>
    <w:rsid w:val="00607C95"/>
    <w:rsid w:val="00670AB6"/>
    <w:rsid w:val="0068544C"/>
    <w:rsid w:val="0068640F"/>
    <w:rsid w:val="00693059"/>
    <w:rsid w:val="006A7CC4"/>
    <w:rsid w:val="006B49AE"/>
    <w:rsid w:val="006E0033"/>
    <w:rsid w:val="006F4088"/>
    <w:rsid w:val="007020E3"/>
    <w:rsid w:val="00725385"/>
    <w:rsid w:val="00732065"/>
    <w:rsid w:val="007320EE"/>
    <w:rsid w:val="00734B59"/>
    <w:rsid w:val="00766478"/>
    <w:rsid w:val="00767530"/>
    <w:rsid w:val="007A37F3"/>
    <w:rsid w:val="007A60BD"/>
    <w:rsid w:val="007B019D"/>
    <w:rsid w:val="007B593E"/>
    <w:rsid w:val="007E763A"/>
    <w:rsid w:val="007F75B6"/>
    <w:rsid w:val="008017F0"/>
    <w:rsid w:val="0080517A"/>
    <w:rsid w:val="00815141"/>
    <w:rsid w:val="00820207"/>
    <w:rsid w:val="008256FB"/>
    <w:rsid w:val="0083510A"/>
    <w:rsid w:val="00835117"/>
    <w:rsid w:val="0085632D"/>
    <w:rsid w:val="00866699"/>
    <w:rsid w:val="008914E5"/>
    <w:rsid w:val="00892F5D"/>
    <w:rsid w:val="008B27E3"/>
    <w:rsid w:val="008D5194"/>
    <w:rsid w:val="008E2BAF"/>
    <w:rsid w:val="008E7CF7"/>
    <w:rsid w:val="008F4BDB"/>
    <w:rsid w:val="00927D7B"/>
    <w:rsid w:val="009600F9"/>
    <w:rsid w:val="0097254F"/>
    <w:rsid w:val="00975947"/>
    <w:rsid w:val="009A0830"/>
    <w:rsid w:val="009C02D3"/>
    <w:rsid w:val="009C58E2"/>
    <w:rsid w:val="009C792C"/>
    <w:rsid w:val="009D3E49"/>
    <w:rsid w:val="009E61FE"/>
    <w:rsid w:val="009E7DBA"/>
    <w:rsid w:val="009F6717"/>
    <w:rsid w:val="009F75D3"/>
    <w:rsid w:val="00A05BD2"/>
    <w:rsid w:val="00A069D8"/>
    <w:rsid w:val="00A107B4"/>
    <w:rsid w:val="00A44A51"/>
    <w:rsid w:val="00A5202B"/>
    <w:rsid w:val="00A6145A"/>
    <w:rsid w:val="00A93F13"/>
    <w:rsid w:val="00A9506F"/>
    <w:rsid w:val="00AA2B9A"/>
    <w:rsid w:val="00AE0855"/>
    <w:rsid w:val="00AF0BA3"/>
    <w:rsid w:val="00B11595"/>
    <w:rsid w:val="00B12AA4"/>
    <w:rsid w:val="00B27CB3"/>
    <w:rsid w:val="00B3430D"/>
    <w:rsid w:val="00B3623E"/>
    <w:rsid w:val="00B768E9"/>
    <w:rsid w:val="00C164EF"/>
    <w:rsid w:val="00C56251"/>
    <w:rsid w:val="00CB56CD"/>
    <w:rsid w:val="00CB7AD2"/>
    <w:rsid w:val="00CC428C"/>
    <w:rsid w:val="00D1068F"/>
    <w:rsid w:val="00D30EED"/>
    <w:rsid w:val="00D31A09"/>
    <w:rsid w:val="00D54E6F"/>
    <w:rsid w:val="00D84101"/>
    <w:rsid w:val="00D967ED"/>
    <w:rsid w:val="00D97F66"/>
    <w:rsid w:val="00DB2FB8"/>
    <w:rsid w:val="00DE22F9"/>
    <w:rsid w:val="00E020E7"/>
    <w:rsid w:val="00E11289"/>
    <w:rsid w:val="00E172FF"/>
    <w:rsid w:val="00E51FBA"/>
    <w:rsid w:val="00E83DB8"/>
    <w:rsid w:val="00EE13C7"/>
    <w:rsid w:val="00F20772"/>
    <w:rsid w:val="00F26A5B"/>
    <w:rsid w:val="00F44099"/>
    <w:rsid w:val="00F454E9"/>
    <w:rsid w:val="00F91CFA"/>
    <w:rsid w:val="00FA1116"/>
    <w:rsid w:val="00FC2329"/>
    <w:rsid w:val="00FE076B"/>
    <w:rsid w:val="00FE2E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8C980"/>
  <w15:chartTrackingRefBased/>
  <w15:docId w15:val="{315F1B23-24E5-4907-84AE-F5221CF9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1595"/>
    <w:pPr>
      <w:spacing w:after="200" w:line="276" w:lineRule="auto"/>
    </w:pPr>
    <w:rPr>
      <w:rFonts w:asciiTheme="minorHAnsi" w:eastAsiaTheme="minorEastAsia" w:hAnsiTheme="minorHAnsi"/>
      <w:kern w:val="0"/>
      <w14:ligatures w14:val="none"/>
    </w:rPr>
  </w:style>
  <w:style w:type="paragraph" w:styleId="Titolo1">
    <w:name w:val="heading 1"/>
    <w:basedOn w:val="Normale"/>
    <w:next w:val="Normale"/>
    <w:link w:val="Titolo1Carattere"/>
    <w:uiPriority w:val="9"/>
    <w:qFormat/>
    <w:rsid w:val="00B1159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unhideWhenUsed/>
    <w:qFormat/>
    <w:rsid w:val="00B1159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unhideWhenUsed/>
    <w:qFormat/>
    <w:rsid w:val="00EE13C7"/>
    <w:pPr>
      <w:keepNext/>
      <w:keepLines/>
      <w:numPr>
        <w:ilvl w:val="2"/>
        <w:numId w:val="1"/>
      </w:numPr>
      <w:spacing w:before="40" w:after="0" w:line="259" w:lineRule="auto"/>
      <w:outlineLvl w:val="2"/>
    </w:pPr>
    <w:rPr>
      <w:rFonts w:ascii="Calibri" w:eastAsia="Yu Gothic Light" w:hAnsi="Calibri" w:cs="Times New Roman"/>
      <w:kern w:val="2"/>
      <w:szCs w:val="24"/>
      <w14:ligatures w14:val="standardContextual"/>
    </w:rPr>
  </w:style>
  <w:style w:type="paragraph" w:styleId="Titolo4">
    <w:name w:val="heading 4"/>
    <w:basedOn w:val="Normale"/>
    <w:next w:val="Normale"/>
    <w:link w:val="Titolo4Carattere"/>
    <w:uiPriority w:val="9"/>
    <w:unhideWhenUsed/>
    <w:qFormat/>
    <w:rsid w:val="00B11595"/>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Titolo5">
    <w:name w:val="heading 5"/>
    <w:basedOn w:val="Normale"/>
    <w:next w:val="Normale"/>
    <w:link w:val="Titolo5Carattere"/>
    <w:uiPriority w:val="9"/>
    <w:unhideWhenUsed/>
    <w:qFormat/>
    <w:rsid w:val="00B11595"/>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B1159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B1159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B1159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B1159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EE13C7"/>
    <w:rPr>
      <w:rFonts w:ascii="Calibri" w:eastAsia="Yu Gothic Light" w:hAnsi="Calibri" w:cs="Times New Roman"/>
      <w:szCs w:val="24"/>
    </w:rPr>
  </w:style>
  <w:style w:type="character" w:customStyle="1" w:styleId="Titolo1Carattere">
    <w:name w:val="Titolo 1 Carattere"/>
    <w:basedOn w:val="Carpredefinitoparagrafo"/>
    <w:link w:val="Titolo1"/>
    <w:uiPriority w:val="9"/>
    <w:rsid w:val="00B1159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B11595"/>
    <w:rPr>
      <w:rFonts w:asciiTheme="majorHAnsi" w:eastAsiaTheme="majorEastAsia" w:hAnsiTheme="majorHAnsi" w:cstheme="majorBidi"/>
      <w:color w:val="2F5496" w:themeColor="accent1" w:themeShade="BF"/>
      <w:sz w:val="32"/>
      <w:szCs w:val="32"/>
    </w:rPr>
  </w:style>
  <w:style w:type="character" w:customStyle="1" w:styleId="Titolo4Carattere">
    <w:name w:val="Titolo 4 Carattere"/>
    <w:basedOn w:val="Carpredefinitoparagrafo"/>
    <w:link w:val="Titolo4"/>
    <w:uiPriority w:val="9"/>
    <w:rsid w:val="00B11595"/>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rsid w:val="00B11595"/>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B11595"/>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B11595"/>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B11595"/>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B11595"/>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B115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B1159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1159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B11595"/>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11595"/>
    <w:pPr>
      <w:spacing w:before="160" w:after="160" w:line="259" w:lineRule="auto"/>
      <w:jc w:val="center"/>
    </w:pPr>
    <w:rPr>
      <w:rFonts w:ascii="Calibri" w:eastAsiaTheme="minorHAnsi" w:hAnsi="Calibri"/>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B11595"/>
    <w:rPr>
      <w:i/>
      <w:iCs/>
      <w:color w:val="404040" w:themeColor="text1" w:themeTint="BF"/>
    </w:rPr>
  </w:style>
  <w:style w:type="paragraph" w:styleId="Paragrafoelenco">
    <w:name w:val="List Paragraph"/>
    <w:basedOn w:val="Normale"/>
    <w:link w:val="ParagrafoelencoCarattere"/>
    <w:uiPriority w:val="34"/>
    <w:qFormat/>
    <w:rsid w:val="00B11595"/>
    <w:pPr>
      <w:spacing w:after="160" w:line="259" w:lineRule="auto"/>
      <w:ind w:left="720"/>
      <w:contextualSpacing/>
    </w:pPr>
    <w:rPr>
      <w:rFonts w:ascii="Calibri" w:eastAsiaTheme="minorHAnsi" w:hAnsi="Calibri"/>
      <w:kern w:val="2"/>
      <w14:ligatures w14:val="standardContextual"/>
    </w:rPr>
  </w:style>
  <w:style w:type="character" w:styleId="Enfasiintensa">
    <w:name w:val="Intense Emphasis"/>
    <w:basedOn w:val="Carpredefinitoparagrafo"/>
    <w:uiPriority w:val="21"/>
    <w:qFormat/>
    <w:rsid w:val="00B11595"/>
    <w:rPr>
      <w:i/>
      <w:iCs/>
      <w:color w:val="2F5496" w:themeColor="accent1" w:themeShade="BF"/>
    </w:rPr>
  </w:style>
  <w:style w:type="paragraph" w:styleId="Citazioneintensa">
    <w:name w:val="Intense Quote"/>
    <w:basedOn w:val="Normale"/>
    <w:next w:val="Normale"/>
    <w:link w:val="CitazioneintensaCarattere"/>
    <w:uiPriority w:val="30"/>
    <w:qFormat/>
    <w:rsid w:val="00B1159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Calibri" w:eastAsiaTheme="minorHAnsi" w:hAnsi="Calibri"/>
      <w:i/>
      <w:iCs/>
      <w:color w:val="2F5496"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B11595"/>
    <w:rPr>
      <w:i/>
      <w:iCs/>
      <w:color w:val="2F5496" w:themeColor="accent1" w:themeShade="BF"/>
    </w:rPr>
  </w:style>
  <w:style w:type="character" w:styleId="Riferimentointenso">
    <w:name w:val="Intense Reference"/>
    <w:basedOn w:val="Carpredefinitoparagrafo"/>
    <w:uiPriority w:val="32"/>
    <w:qFormat/>
    <w:rsid w:val="00B11595"/>
    <w:rPr>
      <w:b/>
      <w:bCs/>
      <w:smallCaps/>
      <w:color w:val="2F5496" w:themeColor="accent1" w:themeShade="BF"/>
      <w:spacing w:val="5"/>
    </w:rPr>
  </w:style>
  <w:style w:type="paragraph" w:customStyle="1" w:styleId="RSEG">
    <w:name w:val="RSEG"/>
    <w:basedOn w:val="Normale"/>
    <w:link w:val="RSEGCarattere"/>
    <w:qFormat/>
    <w:rsid w:val="00B11595"/>
    <w:pPr>
      <w:spacing w:after="0" w:line="360" w:lineRule="auto"/>
      <w:jc w:val="both"/>
    </w:pPr>
    <w:rPr>
      <w:rFonts w:ascii="Times New Roman" w:hAnsi="Times New Roman" w:cs="Times New Roman"/>
      <w:sz w:val="24"/>
      <w:szCs w:val="24"/>
      <w:lang w:val="en-GB"/>
    </w:rPr>
  </w:style>
  <w:style w:type="character" w:customStyle="1" w:styleId="RSEGCarattere">
    <w:name w:val="RSEG Carattere"/>
    <w:basedOn w:val="Carpredefinitoparagrafo"/>
    <w:link w:val="RSEG"/>
    <w:rsid w:val="00B11595"/>
    <w:rPr>
      <w:rFonts w:ascii="Times New Roman" w:eastAsiaTheme="minorEastAsia" w:hAnsi="Times New Roman" w:cs="Times New Roman"/>
      <w:kern w:val="0"/>
      <w:sz w:val="24"/>
      <w:szCs w:val="24"/>
      <w:lang w:val="en-GB"/>
      <w14:ligatures w14:val="none"/>
    </w:rPr>
  </w:style>
  <w:style w:type="paragraph" w:styleId="PreformattatoHTML">
    <w:name w:val="HTML Preformatted"/>
    <w:basedOn w:val="Normale"/>
    <w:link w:val="PreformattatoHTMLCarattere"/>
    <w:uiPriority w:val="99"/>
    <w:unhideWhenUsed/>
    <w:rsid w:val="00556609"/>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556609"/>
    <w:rPr>
      <w:rFonts w:ascii="Consolas" w:eastAsiaTheme="minorEastAsia" w:hAnsi="Consolas"/>
      <w:kern w:val="0"/>
      <w:sz w:val="20"/>
      <w:szCs w:val="20"/>
      <w14:ligatures w14:val="none"/>
    </w:rPr>
  </w:style>
  <w:style w:type="paragraph" w:customStyle="1" w:styleId="RSEGTIT">
    <w:name w:val="RSEG TIT"/>
    <w:basedOn w:val="Paragrafoelenco"/>
    <w:link w:val="RSEGTITCarattere"/>
    <w:qFormat/>
    <w:rsid w:val="00556609"/>
    <w:pPr>
      <w:numPr>
        <w:numId w:val="2"/>
      </w:numPr>
      <w:spacing w:after="0" w:line="360" w:lineRule="auto"/>
      <w:jc w:val="both"/>
    </w:pPr>
    <w:rPr>
      <w:rFonts w:ascii="Times New Roman" w:eastAsiaTheme="minorEastAsia" w:hAnsi="Times New Roman" w:cs="Times New Roman"/>
      <w:b/>
      <w:kern w:val="0"/>
      <w:sz w:val="24"/>
      <w:szCs w:val="24"/>
      <w:lang w:val="en-GB"/>
      <w14:ligatures w14:val="none"/>
    </w:rPr>
  </w:style>
  <w:style w:type="character" w:customStyle="1" w:styleId="RSEGTITCarattere">
    <w:name w:val="RSEG TIT Carattere"/>
    <w:basedOn w:val="Carpredefinitoparagrafo"/>
    <w:link w:val="RSEGTIT"/>
    <w:rsid w:val="00556609"/>
    <w:rPr>
      <w:rFonts w:ascii="Times New Roman" w:eastAsiaTheme="minorEastAsia" w:hAnsi="Times New Roman" w:cs="Times New Roman"/>
      <w:b/>
      <w:kern w:val="0"/>
      <w:sz w:val="24"/>
      <w:szCs w:val="24"/>
      <w:lang w:val="en-GB"/>
      <w14:ligatures w14:val="none"/>
    </w:rPr>
  </w:style>
  <w:style w:type="character" w:customStyle="1" w:styleId="ParagrafoelencoCarattere">
    <w:name w:val="Paragrafo elenco Carattere"/>
    <w:basedOn w:val="Carpredefinitoparagrafo"/>
    <w:link w:val="Paragrafoelenco"/>
    <w:uiPriority w:val="34"/>
    <w:rsid w:val="00FA1116"/>
  </w:style>
  <w:style w:type="character" w:styleId="Rimandonotaapidipagina">
    <w:name w:val="footnote reference"/>
    <w:basedOn w:val="Carpredefinitoparagrafo"/>
    <w:uiPriority w:val="99"/>
    <w:semiHidden/>
    <w:unhideWhenUsed/>
    <w:rsid w:val="009C792C"/>
    <w:rPr>
      <w:vertAlign w:val="superscript"/>
    </w:rPr>
  </w:style>
  <w:style w:type="paragraph" w:styleId="Testonotaapidipagina">
    <w:name w:val="footnote text"/>
    <w:basedOn w:val="Normale"/>
    <w:link w:val="TestonotaapidipaginaCarattere"/>
    <w:uiPriority w:val="99"/>
    <w:unhideWhenUsed/>
    <w:rsid w:val="009C792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9C792C"/>
    <w:rPr>
      <w:rFonts w:asciiTheme="minorHAnsi" w:eastAsiaTheme="minorEastAsia" w:hAnsiTheme="minorHAnsi"/>
      <w:kern w:val="0"/>
      <w:sz w:val="20"/>
      <w:szCs w:val="20"/>
      <w14:ligatures w14:val="none"/>
    </w:rPr>
  </w:style>
  <w:style w:type="paragraph" w:customStyle="1" w:styleId="RSEGTITOLO2">
    <w:name w:val="RSEG TITOLO2"/>
    <w:basedOn w:val="Normale"/>
    <w:link w:val="RSEGTITOLO2Carattere"/>
    <w:qFormat/>
    <w:rsid w:val="009C792C"/>
    <w:pPr>
      <w:spacing w:after="0" w:line="360" w:lineRule="auto"/>
      <w:jc w:val="both"/>
    </w:pPr>
    <w:rPr>
      <w:rFonts w:ascii="Times New Roman" w:hAnsi="Times New Roman" w:cs="Times New Roman"/>
      <w:i/>
      <w:sz w:val="24"/>
      <w:szCs w:val="24"/>
      <w:lang w:val="en-GB"/>
    </w:rPr>
  </w:style>
  <w:style w:type="character" w:customStyle="1" w:styleId="RSEGTITOLO2Carattere">
    <w:name w:val="RSEG TITOLO2 Carattere"/>
    <w:basedOn w:val="Carpredefinitoparagrafo"/>
    <w:link w:val="RSEGTITOLO2"/>
    <w:rsid w:val="009C792C"/>
    <w:rPr>
      <w:rFonts w:ascii="Times New Roman" w:eastAsiaTheme="minorEastAsia" w:hAnsi="Times New Roman" w:cs="Times New Roman"/>
      <w:i/>
      <w:kern w:val="0"/>
      <w:sz w:val="24"/>
      <w:szCs w:val="24"/>
      <w:lang w:val="en-GB"/>
      <w14:ligatures w14:val="none"/>
    </w:rPr>
  </w:style>
  <w:style w:type="paragraph" w:styleId="Pidipagina">
    <w:name w:val="footer"/>
    <w:basedOn w:val="Normale"/>
    <w:link w:val="PidipaginaCarattere"/>
    <w:uiPriority w:val="99"/>
    <w:unhideWhenUsed/>
    <w:rsid w:val="005D02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02F6"/>
    <w:rPr>
      <w:rFonts w:asciiTheme="minorHAnsi" w:eastAsiaTheme="minorEastAsia" w:hAnsiTheme="minorHAnsi"/>
      <w:kern w:val="0"/>
      <w14:ligatures w14:val="none"/>
    </w:rPr>
  </w:style>
  <w:style w:type="character" w:styleId="Collegamentoipertestuale">
    <w:name w:val="Hyperlink"/>
    <w:basedOn w:val="Carpredefinitoparagrafo"/>
    <w:uiPriority w:val="99"/>
    <w:unhideWhenUsed/>
    <w:rsid w:val="00D97F66"/>
    <w:rPr>
      <w:color w:val="0563C1" w:themeColor="hyperlink"/>
      <w:u w:val="single"/>
    </w:rPr>
  </w:style>
  <w:style w:type="table" w:styleId="Grigliatabella">
    <w:name w:val="Table Grid"/>
    <w:basedOn w:val="Tabellanormale"/>
    <w:uiPriority w:val="39"/>
    <w:rsid w:val="00D97F66"/>
    <w:pPr>
      <w:spacing w:after="0" w:line="240" w:lineRule="auto"/>
    </w:pPr>
    <w:rPr>
      <w:rFonts w:ascii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D97F66"/>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D97F66"/>
    <w:rPr>
      <w:rFonts w:ascii="Times New Roman" w:eastAsiaTheme="minorEastAsia" w:hAnsi="Times New Roman" w:cs="Times New Roman"/>
      <w:kern w:val="0"/>
      <w:sz w:val="18"/>
      <w:szCs w:val="18"/>
      <w14:ligatures w14:val="none"/>
    </w:rPr>
  </w:style>
  <w:style w:type="character" w:styleId="Rimandocommento">
    <w:name w:val="annotation reference"/>
    <w:basedOn w:val="Carpredefinitoparagrafo"/>
    <w:uiPriority w:val="99"/>
    <w:semiHidden/>
    <w:unhideWhenUsed/>
    <w:rsid w:val="00D97F66"/>
    <w:rPr>
      <w:sz w:val="16"/>
      <w:szCs w:val="16"/>
    </w:rPr>
  </w:style>
  <w:style w:type="paragraph" w:styleId="Testocommento">
    <w:name w:val="annotation text"/>
    <w:basedOn w:val="Normale"/>
    <w:link w:val="TestocommentoCarattere"/>
    <w:uiPriority w:val="99"/>
    <w:unhideWhenUsed/>
    <w:rsid w:val="00D97F66"/>
    <w:pPr>
      <w:spacing w:line="240" w:lineRule="auto"/>
    </w:pPr>
    <w:rPr>
      <w:sz w:val="20"/>
      <w:szCs w:val="20"/>
    </w:rPr>
  </w:style>
  <w:style w:type="character" w:customStyle="1" w:styleId="TestocommentoCarattere">
    <w:name w:val="Testo commento Carattere"/>
    <w:basedOn w:val="Carpredefinitoparagrafo"/>
    <w:link w:val="Testocommento"/>
    <w:uiPriority w:val="99"/>
    <w:rsid w:val="00D97F66"/>
    <w:rPr>
      <w:rFonts w:asciiTheme="minorHAnsi" w:eastAsiaTheme="minorEastAsia" w:hAnsiTheme="minorHAnsi"/>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D97F66"/>
    <w:rPr>
      <w:b/>
      <w:bCs/>
    </w:rPr>
  </w:style>
  <w:style w:type="character" w:customStyle="1" w:styleId="SoggettocommentoCarattere">
    <w:name w:val="Soggetto commento Carattere"/>
    <w:basedOn w:val="TestocommentoCarattere"/>
    <w:link w:val="Soggettocommento"/>
    <w:uiPriority w:val="99"/>
    <w:semiHidden/>
    <w:rsid w:val="00D97F66"/>
    <w:rPr>
      <w:rFonts w:asciiTheme="minorHAnsi" w:eastAsiaTheme="minorEastAsia" w:hAnsiTheme="minorHAnsi"/>
      <w:b/>
      <w:bCs/>
      <w:kern w:val="0"/>
      <w:sz w:val="20"/>
      <w:szCs w:val="20"/>
      <w14:ligatures w14:val="none"/>
    </w:rPr>
  </w:style>
  <w:style w:type="paragraph" w:styleId="Intestazione">
    <w:name w:val="header"/>
    <w:basedOn w:val="Normale"/>
    <w:link w:val="IntestazioneCarattere"/>
    <w:uiPriority w:val="99"/>
    <w:unhideWhenUsed/>
    <w:rsid w:val="00D97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97F66"/>
    <w:rPr>
      <w:rFonts w:asciiTheme="minorHAnsi" w:eastAsiaTheme="minorEastAsia" w:hAnsiTheme="minorHAnsi"/>
      <w:kern w:val="0"/>
      <w14:ligatures w14:val="none"/>
    </w:rPr>
  </w:style>
  <w:style w:type="paragraph" w:styleId="Testonotadichiusura">
    <w:name w:val="endnote text"/>
    <w:basedOn w:val="Normale"/>
    <w:link w:val="TestonotadichiusuraCarattere"/>
    <w:uiPriority w:val="99"/>
    <w:semiHidden/>
    <w:unhideWhenUsed/>
    <w:rsid w:val="00D97F66"/>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97F66"/>
    <w:rPr>
      <w:rFonts w:asciiTheme="minorHAnsi" w:eastAsiaTheme="minorEastAsia" w:hAnsiTheme="minorHAnsi"/>
      <w:kern w:val="0"/>
      <w:sz w:val="20"/>
      <w:szCs w:val="20"/>
      <w14:ligatures w14:val="none"/>
    </w:rPr>
  </w:style>
  <w:style w:type="character" w:styleId="Rimandonotadichiusura">
    <w:name w:val="endnote reference"/>
    <w:basedOn w:val="Carpredefinitoparagrafo"/>
    <w:uiPriority w:val="99"/>
    <w:semiHidden/>
    <w:unhideWhenUsed/>
    <w:rsid w:val="00D97F66"/>
    <w:rPr>
      <w:vertAlign w:val="superscript"/>
    </w:rPr>
  </w:style>
  <w:style w:type="character" w:styleId="Testosegnaposto">
    <w:name w:val="Placeholder Text"/>
    <w:basedOn w:val="Carpredefinitoparagrafo"/>
    <w:uiPriority w:val="99"/>
    <w:semiHidden/>
    <w:rsid w:val="00D97F66"/>
    <w:rPr>
      <w:color w:val="808080"/>
    </w:rPr>
  </w:style>
  <w:style w:type="table" w:styleId="Tabellasemplice-3">
    <w:name w:val="Plain Table 3"/>
    <w:basedOn w:val="Tabellanormale"/>
    <w:uiPriority w:val="43"/>
    <w:rsid w:val="00D97F66"/>
    <w:pPr>
      <w:spacing w:after="0" w:line="240" w:lineRule="auto"/>
    </w:pPr>
    <w:rPr>
      <w:rFonts w:asciiTheme="minorHAnsi" w:hAnsiTheme="minorHAnsi"/>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1">
    <w:name w:val="Plain Table 1"/>
    <w:basedOn w:val="Tabellanormale"/>
    <w:uiPriority w:val="41"/>
    <w:rsid w:val="00D97F66"/>
    <w:pPr>
      <w:spacing w:after="0" w:line="240" w:lineRule="auto"/>
    </w:pPr>
    <w:rPr>
      <w:rFonts w:asciiTheme="minorHAnsi" w:hAnsiTheme="minorHAnsi"/>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eWeb">
    <w:name w:val="Normal (Web)"/>
    <w:basedOn w:val="Normale"/>
    <w:uiPriority w:val="99"/>
    <w:unhideWhenUsed/>
    <w:rsid w:val="00D97F6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itolosommario">
    <w:name w:val="TOC Heading"/>
    <w:basedOn w:val="Titolo1"/>
    <w:next w:val="Normale"/>
    <w:uiPriority w:val="39"/>
    <w:unhideWhenUsed/>
    <w:qFormat/>
    <w:rsid w:val="00D97F66"/>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D97F66"/>
    <w:pPr>
      <w:spacing w:after="100" w:line="259" w:lineRule="auto"/>
    </w:pPr>
  </w:style>
  <w:style w:type="character" w:styleId="Menzionenonrisolta">
    <w:name w:val="Unresolved Mention"/>
    <w:basedOn w:val="Carpredefinitoparagrafo"/>
    <w:uiPriority w:val="99"/>
    <w:semiHidden/>
    <w:unhideWhenUsed/>
    <w:rsid w:val="00D97F66"/>
    <w:rPr>
      <w:color w:val="605E5C"/>
      <w:shd w:val="clear" w:color="auto" w:fill="E1DFDD"/>
    </w:rPr>
  </w:style>
  <w:style w:type="paragraph" w:styleId="Sommario2">
    <w:name w:val="toc 2"/>
    <w:basedOn w:val="Normale"/>
    <w:next w:val="Normale"/>
    <w:autoRedefine/>
    <w:uiPriority w:val="39"/>
    <w:unhideWhenUsed/>
    <w:rsid w:val="00D97F66"/>
    <w:pPr>
      <w:spacing w:after="100" w:line="259" w:lineRule="auto"/>
      <w:ind w:left="220"/>
    </w:pPr>
  </w:style>
  <w:style w:type="character" w:customStyle="1" w:styleId="hps">
    <w:name w:val="hps"/>
    <w:rsid w:val="00D97F66"/>
  </w:style>
  <w:style w:type="character" w:customStyle="1" w:styleId="hlfld-contribauthor">
    <w:name w:val="hlfld-contribauthor"/>
    <w:rsid w:val="00D97F66"/>
  </w:style>
  <w:style w:type="character" w:customStyle="1" w:styleId="nlmgiven-names">
    <w:name w:val="nlm_given-names"/>
    <w:rsid w:val="00D97F66"/>
  </w:style>
  <w:style w:type="character" w:customStyle="1" w:styleId="nlmyear">
    <w:name w:val="nlm_year"/>
    <w:rsid w:val="00D97F66"/>
  </w:style>
  <w:style w:type="character" w:customStyle="1" w:styleId="nlmarticle-title">
    <w:name w:val="nlm_article-title"/>
    <w:rsid w:val="00D97F66"/>
  </w:style>
  <w:style w:type="character" w:customStyle="1" w:styleId="nlmfpage">
    <w:name w:val="nlm_fpage"/>
    <w:rsid w:val="00D97F66"/>
  </w:style>
  <w:style w:type="character" w:customStyle="1" w:styleId="nlmlpage">
    <w:name w:val="nlm_lpage"/>
    <w:rsid w:val="00D97F66"/>
  </w:style>
  <w:style w:type="paragraph" w:styleId="Sommario3">
    <w:name w:val="toc 3"/>
    <w:basedOn w:val="Normale"/>
    <w:next w:val="Normale"/>
    <w:autoRedefine/>
    <w:uiPriority w:val="39"/>
    <w:unhideWhenUsed/>
    <w:rsid w:val="00D97F66"/>
    <w:pPr>
      <w:spacing w:after="100" w:line="259" w:lineRule="auto"/>
      <w:ind w:left="440"/>
    </w:pPr>
  </w:style>
  <w:style w:type="paragraph" w:customStyle="1" w:styleId="Default">
    <w:name w:val="Default"/>
    <w:rsid w:val="00D97F66"/>
    <w:pPr>
      <w:autoSpaceDE w:val="0"/>
      <w:autoSpaceDN w:val="0"/>
      <w:adjustRightInd w:val="0"/>
      <w:spacing w:after="0" w:line="240" w:lineRule="auto"/>
    </w:pPr>
    <w:rPr>
      <w:rFonts w:ascii="Arial" w:hAnsi="Arial" w:cs="Arial"/>
      <w:color w:val="000000"/>
      <w:kern w:val="0"/>
      <w:sz w:val="24"/>
      <w:szCs w:val="24"/>
      <w14:ligatures w14:val="none"/>
    </w:rPr>
  </w:style>
  <w:style w:type="paragraph" w:styleId="Revisione">
    <w:name w:val="Revision"/>
    <w:hidden/>
    <w:uiPriority w:val="99"/>
    <w:semiHidden/>
    <w:rsid w:val="00D97F66"/>
    <w:pPr>
      <w:spacing w:after="0" w:line="240" w:lineRule="auto"/>
    </w:pPr>
    <w:rPr>
      <w:rFonts w:asciiTheme="minorHAnsi" w:hAnsiTheme="minorHAnsi"/>
      <w:kern w:val="0"/>
      <w14:ligatures w14:val="none"/>
    </w:rPr>
  </w:style>
  <w:style w:type="character" w:styleId="Collegamentovisitato">
    <w:name w:val="FollowedHyperlink"/>
    <w:basedOn w:val="Carpredefinitoparagrafo"/>
    <w:uiPriority w:val="99"/>
    <w:semiHidden/>
    <w:unhideWhenUsed/>
    <w:rsid w:val="00D97F66"/>
    <w:rPr>
      <w:color w:val="954F72" w:themeColor="followedHyperlink"/>
      <w:u w:val="single"/>
    </w:rPr>
  </w:style>
  <w:style w:type="paragraph" w:customStyle="1" w:styleId="RSEGTITOLO">
    <w:name w:val="RSEG TITOLO"/>
    <w:basedOn w:val="Paragrafoelenco"/>
    <w:link w:val="RSEGTITOLOCarattere"/>
    <w:qFormat/>
    <w:rsid w:val="00D97F66"/>
    <w:pPr>
      <w:spacing w:after="200" w:line="276" w:lineRule="auto"/>
    </w:pPr>
    <w:rPr>
      <w:rFonts w:ascii="Times New Roman" w:eastAsiaTheme="minorEastAsia" w:hAnsi="Times New Roman" w:cs="Times New Roman"/>
      <w:b/>
      <w:kern w:val="0"/>
      <w:sz w:val="24"/>
      <w:szCs w:val="24"/>
      <w:lang w:val="en-GB"/>
      <w14:ligatures w14:val="none"/>
    </w:rPr>
  </w:style>
  <w:style w:type="character" w:customStyle="1" w:styleId="RSEGTITOLOCarattere">
    <w:name w:val="RSEG TITOLO Carattere"/>
    <w:basedOn w:val="ParagrafoelencoCarattere"/>
    <w:link w:val="RSEGTITOLO"/>
    <w:rsid w:val="00D97F66"/>
    <w:rPr>
      <w:rFonts w:ascii="Times New Roman" w:eastAsiaTheme="minorEastAsia" w:hAnsi="Times New Roman" w:cs="Times New Roman"/>
      <w:b/>
      <w:kern w:val="0"/>
      <w:sz w:val="24"/>
      <w:szCs w:val="24"/>
      <w:lang w:val="en-GB"/>
      <w14:ligatures w14:val="none"/>
    </w:rPr>
  </w:style>
  <w:style w:type="character" w:customStyle="1" w:styleId="rynqvb">
    <w:name w:val="rynqvb"/>
    <w:basedOn w:val="Carpredefinitoparagrafo"/>
    <w:rsid w:val="00D97F66"/>
  </w:style>
  <w:style w:type="character" w:customStyle="1" w:styleId="hwtze">
    <w:name w:val="hwtze"/>
    <w:basedOn w:val="Carpredefinitoparagrafo"/>
    <w:rsid w:val="00D97F66"/>
  </w:style>
  <w:style w:type="character" w:customStyle="1" w:styleId="A9">
    <w:name w:val="A9"/>
    <w:uiPriority w:val="99"/>
    <w:rsid w:val="00D97F66"/>
    <w:rPr>
      <w:rFonts w:cs="EC Square Sans Pro Medium"/>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hyperlink" Target="https://www.contipubbliciterritoriali.it/CPTDE/catalogo/CPTDE_CatalogoCPT.html)" TargetMode="External"/><Relationship Id="rId24" Type="http://schemas.openxmlformats.org/officeDocument/2006/relationships/image" Target="media/image15.png"/><Relationship Id="rId32" Type="http://schemas.openxmlformats.org/officeDocument/2006/relationships/footer" Target="footer1.xml"/><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9.png"/><Relationship Id="rId10" Type="http://schemas.openxmlformats.org/officeDocument/2006/relationships/hyperlink" Target="https://contipubbliciterritoriali.it/" TargetMode="External"/><Relationship Id="rId19" Type="http://schemas.openxmlformats.org/officeDocument/2006/relationships/image" Target="media/image10.png"/><Relationship Id="rId31" Type="http://schemas.openxmlformats.org/officeDocument/2006/relationships/image" Target="media/image22.emf"/><Relationship Id="rId44" Type="http://schemas.openxmlformats.org/officeDocument/2006/relationships/image" Target="media/image34.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uklems.eu/"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1.pn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8777</Words>
  <Characters>50034</Characters>
  <Application>Microsoft Office Word</Application>
  <DocSecurity>0</DocSecurity>
  <Lines>416</Lines>
  <Paragraphs>117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dc:creator>
  <cp:keywords/>
  <dc:description/>
  <cp:lastModifiedBy>Sergio Pietro DESTEFANIS</cp:lastModifiedBy>
  <cp:revision>2</cp:revision>
  <dcterms:created xsi:type="dcterms:W3CDTF">2026-08-25T07:06:00Z</dcterms:created>
  <dcterms:modified xsi:type="dcterms:W3CDTF">2026-08-25T07:06:00Z</dcterms:modified>
</cp:coreProperties>
</file>