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27BC6">
      <w:pPr>
        <w:spacing w:after="40"/>
        <w:jc w:val="center"/>
        <w:rPr>
          <w:rFonts w:hint="eastAsia" w:ascii="Times New Roman" w:hAnsi="Times New Roman"/>
          <w:b/>
          <w:sz w:val="20"/>
        </w:rPr>
      </w:pPr>
      <w:r>
        <w:rPr>
          <w:rFonts w:hint="eastAsia" w:ascii="Times New Roman" w:hAnsi="Times New Roman"/>
          <w:b/>
          <w:sz w:val="20"/>
        </w:rPr>
        <w:t>Strain-resolved comparative genomics and functional characterization of culturable lactic acid bacteria from Guizhou sour soup</w:t>
      </w:r>
      <w:bookmarkStart w:id="0" w:name="_GoBack"/>
      <w:bookmarkEnd w:id="0"/>
    </w:p>
    <w:p w14:paraId="5C6EF9C5">
      <w:pPr>
        <w:spacing w:after="40"/>
        <w:jc w:val="center"/>
      </w:pPr>
      <w:r>
        <w:rPr>
          <w:rFonts w:ascii="Times New Roman" w:hAnsi="Times New Roman"/>
          <w:b w:val="0"/>
          <w:sz w:val="18"/>
        </w:rPr>
        <w:t>World Journal of Microbiology and Biotechnology</w:t>
      </w:r>
    </w:p>
    <w:p w14:paraId="6AA734D7">
      <w:pPr>
        <w:spacing w:after="40"/>
        <w:jc w:val="center"/>
      </w:pPr>
      <w:r>
        <w:rPr>
          <w:rFonts w:ascii="Times New Roman" w:hAnsi="Times New Roman"/>
          <w:b w:val="0"/>
          <w:sz w:val="18"/>
        </w:rPr>
        <w:t>Fan Bai, Nanlan Wang, Yang Liu, Qian Wen, Canying Hu, Siqi Zhu, Rong Mou, Ruifu Yang, Yanping Han, Pen Luo</w:t>
      </w:r>
    </w:p>
    <w:p w14:paraId="3019EDF2">
      <w:pPr>
        <w:spacing w:after="0"/>
        <w:jc w:val="left"/>
      </w:pPr>
      <w:r>
        <w:rPr>
          <w:rFonts w:ascii="Times New Roman" w:hAnsi="Times New Roman"/>
          <w:b w:val="0"/>
          <w:sz w:val="16"/>
        </w:rPr>
        <w:t>a School of Public Health, Key Laboratory of Environmental Pollution Monitoring and Disease Control, Ministry of Education, Guizhou Medical University, Guiyang 561113, China</w:t>
      </w:r>
    </w:p>
    <w:p w14:paraId="6CF4F7C7">
      <w:pPr>
        <w:spacing w:after="0"/>
        <w:jc w:val="left"/>
      </w:pPr>
      <w:r>
        <w:rPr>
          <w:rFonts w:ascii="Times New Roman" w:hAnsi="Times New Roman"/>
          <w:b w:val="0"/>
          <w:sz w:val="16"/>
        </w:rPr>
        <w:t>b State Key Laboratory of Pathogen and Biosecurity, Academy of Military Medical Sciences, Beijing 100071, China</w:t>
      </w:r>
    </w:p>
    <w:p w14:paraId="102D3623">
      <w:pPr>
        <w:spacing w:after="0"/>
        <w:jc w:val="left"/>
      </w:pPr>
      <w:r>
        <w:rPr>
          <w:rFonts w:ascii="Times New Roman" w:hAnsi="Times New Roman"/>
          <w:b w:val="0"/>
          <w:sz w:val="16"/>
        </w:rPr>
        <w:t>c School of Basic Medical Sciences, Department of Parasitology, Guizhou Medical University, Guiyang 561113, China</w:t>
      </w:r>
    </w:p>
    <w:p w14:paraId="50CBB9E4">
      <w:pPr>
        <w:spacing w:after="0"/>
        <w:jc w:val="left"/>
      </w:pPr>
      <w:r>
        <w:rPr>
          <w:rFonts w:ascii="Times New Roman" w:hAnsi="Times New Roman"/>
          <w:b w:val="0"/>
          <w:sz w:val="16"/>
        </w:rPr>
        <w:t>d Key Laboratory of Etiology and Epidemiology, Education Bureau of Heilongjiang Province &amp; National Health Commission, Harbin Medical University, Harbin 150081, China</w:t>
      </w:r>
    </w:p>
    <w:p w14:paraId="7C232A3D">
      <w:pPr>
        <w:spacing w:after="80"/>
        <w:jc w:val="left"/>
      </w:pPr>
      <w:r>
        <w:rPr>
          <w:rFonts w:ascii="Times New Roman" w:hAnsi="Times New Roman"/>
          <w:b w:val="0"/>
          <w:sz w:val="16"/>
        </w:rPr>
        <w:t>Corresponding authors: Ruifu Yang, Email: ruifuyang@gmail.com; Yanping Han, Email: hypiota@hotmail.com; Pen Luo, Email: luopeng@gmc.edu.cn.</w:t>
      </w:r>
    </w:p>
    <w:p w14:paraId="03E6B8F1">
      <w:pPr>
        <w:spacing w:after="200"/>
        <w:jc w:val="left"/>
      </w:pPr>
      <w:r>
        <w:rPr>
          <w:rFonts w:ascii="Times New Roman" w:hAnsi="Times New Roman" w:eastAsia="Times New Roman"/>
          <w:b/>
          <w:sz w:val="24"/>
        </w:rPr>
        <w:t>Supplementary Figure Legends</w:t>
      </w:r>
    </w:p>
    <w:p w14:paraId="0EA5D992">
      <w:pPr>
        <w:spacing w:after="160" w:line="276" w:lineRule="auto"/>
        <w:jc w:val="both"/>
      </w:pPr>
      <w:r>
        <w:t xml:space="preserve">Fig. S1 Complete core-genome phylogeny of </w:t>
      </w:r>
      <w:r>
        <w:rPr>
          <w:i/>
        </w:rPr>
        <w:t>Lacticaseibacillus paracasei</w:t>
      </w:r>
      <w:r>
        <w:t>. The neighbor-joining tree was constructed from the core-genome alignment with 1,000 bootstrap replicates. Branch labels indicate bootstrap support values, and the scale bar represents nucleotide substitutions per site</w:t>
      </w:r>
    </w:p>
    <w:p w14:paraId="0D97C1AB">
      <w:pPr>
        <w:spacing w:after="160" w:line="276" w:lineRule="auto"/>
        <w:jc w:val="both"/>
      </w:pPr>
      <w:r>
        <w:t xml:space="preserve">Fig. S2 Complete core-genome phylogeny of </w:t>
      </w:r>
      <w:r>
        <w:rPr>
          <w:i/>
        </w:rPr>
        <w:t>Lactiplantibacillus plantarum</w:t>
      </w:r>
      <w:r>
        <w:t>. The neighbor-joining tree was constructed from the core-genome alignment with 1,000 bootstrap replicates. Branch labels indicate bootstrap support values, and the scale bar represents nucleotide substitutions per site</w:t>
      </w:r>
    </w:p>
    <w:p w14:paraId="09C4AD01">
      <w:pPr>
        <w:spacing w:after="160" w:line="276" w:lineRule="auto"/>
        <w:jc w:val="both"/>
      </w:pPr>
      <w:r>
        <w:t xml:space="preserve">Fig. S3 Complete core-genome phylogeny of </w:t>
      </w:r>
      <w:r>
        <w:rPr>
          <w:i/>
        </w:rPr>
        <w:t>Limosilactobacillus fermentum</w:t>
      </w:r>
      <w:r>
        <w:t>. The neighbor-joining tree was constructed from the core-genome alignment with 1,000 bootstrap replicates. Branch labels indicate bootstrap support values, and the scale bar represents nucleotide substitutions per site</w:t>
      </w:r>
    </w:p>
    <w:sectPr>
      <w:headerReference r:id="rId5" w:type="default"/>
      <w:footerReference r:id="rId6" w:type="default"/>
      <w:pgSz w:w="12240" w:h="15840"/>
      <w:pgMar w:top="1152" w:right="1296" w:bottom="1152" w:left="129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D6104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9610D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C96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1648</Characters>
  <Lines>0</Lines>
  <Paragraphs>0</Paragraphs>
  <TotalTime>0</TotalTime>
  <ScaleCrop>false</ScaleCrop>
  <LinksUpToDate>false</LinksUpToDate>
  <CharactersWithSpaces>1878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海檬树</cp:lastModifiedBy>
  <dcterms:modified xsi:type="dcterms:W3CDTF">2026-08-28T13:38:35Z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eyJoZGlkIjoiMTgzMzYwNDRlOTBhYTkxM2E1ZDRjY2QwNmRlMWQyYWIiLCJ1c2VySWQiOiI0MjIyMzM4NzYifQ==</vt:lpwstr>
  </property>
  <property fmtid="{D5CDD505-2E9C-101B-9397-08002B2CF9AE}" pid="3" name="KSOProductBuildVer">
    <vt:lpwstr>2052-12.1.0.28022</vt:lpwstr>
  </property>
  <property fmtid="{D5CDD505-2E9C-101B-9397-08002B2CF9AE}" pid="4" name="ICV">
    <vt:lpwstr>ABDC895F0EFC4549BE1454CC21959289_12</vt:lpwstr>
  </property>
</Properties>
</file>