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793FBF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napToGrid w:val="0"/>
        <w:spacing w:before="30" w:after="30" w:line="240" w:lineRule="auto"/>
        <w:ind w:left="0" w:leftChars="0" w:right="0" w:rightChars="0" w:firstLine="0" w:firstLineChars="0"/>
        <w:jc w:val="left"/>
        <w:rPr>
          <w:rFonts w:hint="eastAsia" w:ascii="Times New Roman" w:hAnsi="Times New Roman" w:eastAsia="宋体" w:cs="Times New Roman"/>
          <w:b/>
          <w:bCs/>
          <w:i w:val="0"/>
          <w:strike w:val="0"/>
          <w:color w:val="000000"/>
          <w:sz w:val="20"/>
          <w:szCs w:val="20"/>
          <w:u w:val="none"/>
          <w:lang w:val="en-US" w:eastAsia="zh-CN"/>
        </w:rPr>
      </w:pPr>
      <w:bookmarkStart w:id="0" w:name="_GoBack"/>
      <w:r>
        <w:rPr>
          <w:rFonts w:ascii="Times New Roman" w:hAnsi="Times New Roman" w:eastAsia="Times New Roman" w:cs="Times New Roman"/>
          <w:b/>
          <w:bCs/>
          <w:i w:val="0"/>
          <w:strike w:val="0"/>
          <w:color w:val="000000"/>
          <w:sz w:val="20"/>
          <w:szCs w:val="20"/>
          <w:u w:val="none"/>
        </w:rPr>
        <w:t>Table 1. Characteristics of study participants by myopia and poor vision status</w:t>
      </w:r>
      <w:r>
        <w:rPr>
          <w:rFonts w:hint="eastAsia" w:ascii="Times New Roman" w:hAnsi="Times New Roman" w:eastAsia="宋体" w:cs="Times New Roman"/>
          <w:b/>
          <w:bCs/>
          <w:i w:val="0"/>
          <w:strike w:val="0"/>
          <w:color w:val="000000"/>
          <w:sz w:val="20"/>
          <w:szCs w:val="20"/>
          <w:u w:val="none"/>
          <w:lang w:val="en-US" w:eastAsia="zh-CN"/>
        </w:rPr>
        <w:t>.</w:t>
      </w:r>
    </w:p>
    <w:bookmarkEnd w:id="0"/>
    <w:tbl>
      <w:tblPr>
        <w:tblStyle w:val="3"/>
        <w:tblW w:w="14296" w:type="dxa"/>
        <w:tblInd w:w="57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90"/>
        <w:gridCol w:w="1623"/>
        <w:gridCol w:w="1519"/>
        <w:gridCol w:w="1520"/>
        <w:gridCol w:w="994"/>
        <w:gridCol w:w="1517"/>
        <w:gridCol w:w="1586"/>
        <w:gridCol w:w="847"/>
      </w:tblGrid>
      <w:tr w14:paraId="46F07E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4690" w:type="dxa"/>
            <w:vMerge w:val="restart"/>
            <w:tcBorders>
              <w:top w:val="single" w:color="auto" w:sz="12" w:space="0"/>
              <w:left w:val="nil"/>
              <w:right w:val="nil"/>
              <w:tl2br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F9614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auto"/>
                <w:sz w:val="22"/>
                <w:szCs w:val="22"/>
                <w:u w:val="none"/>
              </w:rPr>
              <w:t>Characteristic</w:t>
            </w:r>
          </w:p>
        </w:tc>
        <w:tc>
          <w:tcPr>
            <w:tcW w:w="1623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4FED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2"/>
                <w:szCs w:val="22"/>
                <w:u w:val="none"/>
              </w:rPr>
              <w:t>Overall</w:t>
            </w:r>
          </w:p>
        </w:tc>
        <w:tc>
          <w:tcPr>
            <w:tcW w:w="4033" w:type="dxa"/>
            <w:gridSpan w:val="3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76775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2"/>
                <w:szCs w:val="22"/>
                <w:u w:val="none"/>
              </w:rPr>
              <w:t>Myopia status</w:t>
            </w:r>
          </w:p>
        </w:tc>
        <w:tc>
          <w:tcPr>
            <w:tcW w:w="3950" w:type="dxa"/>
            <w:gridSpan w:val="3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6A4BF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2"/>
                <w:szCs w:val="22"/>
                <w:u w:val="none"/>
              </w:rPr>
              <w:t>Poor vision status</w:t>
            </w:r>
          </w:p>
        </w:tc>
      </w:tr>
      <w:tr w14:paraId="5FA5BA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4690" w:type="dxa"/>
            <w:vMerge w:val="continue"/>
            <w:tcBorders>
              <w:left w:val="nil"/>
              <w:bottom w:val="nil"/>
              <w:right w:val="nil"/>
              <w:tl2br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81B45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C9867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b/>
                <w:bCs/>
                <w:i w:val="0"/>
                <w:strike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2"/>
                <w:szCs w:val="22"/>
                <w:u w:val="none"/>
              </w:rPr>
              <w:t>n = 3,957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strike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21F82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2"/>
                <w:szCs w:val="22"/>
                <w:u w:val="none"/>
              </w:rPr>
              <w:t>No</w:t>
            </w:r>
          </w:p>
          <w:p w14:paraId="1E8050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2"/>
                <w:szCs w:val="22"/>
                <w:u w:val="none"/>
              </w:rPr>
              <w:t>n = 979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B4612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660" w:firstLineChars="300"/>
              <w:jc w:val="both"/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2"/>
                <w:szCs w:val="22"/>
                <w:u w:val="none"/>
              </w:rPr>
              <w:t>Yes</w:t>
            </w:r>
          </w:p>
          <w:p w14:paraId="5F25C9D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440" w:firstLineChars="200"/>
              <w:jc w:val="both"/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2"/>
                <w:szCs w:val="22"/>
                <w:u w:val="none"/>
              </w:rPr>
              <w:t>n = 2,978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32D86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220" w:firstLineChars="100"/>
              <w:jc w:val="both"/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strike w:val="0"/>
                <w:color w:val="000000"/>
                <w:sz w:val="22"/>
                <w:szCs w:val="22"/>
                <w:u w:val="none"/>
              </w:rPr>
              <w:t>p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2"/>
                <w:szCs w:val="22"/>
                <w:u w:val="none"/>
              </w:rPr>
              <w:t xml:space="preserve"> value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27477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2"/>
                <w:szCs w:val="22"/>
                <w:u w:val="none"/>
              </w:rPr>
              <w:t>No</w:t>
            </w:r>
          </w:p>
          <w:p w14:paraId="1CBBCBA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2"/>
                <w:szCs w:val="22"/>
                <w:u w:val="none"/>
              </w:rPr>
              <w:t>n = 1,656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46A80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2"/>
                <w:szCs w:val="22"/>
                <w:u w:val="none"/>
              </w:rPr>
              <w:t>Yes</w:t>
            </w:r>
          </w:p>
          <w:p w14:paraId="43619CD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2"/>
                <w:szCs w:val="22"/>
                <w:u w:val="none"/>
              </w:rPr>
              <w:t>n = 2,301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4161C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strike w:val="0"/>
                <w:color w:val="000000"/>
                <w:sz w:val="22"/>
                <w:szCs w:val="22"/>
                <w:u w:val="none"/>
              </w:rPr>
              <w:t>p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2"/>
                <w:szCs w:val="22"/>
                <w:u w:val="none"/>
              </w:rPr>
              <w:t xml:space="preserve"> value</w:t>
            </w:r>
          </w:p>
        </w:tc>
      </w:tr>
      <w:tr w14:paraId="324E2B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" w:hRule="atLeast"/>
        </w:trPr>
        <w:tc>
          <w:tcPr>
            <w:tcW w:w="4690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625CD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15"/>
                <w:szCs w:val="15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auto"/>
                <w:sz w:val="20"/>
                <w:szCs w:val="20"/>
                <w:u w:val="none"/>
              </w:rPr>
              <w:t>Participant and family characteristics</w:t>
            </w:r>
          </w:p>
        </w:tc>
        <w:tc>
          <w:tcPr>
            <w:tcW w:w="1623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AEED9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519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B3BFB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520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54578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994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4B828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517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AD31B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586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4E86D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47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63415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5"/>
                <w:szCs w:val="15"/>
                <w:u w:val="none"/>
              </w:rPr>
            </w:pPr>
          </w:p>
        </w:tc>
      </w:tr>
      <w:tr w14:paraId="0472F9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44744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39" w:firstLineChars="22"/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Age, years, mean ± SD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5B955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10.69 ± 2.92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F2AB0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8.85 ± 2.24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56D9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11.29 ± 2.87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334CE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&lt;0.001ᵃ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DC14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10.13 ± 2.78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8E8D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11.09 ± 2.96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4C72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&lt;0.001ᵃ</w:t>
            </w:r>
          </w:p>
        </w:tc>
      </w:tr>
      <w:tr w14:paraId="459E19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F558B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39" w:firstLineChars="22"/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Age group, years, n (%)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3B159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E85F7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02467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ED873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&lt;0.001ᶜ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CABDA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BFDA4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6CF93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&lt;0.001ᶜ</w:t>
            </w:r>
          </w:p>
        </w:tc>
      </w:tr>
      <w:tr w14:paraId="32F1AD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92CA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219" w:firstLineChars="122"/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6–13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F49EB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3,220 (81.37)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62A8F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945 (96.53)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0E2DA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2,275 (76.39)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34574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1F814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1,434 (86.59)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E7D99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1,786 (77.62)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095C2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</w:tr>
      <w:tr w14:paraId="37A455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CB2D5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219" w:firstLineChars="122"/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14–17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453D2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737 (18.63)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F982A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34 (3.47)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1C2F5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703 (23.61)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0AFBC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500D0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222 (13.41)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66B7D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515 (22.38)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317FB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 xml:space="preserve"> </w:t>
            </w:r>
          </w:p>
        </w:tc>
      </w:tr>
      <w:tr w14:paraId="6E446C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452C6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39" w:firstLineChars="22"/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Boys, n (%)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09399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1,987 (50.21)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74308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541 (55.26)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F218A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1,446 (48.56)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03CDD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&lt;0.001ᶜ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FF13D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892 (53.86)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C3B95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1,095 (47.59)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A04FC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0.001ᶜ</w:t>
            </w:r>
          </w:p>
        </w:tc>
      </w:tr>
      <w:tr w14:paraId="246877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28C79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39" w:firstLineChars="22"/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BMI, kg/m², mean ± SD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C5D7F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20.22 ± 5.01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E45A0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18.73 ± 4.50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463FB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20.71 ± 5.08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2A998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&lt;0.001ᵃ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193B2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19.91 ± 4.93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98BE3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20.44 ± 5.06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6153E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&lt;0.001ᵃ</w:t>
            </w:r>
          </w:p>
        </w:tc>
      </w:tr>
      <w:tr w14:paraId="147FAB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CFBFE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39" w:firstLineChars="22"/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Parental education, n (%)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DC2F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C6D44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181B2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02DE4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&lt;0.001ᶜ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3DC69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B2B8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11595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0.079ᶜ</w:t>
            </w:r>
          </w:p>
        </w:tc>
      </w:tr>
      <w:tr w14:paraId="2BBD14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575B1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219" w:firstLineChars="122"/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High school or below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53E42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1,844 (46.60)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A6161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377 (38.51)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B30EA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1,467 (49.26)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78743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A2952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744 (44.93)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23891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1,100 (47.81)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B9EA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</w:tr>
      <w:tr w14:paraId="45C2DC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D3A42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219" w:firstLineChars="122"/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Bachelor’s degree or above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E8053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2,113 (53.40)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D1BBD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602 (61.49)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CFAE7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1,511 (50.74)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98769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149B0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912 (55.07)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88CB6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1,201 (52.19)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E9CDC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</w:tr>
      <w:tr w14:paraId="0DCF58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67DB6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219" w:firstLineChars="122"/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Parental myopia, n (%)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F6EF9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2,179 (55.07)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08C86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512 (52.30)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81C72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1,667 (55.98)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5400B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0.049ᶜ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4FB53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832 (50.24)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4A3F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1,347 (58.54)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16B2B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&lt;0.001ᵇ</w:t>
            </w:r>
          </w:p>
        </w:tc>
      </w:tr>
      <w:tr w14:paraId="471CA2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65B92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5"/>
                <w:szCs w:val="15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0"/>
                <w:szCs w:val="20"/>
                <w:u w:val="none"/>
              </w:rPr>
              <w:t>24-hour movement behaviors and guideline adherence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D4CFF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FC64B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6322A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915AC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F15BA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BFCEF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5529F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5"/>
                <w:szCs w:val="15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5"/>
                <w:szCs w:val="15"/>
                <w:u w:val="none"/>
                <w:lang w:val="en-US" w:eastAsia="zh-CN"/>
              </w:rPr>
              <w:t xml:space="preserve"> </w:t>
            </w:r>
          </w:p>
        </w:tc>
      </w:tr>
      <w:tr w14:paraId="3DF10D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7D5DE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39" w:firstLineChars="22"/>
              <w:jc w:val="left"/>
              <w:rPr>
                <w:rFonts w:hint="eastAsia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Sleep duration, h/day, median </w:t>
            </w:r>
            <w:r>
              <w:rPr>
                <w:rFonts w:hint="eastAsia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(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P25, P75</w:t>
            </w:r>
            <w:r>
              <w:rPr>
                <w:rFonts w:hint="eastAsia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)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965FA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 xml:space="preserve">8.90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(</w:t>
            </w:r>
            <w:r>
              <w:rPr>
                <w:rFonts w:hint="eastAsia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8.20, 9.40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)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76686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 xml:space="preserve">9.20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(</w:t>
            </w:r>
            <w:r>
              <w:rPr>
                <w:rFonts w:hint="eastAsia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8.75, 9.50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9CE18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8.70 (8.00</w:t>
            </w:r>
            <w:r>
              <w:rPr>
                <w:rFonts w:hint="eastAsia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9.30)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E233A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&lt;0.001ᵇ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09571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9.00 (8.40</w:t>
            </w:r>
            <w:r>
              <w:rPr>
                <w:rFonts w:hint="eastAsia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9.50)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22FFB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8.80 (8.00</w:t>
            </w:r>
            <w:r>
              <w:rPr>
                <w:rFonts w:hint="eastAsia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9.30)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B90F2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&lt;0.001ᵇ</w:t>
            </w:r>
          </w:p>
        </w:tc>
      </w:tr>
      <w:tr w14:paraId="5AFEEC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4E38F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39" w:firstLineChars="22"/>
              <w:jc w:val="left"/>
              <w:rPr>
                <w:rFonts w:hint="eastAsia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Recreational screen time</w:t>
            </w:r>
            <w:r>
              <w:rPr>
                <w:rFonts w:hint="eastAsia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, min/day, median </w:t>
            </w:r>
            <w:r>
              <w:rPr>
                <w:rFonts w:hint="eastAsia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(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P25, P75</w:t>
            </w:r>
            <w:r>
              <w:rPr>
                <w:rFonts w:hint="eastAsia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)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AB680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 xml:space="preserve">120.00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(</w:t>
            </w:r>
            <w:r>
              <w:rPr>
                <w:rFonts w:hint="eastAsia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60.00, 180.00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)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A5828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 xml:space="preserve">60.00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(</w:t>
            </w:r>
            <w:r>
              <w:rPr>
                <w:rFonts w:hint="eastAsia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30.00, 120.00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1EA6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120.00 (60.00</w:t>
            </w:r>
            <w:r>
              <w:rPr>
                <w:rFonts w:hint="eastAsia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210.00)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743A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&lt;0.001ᵇ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AD220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90.00 (60.00</w:t>
            </w:r>
            <w:r>
              <w:rPr>
                <w:rFonts w:hint="eastAsia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180.00)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923FC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120.00 (60.00</w:t>
            </w:r>
            <w:r>
              <w:rPr>
                <w:rFonts w:hint="eastAsia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205.00)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87459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&lt;0.001ᵇ</w:t>
            </w:r>
          </w:p>
        </w:tc>
      </w:tr>
      <w:tr w14:paraId="7B932F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34884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39" w:firstLineChars="22"/>
              <w:jc w:val="left"/>
              <w:rPr>
                <w:rFonts w:hint="eastAsia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M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oderate-to-vigorous physical activity</w:t>
            </w:r>
            <w:r>
              <w:rPr>
                <w:rFonts w:hint="eastAsia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, min/day, median </w:t>
            </w:r>
            <w:r>
              <w:rPr>
                <w:rFonts w:hint="eastAsia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(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P25, P75</w:t>
            </w:r>
            <w:r>
              <w:rPr>
                <w:rFonts w:hint="eastAsia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)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F0364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 xml:space="preserve">30.00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(</w:t>
            </w:r>
            <w:r>
              <w:rPr>
                <w:rFonts w:hint="eastAsia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20.00, 40.00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)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98312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 xml:space="preserve">30.00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(</w:t>
            </w:r>
            <w:r>
              <w:rPr>
                <w:rFonts w:hint="eastAsia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20.00, 40.00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F260D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30.00 (20.00</w:t>
            </w:r>
            <w:r>
              <w:rPr>
                <w:rFonts w:hint="eastAsia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40.00)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9B0EE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0.004ᵇ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9C1B5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30.00 (20.00</w:t>
            </w:r>
            <w:r>
              <w:rPr>
                <w:rFonts w:hint="eastAsia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40.00)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81E8E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30.00 (20.00</w:t>
            </w:r>
            <w:r>
              <w:rPr>
                <w:rFonts w:hint="eastAsia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40.00)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216B9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0.774ᵇ</w:t>
            </w:r>
          </w:p>
        </w:tc>
      </w:tr>
      <w:tr w14:paraId="77328D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E53BD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39" w:firstLineChars="22"/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Meeting the sleep duration guideline, n (%)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EAE6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2,112 (53.37)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E0BB5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647 (66.09)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54A0D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1,465 (49.19)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CBB8A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&lt;0.001ᶜ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C28D2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985 (59.48)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BF079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1,127 (48.98)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021F1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&lt;0.001ᶜ</w:t>
            </w:r>
          </w:p>
        </w:tc>
      </w:tr>
      <w:tr w14:paraId="322661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2297E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39" w:firstLineChars="22"/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Meeting the ST guideline, n (%)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F8999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2,403 (60.73)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4F85F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742 (75.79)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91EA5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1,661 (55.78)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086EC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&lt;0.001ᶜ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5DAE3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1,074 (64.86)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C1601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1,329 (57.76)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38E8E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&lt;0.001ᶜ</w:t>
            </w:r>
          </w:p>
        </w:tc>
      </w:tr>
      <w:tr w14:paraId="43CFF6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11D91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39" w:firstLineChars="22"/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Meeting the MVPA guideline,</w:t>
            </w:r>
            <w:r>
              <w:rPr>
                <w:rFonts w:hint="eastAsia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n (%)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97572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656 (16.58)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8415C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154 (15.73)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FD96F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502 (16.86)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A59E4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0.440ᶜ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25D65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286 (17.27)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0C5A4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370 (16.08)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F2540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0.342ᶜ</w:t>
            </w:r>
          </w:p>
        </w:tc>
      </w:tr>
      <w:tr w14:paraId="5E9293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9556A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39" w:firstLineChars="22"/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Number of 24-hour movement guidelines met, mean ± SD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6C0B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1.31 ± 0.81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D246A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1.58 ± 0.76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AC60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1.22 ± 0.80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C9B92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&lt;0.001ᵃ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D5DEE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1.42 ± 0.79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F5A42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1.23 ± 0.81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A51D7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&lt;0.001ᵃ</w:t>
            </w:r>
          </w:p>
        </w:tc>
      </w:tr>
      <w:tr w14:paraId="25195F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8A499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39" w:firstLineChars="22"/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Combinations of guidelines met, n (%)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B5120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CFA94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6E706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EE655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&lt;0.001ᶜ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C2DFE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F9C66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CFDB5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&lt;0.001ᶜ</w:t>
            </w:r>
          </w:p>
        </w:tc>
      </w:tr>
      <w:tr w14:paraId="6E0B88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89F0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219" w:firstLineChars="122"/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None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7F607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675 (17.06)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11BAB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86 (8.78)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22FB2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589 (19.78)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146DA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5C0D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216 (13.04)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05A2F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459 (19.95)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ADD16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</w:tr>
      <w:tr w14:paraId="5E4A6D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F0E90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219" w:firstLineChars="122"/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Sleep duration only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51F00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605 (15.29)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F2815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117 (11.95)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6E8D0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488 (16.39)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77719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CCD3A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264 (15.94)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E6FD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341 (14.82)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FF27F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</w:tr>
      <w:tr w14:paraId="4F177A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5E514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219" w:firstLineChars="122"/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ST only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288F4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810 (20.47)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EC519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181 (18.49)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37A61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629 (21.12)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95E2E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78CCA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314 (18.96)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0E94D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496 (21.56)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22C0D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</w:tr>
      <w:tr w14:paraId="7954BA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DFAB5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219" w:firstLineChars="122"/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MVPA only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0BCF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176 (4.45)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441CE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22 (2.25)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99D48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154 (5.17)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8DD60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0891D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62 (3.74)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03B50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114 (4.95)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45310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</w:tr>
      <w:tr w14:paraId="21F116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B88CF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219" w:firstLineChars="122"/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Sleep duration and ST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AEB0F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1,211 (30.60)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1EF88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441 (45.05)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25B38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770 (25.86)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3012E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5377D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576 (34.78)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F2331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635 (27.60)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7CC37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</w:tr>
      <w:tr w14:paraId="2FC606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C4337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219" w:firstLineChars="122"/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Sleep duration and MVPA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9BC94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98 (2.48)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05196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12 (1.23)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D7794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86 (2.89)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DB833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C31B4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40 (2.42)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F3E51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58 (2.52)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B5D9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</w:tr>
      <w:tr w14:paraId="06FE0E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413D9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219" w:firstLineChars="122"/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ST and MVPA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34ACC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184 (4.65)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8CDFC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43 (4.39)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E5232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141 (4.73)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E3CD1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9A5B8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79 (4.77)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D12C1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105 (4.56)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99212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</w:tr>
      <w:tr w14:paraId="231099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A0C71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219" w:firstLineChars="122"/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All three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E534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198 (5.00)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DCB9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77 (7.87)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CD324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121 (4.06)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E58D5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EEFBD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105 (6.34)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7124A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93 (4.04)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B380E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</w:tr>
      <w:tr w14:paraId="57A9D9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229E4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5"/>
                <w:szCs w:val="15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0"/>
                <w:szCs w:val="20"/>
                <w:u w:val="none"/>
              </w:rPr>
              <w:t>Lifestyle characteristics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B641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56255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DCF0E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CC87A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A9308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6FDC6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5AF00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 xml:space="preserve"> </w:t>
            </w:r>
          </w:p>
        </w:tc>
      </w:tr>
      <w:tr w14:paraId="30420D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06827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39" w:firstLineChars="22"/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Sugar-sweetened beverage intake, n (%)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B9A03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CCFB6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C7C23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EC6B0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0.018ᶜ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400F1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9D875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03A9F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0.939ᶜ</w:t>
            </w:r>
          </w:p>
        </w:tc>
      </w:tr>
      <w:tr w14:paraId="665472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30BE6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219" w:firstLineChars="122"/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&lt;1 time/day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DF93F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3,692 (93.30)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1A2E2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930 (94.99)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C2841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2,762 (92.75)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35A96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6E80F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1,544 (93.24)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E745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2,148 (93.35)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88775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</w:tr>
      <w:tr w14:paraId="207289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BC42C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219" w:firstLineChars="122"/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≥1 time/day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54D6C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265 (6.70)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9C5B1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49 (5.01)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560F8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216 (7.25)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7FC0C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6CBDA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112 (6.76)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35C04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153 (6.65)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3300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</w:tr>
      <w:tr w14:paraId="790D91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C2C8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5"/>
                <w:szCs w:val="15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0"/>
                <w:szCs w:val="20"/>
                <w:u w:val="none"/>
              </w:rPr>
              <w:t>Ocular characteristics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AEAE6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787A2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136D8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4E382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1424A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EC6B2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9EAED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</w:tr>
      <w:tr w14:paraId="3FC216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69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B4A41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39" w:firstLineChars="22"/>
              <w:jc w:val="left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5"/>
                <w:szCs w:val="15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Axial length, mm, mean ± SD</w:t>
            </w:r>
          </w:p>
        </w:tc>
        <w:tc>
          <w:tcPr>
            <w:tcW w:w="162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F5111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23.83 ± 1.21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E1741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22.99 ± 0.79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37DA0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24.11 ± 1.19</w:t>
            </w:r>
          </w:p>
        </w:tc>
        <w:tc>
          <w:tcPr>
            <w:tcW w:w="994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1BA95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&lt;0.001ᵃ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E2451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23.45 ± 1.00</w:t>
            </w:r>
          </w:p>
        </w:tc>
        <w:tc>
          <w:tcPr>
            <w:tcW w:w="158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380C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>24.11 ± 1.26</w:t>
            </w:r>
          </w:p>
        </w:tc>
        <w:tc>
          <w:tcPr>
            <w:tcW w:w="84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802AC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30" w:after="3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  <w:lang w:val="en-US" w:eastAsia="zh-CN"/>
              </w:rPr>
              <w:t>&lt;0.001ᵃ</w:t>
            </w:r>
          </w:p>
        </w:tc>
      </w:tr>
    </w:tbl>
    <w:p w14:paraId="29E877A8">
      <w:pPr>
        <w:rPr>
          <w:rFonts w:hint="eastAsia"/>
          <w:lang w:val="en-US" w:eastAsia="zh-CN"/>
        </w:rPr>
      </w:pPr>
    </w:p>
    <w:p w14:paraId="17FA39E8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napToGrid w:val="0"/>
        <w:spacing w:before="30" w:after="30" w:line="240" w:lineRule="auto"/>
        <w:ind w:left="0" w:leftChars="0" w:right="0" w:rightChars="0" w:firstLine="0" w:firstLineChars="0"/>
        <w:jc w:val="left"/>
        <w:rPr>
          <w:rFonts w:hint="default" w:ascii="Times New Roman" w:hAnsi="Times New Roman" w:eastAsia="Times New Roman" w:cs="Times New Roman"/>
          <w:b w:val="0"/>
          <w:bCs w:val="0"/>
          <w:i w:val="0"/>
          <w:strike w:val="0"/>
          <w:color w:val="000000"/>
          <w:sz w:val="20"/>
          <w:szCs w:val="20"/>
          <w:u w:val="none"/>
          <w:lang w:val="en-US" w:eastAsia="zh-CN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000000"/>
          <w:sz w:val="20"/>
          <w:szCs w:val="20"/>
          <w:u w:val="none"/>
        </w:rPr>
        <w:t xml:space="preserve">Values are presented as mean ± SD, median (P25, P75), or n (%), as appropriate. </w:t>
      </w:r>
      <w:r>
        <w:rPr>
          <w:rFonts w:ascii="Times New Roman" w:hAnsi="Times New Roman" w:eastAsia="Times New Roman" w:cs="Times New Roman"/>
          <w:b w:val="0"/>
          <w:bCs w:val="0"/>
          <w:i/>
          <w:strike w:val="0"/>
          <w:color w:val="000000"/>
          <w:sz w:val="22"/>
          <w:szCs w:val="22"/>
          <w:u w:val="none"/>
        </w:rPr>
        <w:t>p</w:t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000000"/>
          <w:sz w:val="22"/>
          <w:szCs w:val="22"/>
          <w:u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000000"/>
          <w:sz w:val="20"/>
          <w:szCs w:val="20"/>
          <w:u w:val="none"/>
        </w:rPr>
        <w:t>value</w:t>
      </w:r>
      <w:r>
        <w:rPr>
          <w:rFonts w:hint="eastAsia" w:ascii="Times New Roman" w:hAnsi="Times New Roman" w:eastAsia="Times New Roman" w:cs="Times New Roman"/>
          <w:b w:val="0"/>
          <w:bCs w:val="0"/>
          <w:i w:val="0"/>
          <w:strike w:val="0"/>
          <w:color w:val="000000"/>
          <w:sz w:val="20"/>
          <w:szCs w:val="20"/>
          <w:u w:val="none"/>
          <w:lang w:val="en-US" w:eastAsia="zh-CN"/>
        </w:rPr>
        <w:t>s</w:t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000000"/>
          <w:sz w:val="20"/>
          <w:szCs w:val="20"/>
          <w:u w:val="none"/>
        </w:rPr>
        <w:t xml:space="preserve"> compare participants with and without myopia and participants with and without poor vision, respectively.</w:t>
      </w:r>
      <w:r>
        <w:rPr>
          <w:rFonts w:hint="eastAsia" w:ascii="Times New Roman" w:hAnsi="Times New Roman" w:eastAsia="Times New Roman" w:cs="Times New Roman"/>
          <w:b w:val="0"/>
          <w:bCs w:val="0"/>
          <w:i w:val="0"/>
          <w:strike w:val="0"/>
          <w:color w:val="000000"/>
          <w:sz w:val="20"/>
          <w:szCs w:val="20"/>
          <w:u w:val="none"/>
          <w:lang w:val="en-US" w:eastAsia="zh-CN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000000"/>
          <w:sz w:val="20"/>
          <w:szCs w:val="20"/>
          <w:u w:val="none"/>
        </w:rPr>
        <w:t>^a Independent-samples t test; ^b Wilcoxon rank-sum test; ^c chi-square test or Fisher’s exact test.</w:t>
      </w:r>
      <w:r>
        <w:rPr>
          <w:rFonts w:hint="eastAsia" w:ascii="Times New Roman" w:hAnsi="Times New Roman" w:eastAsia="Times New Roman" w:cs="Times New Roman"/>
          <w:b w:val="0"/>
          <w:bCs w:val="0"/>
          <w:i w:val="0"/>
          <w:strike w:val="0"/>
          <w:color w:val="000000"/>
          <w:sz w:val="20"/>
          <w:szCs w:val="20"/>
          <w:u w:val="none"/>
          <w:lang w:val="en-US" w:eastAsia="zh-CN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000000"/>
          <w:sz w:val="20"/>
          <w:szCs w:val="20"/>
          <w:u w:val="none"/>
        </w:rPr>
        <w:t>ST = recreational screen time;</w:t>
      </w:r>
      <w:r>
        <w:rPr>
          <w:rFonts w:hint="eastAsia" w:ascii="Times New Roman" w:hAnsi="Times New Roman" w:eastAsia="宋体" w:cs="Times New Roman"/>
          <w:b w:val="0"/>
          <w:bCs w:val="0"/>
          <w:i w:val="0"/>
          <w:strike w:val="0"/>
          <w:color w:val="000000"/>
          <w:sz w:val="20"/>
          <w:szCs w:val="20"/>
          <w:u w:val="none"/>
          <w:lang w:val="en-US" w:eastAsia="zh-CN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000000"/>
          <w:sz w:val="20"/>
          <w:szCs w:val="20"/>
          <w:u w:val="none"/>
        </w:rPr>
        <w:t>MVPA = moderate-to-vigorous physical activity; BMI</w:t>
      </w:r>
      <w:r>
        <w:rPr>
          <w:rFonts w:hint="eastAsia" w:ascii="Times New Roman" w:hAnsi="Times New Roman" w:eastAsia="Times New Roman" w:cs="Times New Roman"/>
          <w:b w:val="0"/>
          <w:bCs w:val="0"/>
          <w:i w:val="0"/>
          <w:strike w:val="0"/>
          <w:color w:val="000000"/>
          <w:sz w:val="20"/>
          <w:szCs w:val="20"/>
          <w:u w:val="none"/>
          <w:lang w:val="en-US" w:eastAsia="zh-CN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000000"/>
          <w:sz w:val="20"/>
          <w:szCs w:val="20"/>
          <w:u w:val="none"/>
        </w:rPr>
        <w:t>=</w:t>
      </w:r>
      <w:r>
        <w:rPr>
          <w:rFonts w:hint="eastAsia" w:ascii="Times New Roman" w:hAnsi="Times New Roman" w:eastAsia="宋体" w:cs="Times New Roman"/>
          <w:b w:val="0"/>
          <w:bCs w:val="0"/>
          <w:i w:val="0"/>
          <w:strike w:val="0"/>
          <w:color w:val="000000"/>
          <w:sz w:val="20"/>
          <w:szCs w:val="20"/>
          <w:u w:val="none"/>
          <w:lang w:val="en-US" w:eastAsia="zh-CN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000000"/>
          <w:sz w:val="20"/>
          <w:szCs w:val="20"/>
          <w:u w:val="none"/>
        </w:rPr>
        <w:t>body mass index</w:t>
      </w:r>
      <w:r>
        <w:rPr>
          <w:rFonts w:hint="eastAsia" w:ascii="Times New Roman" w:hAnsi="Times New Roman" w:eastAsia="Times New Roman" w:cs="Times New Roman"/>
          <w:b w:val="0"/>
          <w:bCs w:val="0"/>
          <w:i w:val="0"/>
          <w:strike w:val="0"/>
          <w:color w:val="000000"/>
          <w:sz w:val="20"/>
          <w:szCs w:val="20"/>
          <w:u w:val="none"/>
          <w:lang w:val="en-US" w:eastAsia="zh-CN"/>
        </w:rPr>
        <w:t xml:space="preserve">; </w:t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000000"/>
          <w:sz w:val="20"/>
          <w:szCs w:val="20"/>
          <w:u w:val="none"/>
        </w:rPr>
        <w:t>SD = standard deviation.</w:t>
      </w:r>
    </w:p>
    <w:p w14:paraId="13A9FCFA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610D2F"/>
    <w:rsid w:val="7F610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2026-06-25T00:01:00Z</dcterms:created>
  <dc:creator>HSY</dc:creator>
  <cp:lastModifiedBy>HSY</cp:lastModifiedBy>
  <dcterms:modified xsi:type="dcterms:W3CDTF">2026-06-25T00:15:29Z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B478CFFBE4874173BCB091BB1E2806C4_11</vt:lpwstr>
  </property>
  <property fmtid="{D5CDD505-2E9C-101B-9397-08002B2CF9AE}" pid="4" name="KSOTemplateDocerSaveRecord">
    <vt:lpwstr>eyJoZGlkIjoiZjNiYzU1OGEzZWVlODM4YWYzZDE5NjAwNzc5NjU5MzEiLCJ1c2VySWQiOiIxMDg1MDAxODAyIn0=</vt:lpwstr>
  </property>
</Properties>
</file>