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59090">
      <w:pPr>
        <w:pBdr>
          <w:top w:val="none" w:color="000000" w:sz="0" w:space="0"/>
          <w:left w:val="none" w:color="000000" w:sz="0" w:space="0"/>
          <w:bottom w:val="none" w:color="000000" w:sz="0" w:space="0"/>
          <w:right w:val="none" w:color="000000" w:sz="0" w:space="0"/>
        </w:pBdr>
        <w:snapToGrid w:val="0"/>
        <w:spacing w:before="30" w:after="30" w:line="240" w:lineRule="auto"/>
        <w:ind w:left="0" w:leftChars="0" w:right="0" w:rightChars="0" w:firstLine="0" w:firstLineChars="0"/>
        <w:jc w:val="left"/>
        <w:rPr>
          <w:rFonts w:hint="default" w:ascii="Times New Roman" w:hAnsi="Times New Roman" w:eastAsia="Times New Roman" w:cs="Times New Roman"/>
          <w:b/>
          <w:bCs/>
          <w:i w:val="0"/>
          <w:strike w:val="0"/>
          <w:color w:val="000000"/>
          <w:sz w:val="20"/>
          <w:szCs w:val="20"/>
          <w:u w:val="none"/>
          <w:lang w:val="en-US" w:eastAsia="zh-CN"/>
        </w:rPr>
      </w:pPr>
      <w:r>
        <w:rPr>
          <w:rFonts w:hint="eastAsia" w:ascii="Times New Roman" w:hAnsi="Times New Roman" w:eastAsia="Times New Roman" w:cs="Times New Roman"/>
          <w:b/>
          <w:bCs/>
          <w:i w:val="0"/>
          <w:strike w:val="0"/>
          <w:color w:val="000000"/>
          <w:sz w:val="20"/>
          <w:szCs w:val="20"/>
          <w:u w:val="none"/>
          <w:lang w:val="en-US" w:eastAsia="zh-CN"/>
        </w:rPr>
        <w:t>Table 2. Continuous 24-hour movement behaviors and ocular outcomes.</w:t>
      </w:r>
    </w:p>
    <w:tbl>
      <w:tblPr>
        <w:tblStyle w:val="2"/>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365"/>
        <w:gridCol w:w="1761"/>
        <w:gridCol w:w="720"/>
        <w:gridCol w:w="1761"/>
        <w:gridCol w:w="720"/>
        <w:gridCol w:w="1903"/>
        <w:gridCol w:w="720"/>
      </w:tblGrid>
      <w:tr w14:paraId="6C8B9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2281" w:type="pct"/>
            <w:vMerge w:val="restart"/>
            <w:tcBorders>
              <w:top w:val="single" w:color="000000" w:sz="8" w:space="0"/>
              <w:left w:val="nil"/>
              <w:bottom w:val="single" w:color="000000" w:sz="8" w:space="0"/>
              <w:right w:val="nil"/>
            </w:tcBorders>
            <w:shd w:val="clear" w:color="auto" w:fill="auto"/>
            <w:vAlign w:val="center"/>
          </w:tcPr>
          <w:p w14:paraId="27CA88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Continuous movement behavior</w:t>
            </w:r>
          </w:p>
        </w:tc>
        <w:tc>
          <w:tcPr>
            <w:tcW w:w="889" w:type="pct"/>
            <w:gridSpan w:val="2"/>
            <w:tcBorders>
              <w:top w:val="single" w:color="000000" w:sz="8" w:space="0"/>
              <w:left w:val="nil"/>
              <w:bottom w:val="nil"/>
              <w:right w:val="nil"/>
            </w:tcBorders>
            <w:shd w:val="clear" w:color="auto" w:fill="auto"/>
            <w:vAlign w:val="center"/>
          </w:tcPr>
          <w:p w14:paraId="73417E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Myopia</w:t>
            </w:r>
          </w:p>
        </w:tc>
        <w:tc>
          <w:tcPr>
            <w:tcW w:w="889" w:type="pct"/>
            <w:gridSpan w:val="2"/>
            <w:tcBorders>
              <w:top w:val="single" w:color="000000" w:sz="8" w:space="0"/>
              <w:left w:val="nil"/>
              <w:bottom w:val="nil"/>
              <w:right w:val="nil"/>
            </w:tcBorders>
            <w:shd w:val="clear" w:color="auto" w:fill="auto"/>
            <w:vAlign w:val="center"/>
          </w:tcPr>
          <w:p w14:paraId="7C54E1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Poor vision</w:t>
            </w:r>
          </w:p>
        </w:tc>
        <w:tc>
          <w:tcPr>
            <w:tcW w:w="940" w:type="pct"/>
            <w:gridSpan w:val="2"/>
            <w:tcBorders>
              <w:top w:val="single" w:color="000000" w:sz="8" w:space="0"/>
              <w:left w:val="nil"/>
              <w:bottom w:val="nil"/>
              <w:right w:val="nil"/>
            </w:tcBorders>
            <w:shd w:val="clear" w:color="auto" w:fill="auto"/>
            <w:vAlign w:val="center"/>
          </w:tcPr>
          <w:p w14:paraId="3BFE01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Axial length</w:t>
            </w:r>
          </w:p>
        </w:tc>
      </w:tr>
      <w:tr w14:paraId="1C757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2281" w:type="pct"/>
            <w:vMerge w:val="continue"/>
            <w:tcBorders>
              <w:top w:val="single" w:color="000000" w:sz="8" w:space="0"/>
              <w:left w:val="nil"/>
              <w:bottom w:val="single" w:color="000000" w:sz="8" w:space="0"/>
              <w:right w:val="nil"/>
            </w:tcBorders>
            <w:shd w:val="clear" w:color="auto" w:fill="auto"/>
            <w:vAlign w:val="center"/>
          </w:tcPr>
          <w:p w14:paraId="754CDCF5">
            <w:pPr>
              <w:snapToGrid w:val="0"/>
              <w:ind w:left="0" w:leftChars="0" w:right="0" w:rightChars="0" w:firstLine="0" w:firstLineChars="0"/>
              <w:jc w:val="center"/>
              <w:rPr>
                <w:rFonts w:hint="default" w:ascii="Times New Roman" w:hAnsi="Times New Roman" w:eastAsia="宋体" w:cs="Times New Roman"/>
                <w:b/>
                <w:bCs/>
                <w:i w:val="0"/>
                <w:iCs w:val="0"/>
                <w:color w:val="000000"/>
                <w:sz w:val="22"/>
                <w:szCs w:val="22"/>
                <w:u w:val="none"/>
              </w:rPr>
            </w:pPr>
          </w:p>
        </w:tc>
        <w:tc>
          <w:tcPr>
            <w:tcW w:w="631" w:type="pct"/>
            <w:tcBorders>
              <w:top w:val="nil"/>
              <w:left w:val="nil"/>
              <w:bottom w:val="single" w:color="000000" w:sz="8" w:space="0"/>
              <w:right w:val="nil"/>
            </w:tcBorders>
            <w:shd w:val="clear" w:color="auto" w:fill="auto"/>
            <w:vAlign w:val="center"/>
          </w:tcPr>
          <w:p w14:paraId="794401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aOR (95% CI)</w:t>
            </w:r>
          </w:p>
        </w:tc>
        <w:tc>
          <w:tcPr>
            <w:tcW w:w="258" w:type="pct"/>
            <w:tcBorders>
              <w:top w:val="nil"/>
              <w:left w:val="nil"/>
              <w:bottom w:val="single" w:color="000000" w:sz="8" w:space="0"/>
              <w:right w:val="nil"/>
            </w:tcBorders>
            <w:shd w:val="clear" w:color="auto" w:fill="auto"/>
            <w:vAlign w:val="center"/>
          </w:tcPr>
          <w:p w14:paraId="0A04BF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ascii="Times New Roman" w:hAnsi="Times New Roman" w:eastAsia="宋体" w:cs="Times New Roman"/>
                <w:b/>
                <w:bCs/>
                <w:i/>
                <w:strike w:val="0"/>
                <w:color w:val="000000"/>
                <w:sz w:val="22"/>
                <w:szCs w:val="22"/>
                <w:u w:val="none"/>
              </w:rPr>
              <w:t>p</w:t>
            </w:r>
            <w:r>
              <w:rPr>
                <w:rFonts w:ascii="Times New Roman" w:hAnsi="Times New Roman" w:eastAsia="宋体" w:cs="Times New Roman"/>
                <w:b/>
                <w:bCs/>
                <w:i w:val="0"/>
                <w:strike w:val="0"/>
                <w:color w:val="000000"/>
                <w:sz w:val="22"/>
                <w:szCs w:val="22"/>
                <w:u w:val="none"/>
              </w:rPr>
              <w:t xml:space="preserve"> value</w:t>
            </w:r>
          </w:p>
        </w:tc>
        <w:tc>
          <w:tcPr>
            <w:tcW w:w="631" w:type="pct"/>
            <w:tcBorders>
              <w:top w:val="nil"/>
              <w:left w:val="nil"/>
              <w:bottom w:val="single" w:color="000000" w:sz="8" w:space="0"/>
              <w:right w:val="nil"/>
            </w:tcBorders>
            <w:shd w:val="clear" w:color="auto" w:fill="auto"/>
            <w:vAlign w:val="center"/>
          </w:tcPr>
          <w:p w14:paraId="707EFB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aOR (95% CI)</w:t>
            </w:r>
          </w:p>
        </w:tc>
        <w:tc>
          <w:tcPr>
            <w:tcW w:w="258" w:type="pct"/>
            <w:tcBorders>
              <w:top w:val="nil"/>
              <w:left w:val="nil"/>
              <w:bottom w:val="single" w:color="000000" w:sz="8" w:space="0"/>
              <w:right w:val="nil"/>
            </w:tcBorders>
            <w:shd w:val="clear" w:color="auto" w:fill="auto"/>
            <w:vAlign w:val="center"/>
          </w:tcPr>
          <w:p w14:paraId="4C4B46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ascii="Times New Roman" w:hAnsi="Times New Roman" w:eastAsia="宋体" w:cs="Times New Roman"/>
                <w:b/>
                <w:bCs/>
                <w:i/>
                <w:strike w:val="0"/>
                <w:color w:val="000000"/>
                <w:sz w:val="22"/>
                <w:szCs w:val="22"/>
                <w:u w:val="none"/>
              </w:rPr>
              <w:t>p</w:t>
            </w:r>
            <w:r>
              <w:rPr>
                <w:rFonts w:ascii="Times New Roman" w:hAnsi="Times New Roman" w:eastAsia="宋体" w:cs="Times New Roman"/>
                <w:b/>
                <w:bCs/>
                <w:i w:val="0"/>
                <w:strike w:val="0"/>
                <w:color w:val="000000"/>
                <w:sz w:val="22"/>
                <w:szCs w:val="22"/>
                <w:u w:val="none"/>
              </w:rPr>
              <w:t xml:space="preserve"> value</w:t>
            </w:r>
          </w:p>
        </w:tc>
        <w:tc>
          <w:tcPr>
            <w:tcW w:w="682" w:type="pct"/>
            <w:tcBorders>
              <w:top w:val="nil"/>
              <w:left w:val="nil"/>
              <w:bottom w:val="single" w:color="000000" w:sz="8" w:space="0"/>
              <w:right w:val="nil"/>
            </w:tcBorders>
            <w:shd w:val="clear" w:color="auto" w:fill="auto"/>
            <w:vAlign w:val="center"/>
          </w:tcPr>
          <w:p w14:paraId="055B5C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β (95% CI)</w:t>
            </w:r>
          </w:p>
        </w:tc>
        <w:tc>
          <w:tcPr>
            <w:tcW w:w="258" w:type="pct"/>
            <w:tcBorders>
              <w:top w:val="nil"/>
              <w:left w:val="nil"/>
              <w:bottom w:val="single" w:color="000000" w:sz="8" w:space="0"/>
              <w:right w:val="nil"/>
            </w:tcBorders>
            <w:shd w:val="clear" w:color="auto" w:fill="auto"/>
            <w:vAlign w:val="center"/>
          </w:tcPr>
          <w:p w14:paraId="413BE9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ascii="Times New Roman" w:hAnsi="Times New Roman" w:eastAsia="宋体" w:cs="Times New Roman"/>
                <w:b/>
                <w:bCs/>
                <w:i/>
                <w:strike w:val="0"/>
                <w:color w:val="000000"/>
                <w:sz w:val="22"/>
                <w:szCs w:val="22"/>
                <w:u w:val="none"/>
              </w:rPr>
              <w:t>p</w:t>
            </w:r>
            <w:r>
              <w:rPr>
                <w:rFonts w:ascii="Times New Roman" w:hAnsi="Times New Roman" w:eastAsia="宋体" w:cs="Times New Roman"/>
                <w:b/>
                <w:bCs/>
                <w:i w:val="0"/>
                <w:strike w:val="0"/>
                <w:color w:val="000000"/>
                <w:sz w:val="22"/>
                <w:szCs w:val="22"/>
                <w:u w:val="none"/>
              </w:rPr>
              <w:t xml:space="preserve"> value</w:t>
            </w:r>
          </w:p>
        </w:tc>
      </w:tr>
      <w:tr w14:paraId="10F51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2281" w:type="pct"/>
            <w:tcBorders>
              <w:top w:val="nil"/>
              <w:left w:val="nil"/>
              <w:bottom w:val="nil"/>
              <w:right w:val="nil"/>
            </w:tcBorders>
            <w:shd w:val="clear" w:color="auto" w:fill="auto"/>
            <w:vAlign w:val="center"/>
          </w:tcPr>
          <w:p w14:paraId="0B65E6C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Sleep duration, per 1 h/day increase</w:t>
            </w:r>
          </w:p>
        </w:tc>
        <w:tc>
          <w:tcPr>
            <w:tcW w:w="631" w:type="pct"/>
            <w:tcBorders>
              <w:top w:val="nil"/>
              <w:left w:val="nil"/>
              <w:bottom w:val="nil"/>
              <w:right w:val="nil"/>
            </w:tcBorders>
            <w:shd w:val="clear" w:color="auto" w:fill="auto"/>
            <w:vAlign w:val="center"/>
          </w:tcPr>
          <w:p w14:paraId="1EF39A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0.914 (0.824, 1.015)</w:t>
            </w:r>
          </w:p>
        </w:tc>
        <w:tc>
          <w:tcPr>
            <w:tcW w:w="258" w:type="pct"/>
            <w:tcBorders>
              <w:top w:val="nil"/>
              <w:left w:val="nil"/>
              <w:bottom w:val="nil"/>
              <w:right w:val="nil"/>
            </w:tcBorders>
            <w:shd w:val="clear" w:color="auto" w:fill="auto"/>
            <w:vAlign w:val="center"/>
          </w:tcPr>
          <w:p w14:paraId="60B5B8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0.093</w:t>
            </w:r>
          </w:p>
        </w:tc>
        <w:tc>
          <w:tcPr>
            <w:tcW w:w="631" w:type="pct"/>
            <w:tcBorders>
              <w:top w:val="nil"/>
              <w:left w:val="nil"/>
              <w:bottom w:val="nil"/>
              <w:right w:val="nil"/>
            </w:tcBorders>
            <w:shd w:val="clear" w:color="auto" w:fill="auto"/>
            <w:vAlign w:val="center"/>
          </w:tcPr>
          <w:p w14:paraId="6FF59B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0.875 (0.808, 0.947)</w:t>
            </w:r>
          </w:p>
        </w:tc>
        <w:tc>
          <w:tcPr>
            <w:tcW w:w="258" w:type="pct"/>
            <w:tcBorders>
              <w:top w:val="nil"/>
              <w:left w:val="nil"/>
              <w:bottom w:val="nil"/>
              <w:right w:val="nil"/>
            </w:tcBorders>
            <w:shd w:val="clear" w:color="auto" w:fill="auto"/>
            <w:vAlign w:val="center"/>
          </w:tcPr>
          <w:p w14:paraId="452AEC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682" w:type="pct"/>
            <w:tcBorders>
              <w:top w:val="nil"/>
              <w:left w:val="nil"/>
              <w:bottom w:val="nil"/>
              <w:right w:val="nil"/>
            </w:tcBorders>
            <w:shd w:val="clear" w:color="auto" w:fill="auto"/>
            <w:vAlign w:val="center"/>
          </w:tcPr>
          <w:p w14:paraId="2BC650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-0.033 (-0.070, 0.003)</w:t>
            </w:r>
          </w:p>
        </w:tc>
        <w:tc>
          <w:tcPr>
            <w:tcW w:w="258" w:type="pct"/>
            <w:tcBorders>
              <w:top w:val="nil"/>
              <w:left w:val="nil"/>
              <w:bottom w:val="nil"/>
              <w:right w:val="nil"/>
            </w:tcBorders>
            <w:shd w:val="clear" w:color="auto" w:fill="auto"/>
            <w:vAlign w:val="center"/>
          </w:tcPr>
          <w:p w14:paraId="6EE7F8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0.073</w:t>
            </w:r>
          </w:p>
        </w:tc>
      </w:tr>
      <w:tr w14:paraId="3EEBA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2281" w:type="pct"/>
            <w:tcBorders>
              <w:top w:val="nil"/>
              <w:left w:val="nil"/>
              <w:bottom w:val="nil"/>
              <w:right w:val="nil"/>
            </w:tcBorders>
            <w:shd w:val="clear" w:color="auto" w:fill="auto"/>
            <w:vAlign w:val="center"/>
          </w:tcPr>
          <w:p w14:paraId="718E702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Recreational screen time (ST), per 1 h/day increase</w:t>
            </w:r>
          </w:p>
        </w:tc>
        <w:tc>
          <w:tcPr>
            <w:tcW w:w="631" w:type="pct"/>
            <w:tcBorders>
              <w:top w:val="nil"/>
              <w:left w:val="nil"/>
              <w:bottom w:val="nil"/>
              <w:right w:val="nil"/>
            </w:tcBorders>
            <w:shd w:val="clear" w:color="auto" w:fill="auto"/>
            <w:vAlign w:val="center"/>
          </w:tcPr>
          <w:p w14:paraId="5876E1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1.159 (1.102, 1.221)</w:t>
            </w:r>
          </w:p>
        </w:tc>
        <w:tc>
          <w:tcPr>
            <w:tcW w:w="258" w:type="pct"/>
            <w:tcBorders>
              <w:top w:val="nil"/>
              <w:left w:val="nil"/>
              <w:bottom w:val="nil"/>
              <w:right w:val="nil"/>
            </w:tcBorders>
            <w:shd w:val="clear" w:color="auto" w:fill="auto"/>
            <w:vAlign w:val="center"/>
          </w:tcPr>
          <w:p w14:paraId="68A63B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631" w:type="pct"/>
            <w:tcBorders>
              <w:top w:val="nil"/>
              <w:left w:val="nil"/>
              <w:bottom w:val="nil"/>
              <w:right w:val="nil"/>
            </w:tcBorders>
            <w:shd w:val="clear" w:color="auto" w:fill="auto"/>
            <w:vAlign w:val="center"/>
          </w:tcPr>
          <w:p w14:paraId="078519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1.025 (0.989, 1.062)</w:t>
            </w:r>
          </w:p>
        </w:tc>
        <w:tc>
          <w:tcPr>
            <w:tcW w:w="258" w:type="pct"/>
            <w:tcBorders>
              <w:top w:val="nil"/>
              <w:left w:val="nil"/>
              <w:bottom w:val="nil"/>
              <w:right w:val="nil"/>
            </w:tcBorders>
            <w:shd w:val="clear" w:color="auto" w:fill="auto"/>
            <w:vAlign w:val="center"/>
          </w:tcPr>
          <w:p w14:paraId="3C722D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0.176</w:t>
            </w:r>
          </w:p>
        </w:tc>
        <w:tc>
          <w:tcPr>
            <w:tcW w:w="682" w:type="pct"/>
            <w:tcBorders>
              <w:top w:val="nil"/>
              <w:left w:val="nil"/>
              <w:bottom w:val="nil"/>
              <w:right w:val="nil"/>
            </w:tcBorders>
            <w:shd w:val="clear" w:color="auto" w:fill="auto"/>
            <w:vAlign w:val="center"/>
          </w:tcPr>
          <w:p w14:paraId="4D5257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-0.001 (-0.017, 0.015)</w:t>
            </w:r>
          </w:p>
        </w:tc>
        <w:tc>
          <w:tcPr>
            <w:tcW w:w="258" w:type="pct"/>
            <w:tcBorders>
              <w:top w:val="nil"/>
              <w:left w:val="nil"/>
              <w:bottom w:val="nil"/>
              <w:right w:val="nil"/>
            </w:tcBorders>
            <w:shd w:val="clear" w:color="auto" w:fill="auto"/>
            <w:vAlign w:val="center"/>
          </w:tcPr>
          <w:p w14:paraId="32158B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0.918</w:t>
            </w:r>
          </w:p>
        </w:tc>
      </w:tr>
      <w:tr w14:paraId="08F91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2281" w:type="pct"/>
            <w:tcBorders>
              <w:top w:val="nil"/>
              <w:left w:val="nil"/>
              <w:bottom w:val="single" w:color="000000" w:sz="8" w:space="0"/>
              <w:right w:val="nil"/>
            </w:tcBorders>
            <w:shd w:val="clear" w:color="auto" w:fill="auto"/>
            <w:vAlign w:val="center"/>
          </w:tcPr>
          <w:p w14:paraId="7C680A0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Moderate-to-vigorous physical activity (MVPA), per 30 min/day increase</w:t>
            </w:r>
          </w:p>
        </w:tc>
        <w:tc>
          <w:tcPr>
            <w:tcW w:w="631" w:type="pct"/>
            <w:tcBorders>
              <w:top w:val="nil"/>
              <w:left w:val="nil"/>
              <w:bottom w:val="single" w:color="000000" w:sz="8" w:space="0"/>
              <w:right w:val="nil"/>
            </w:tcBorders>
            <w:shd w:val="clear" w:color="auto" w:fill="auto"/>
            <w:vAlign w:val="center"/>
          </w:tcPr>
          <w:p w14:paraId="2F02F3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0.967 (0.879, 1.067)</w:t>
            </w:r>
          </w:p>
        </w:tc>
        <w:tc>
          <w:tcPr>
            <w:tcW w:w="258" w:type="pct"/>
            <w:tcBorders>
              <w:top w:val="nil"/>
              <w:left w:val="nil"/>
              <w:bottom w:val="single" w:color="000000" w:sz="8" w:space="0"/>
              <w:right w:val="nil"/>
            </w:tcBorders>
            <w:shd w:val="clear" w:color="auto" w:fill="auto"/>
            <w:vAlign w:val="center"/>
          </w:tcPr>
          <w:p w14:paraId="768A4C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0.498</w:t>
            </w:r>
          </w:p>
        </w:tc>
        <w:tc>
          <w:tcPr>
            <w:tcW w:w="631" w:type="pct"/>
            <w:tcBorders>
              <w:top w:val="nil"/>
              <w:left w:val="nil"/>
              <w:bottom w:val="single" w:color="000000" w:sz="8" w:space="0"/>
              <w:right w:val="nil"/>
            </w:tcBorders>
            <w:shd w:val="clear" w:color="auto" w:fill="auto"/>
            <w:vAlign w:val="center"/>
          </w:tcPr>
          <w:p w14:paraId="632DD6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0.955 (0.884, 1.033)</w:t>
            </w:r>
          </w:p>
        </w:tc>
        <w:tc>
          <w:tcPr>
            <w:tcW w:w="258" w:type="pct"/>
            <w:tcBorders>
              <w:top w:val="nil"/>
              <w:left w:val="nil"/>
              <w:bottom w:val="single" w:color="000000" w:sz="8" w:space="0"/>
              <w:right w:val="nil"/>
            </w:tcBorders>
            <w:shd w:val="clear" w:color="auto" w:fill="auto"/>
            <w:vAlign w:val="center"/>
          </w:tcPr>
          <w:p w14:paraId="50980F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0.247</w:t>
            </w:r>
          </w:p>
        </w:tc>
        <w:tc>
          <w:tcPr>
            <w:tcW w:w="682" w:type="pct"/>
            <w:tcBorders>
              <w:top w:val="nil"/>
              <w:left w:val="nil"/>
              <w:bottom w:val="single" w:color="000000" w:sz="8" w:space="0"/>
              <w:right w:val="nil"/>
            </w:tcBorders>
            <w:shd w:val="clear" w:color="auto" w:fill="auto"/>
            <w:vAlign w:val="center"/>
          </w:tcPr>
          <w:p w14:paraId="42113F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0.007 (-0.029, 0.043)</w:t>
            </w:r>
          </w:p>
        </w:tc>
        <w:tc>
          <w:tcPr>
            <w:tcW w:w="258" w:type="pct"/>
            <w:tcBorders>
              <w:top w:val="nil"/>
              <w:left w:val="nil"/>
              <w:bottom w:val="single" w:color="000000" w:sz="8" w:space="0"/>
              <w:right w:val="nil"/>
            </w:tcBorders>
            <w:shd w:val="clear" w:color="auto" w:fill="auto"/>
            <w:vAlign w:val="center"/>
          </w:tcPr>
          <w:p w14:paraId="4C3A48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0.703</w:t>
            </w:r>
          </w:p>
        </w:tc>
      </w:tr>
    </w:tbl>
    <w:p w14:paraId="5480619F">
      <w:pPr>
        <w:rPr>
          <w:rFonts w:hint="eastAsia" w:eastAsiaTheme="minorEastAsia"/>
          <w:lang w:eastAsia="zh-CN"/>
        </w:rPr>
      </w:pPr>
    </w:p>
    <w:p w14:paraId="54BE1C28">
      <w:pPr>
        <w:pBdr>
          <w:top w:val="none" w:color="000000" w:sz="0" w:space="0"/>
          <w:left w:val="none" w:color="000000" w:sz="0" w:space="0"/>
          <w:bottom w:val="none" w:color="000000" w:sz="0" w:space="0"/>
          <w:right w:val="none" w:color="000000" w:sz="0" w:space="0"/>
        </w:pBdr>
        <w:snapToGrid w:val="0"/>
        <w:spacing w:before="30" w:after="30" w:line="240" w:lineRule="auto"/>
        <w:ind w:left="0" w:leftChars="0" w:right="0" w:rightChars="0" w:firstLine="0" w:firstLineChars="0"/>
        <w:jc w:val="left"/>
        <w:rPr>
          <w:rFonts w:hint="eastAsia" w:ascii="Times New Roman" w:hAnsi="Times New Roman" w:eastAsia="Times New Roman" w:cs="Times New Roman"/>
          <w:b w:val="0"/>
          <w:bCs w:val="0"/>
          <w:i w:val="0"/>
          <w:strike w:val="0"/>
          <w:color w:val="000000"/>
          <w:sz w:val="20"/>
          <w:szCs w:val="20"/>
          <w:u w:val="none"/>
          <w:lang w:val="en-US" w:eastAsia="zh-CN"/>
        </w:rPr>
      </w:pPr>
      <w:r>
        <w:rPr>
          <w:rFonts w:hint="eastAsia" w:ascii="Times New Roman" w:hAnsi="Times New Roman" w:eastAsia="Times New Roman" w:cs="Times New Roman"/>
          <w:b w:val="0"/>
          <w:bCs w:val="0"/>
          <w:i w:val="0"/>
          <w:strike w:val="0"/>
          <w:color w:val="000000"/>
          <w:sz w:val="20"/>
          <w:szCs w:val="20"/>
          <w:u w:val="none"/>
          <w:lang w:val="en-US" w:eastAsia="zh-CN"/>
        </w:rPr>
        <w:t>Ocular outcomes included myopia, poor vision, and axial length. Values are presented as adjusted odds ratios (aORs) or β coefficients with 95% confidence intervals (CIs). Logistic regression models were used for myopia and poor vision, and linear regression models were used for axial length. Adjusted for age, sex, BMI, parental myopia, parental education, and sugar-sweetened beverage intake.</w:t>
      </w:r>
    </w:p>
    <w:p w14:paraId="4148801E">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F86C76"/>
    <w:rsid w:val="21F86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2026-06-25T00:15:00Z</dcterms:created>
  <dc:creator>HSY</dc:creator>
  <cp:lastModifiedBy>HSY</cp:lastModifiedBy>
  <dcterms:modified xsi:type="dcterms:W3CDTF">2026-06-25T00:16:41Z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40B9C52974DB422CA1734140D9C463BB_11</vt:lpwstr>
  </property>
  <property fmtid="{D5CDD505-2E9C-101B-9397-08002B2CF9AE}" pid="4" name="KSOTemplateDocerSaveRecord">
    <vt:lpwstr>eyJoZGlkIjoiZjNiYzU1OGEzZWVlODM4YWYzZDE5NjAwNzc5NjU5MzEiLCJ1c2VySWQiOiIxMDg1MDAxODAyIn0=</vt:lpwstr>
  </property>
</Properties>
</file>