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30586F">
      <w:pPr>
        <w:widowControl/>
        <w:spacing w:line="240" w:lineRule="auto"/>
        <w:jc w:val="center"/>
        <w:rPr>
          <w:rFonts w:eastAsia="宋体" w:cs="Times New Roman"/>
          <w:kern w:val="0"/>
          <w:sz w:val="32"/>
          <w:szCs w:val="32"/>
          <w:lang w:eastAsia="en-US"/>
        </w:rPr>
      </w:pPr>
      <w:r>
        <w:rPr>
          <w:rFonts w:eastAsia="宋体" w:cs="Times New Roman"/>
          <w:kern w:val="0"/>
          <w:sz w:val="32"/>
          <w:szCs w:val="32"/>
          <w:lang w:eastAsia="en-US"/>
        </w:rPr>
        <w:t>Supplementary Materials for</w:t>
      </w:r>
    </w:p>
    <w:p w14:paraId="010AA1D3">
      <w:pPr>
        <w:widowControl/>
        <w:spacing w:line="240" w:lineRule="auto"/>
        <w:jc w:val="left"/>
        <w:rPr>
          <w:rFonts w:eastAsia="宋体" w:cs="Times New Roman"/>
          <w:kern w:val="0"/>
          <w:sz w:val="24"/>
          <w:szCs w:val="20"/>
          <w:lang w:eastAsia="en-US"/>
        </w:rPr>
      </w:pPr>
    </w:p>
    <w:p w14:paraId="0C57D0E4">
      <w:pPr>
        <w:widowControl/>
        <w:spacing w:line="240" w:lineRule="auto"/>
        <w:jc w:val="center"/>
        <w:rPr>
          <w:rFonts w:eastAsia="宋体" w:cs="Times New Roman"/>
          <w:kern w:val="0"/>
          <w:sz w:val="32"/>
          <w:szCs w:val="32"/>
          <w:lang w:eastAsia="en-US"/>
        </w:rPr>
      </w:pPr>
      <w:r>
        <w:rPr>
          <w:rFonts w:hint="eastAsia" w:ascii="Times New Roman" w:hAnsi="Times New Roman" w:cs="Times New Roman"/>
          <w:b/>
          <w:bCs/>
          <w:sz w:val="32"/>
          <w:szCs w:val="32"/>
        </w:rPr>
        <w:t>Modulating Abnormal EEG Microstate Dynamics with Theta-tACS in Schizophrenia with Prominent Negative Symptoms</w:t>
      </w:r>
      <w:bookmarkStart w:id="0" w:name="_GoBack"/>
      <w:bookmarkEnd w:id="0"/>
    </w:p>
    <w:p w14:paraId="5051FABA">
      <w:pPr>
        <w:widowControl/>
        <w:spacing w:line="240" w:lineRule="auto"/>
        <w:jc w:val="center"/>
        <w:rPr>
          <w:rFonts w:eastAsia="宋体" w:cs="Times New Roman"/>
          <w:kern w:val="0"/>
          <w:szCs w:val="28"/>
          <w:lang w:eastAsia="en-US"/>
        </w:rPr>
      </w:pPr>
    </w:p>
    <w:p w14:paraId="38357941">
      <w:pPr>
        <w:keepNext w:val="0"/>
        <w:keepLines w:val="0"/>
        <w:pageBreakBefore w:val="0"/>
        <w:widowControl/>
        <w:kinsoku/>
        <w:wordWrap/>
        <w:overflowPunct/>
        <w:topLinePunct w:val="0"/>
        <w:autoSpaceDE/>
        <w:autoSpaceDN/>
        <w:bidi w:val="0"/>
        <w:adjustRightInd/>
        <w:snapToGrid/>
        <w:spacing w:line="288" w:lineRule="auto"/>
        <w:jc w:val="center"/>
        <w:textAlignment w:val="auto"/>
        <w:rPr>
          <w:rFonts w:eastAsia="宋体" w:cs="Times New Roman"/>
          <w:kern w:val="0"/>
          <w:sz w:val="20"/>
          <w:szCs w:val="20"/>
          <w:lang w:eastAsia="en-US"/>
        </w:rPr>
      </w:pPr>
      <w:r>
        <w:rPr>
          <w:rFonts w:hint="eastAsia" w:ascii="Times New Roman" w:hAnsi="Times New Roman" w:eastAsia="宋体"/>
          <w:sz w:val="24"/>
          <w:lang w:val="en-US" w:eastAsia="zh-CN"/>
        </w:rPr>
        <w:t>Chunyu Wang</w:t>
      </w:r>
      <w:r>
        <w:rPr>
          <w:rFonts w:ascii="Times New Roman" w:hAnsi="Times New Roman"/>
          <w:sz w:val="24"/>
          <w:vertAlign w:val="superscript"/>
        </w:rPr>
        <w:t>1</w:t>
      </w:r>
      <w:r>
        <w:rPr>
          <w:rFonts w:hint="eastAsia" w:ascii="Times New Roman" w:hAnsi="Times New Roman"/>
          <w:sz w:val="24"/>
          <w:vertAlign w:val="superscript"/>
        </w:rPr>
        <w:t>#</w:t>
      </w:r>
      <w:r>
        <w:rPr>
          <w:rFonts w:hint="eastAsia" w:ascii="Times New Roman" w:hAnsi="Times New Roman"/>
          <w:sz w:val="24"/>
        </w:rPr>
        <w:t>,</w:t>
      </w:r>
      <w:r>
        <w:rPr>
          <w:rFonts w:ascii="Times New Roman" w:hAnsi="Times New Roman"/>
          <w:sz w:val="24"/>
        </w:rPr>
        <w:t xml:space="preserve"> </w:t>
      </w:r>
      <w:r>
        <w:rPr>
          <w:rFonts w:hint="eastAsia" w:ascii="Times New Roman" w:hAnsi="Times New Roman" w:eastAsia="宋体"/>
          <w:sz w:val="24"/>
          <w:lang w:val="en-US" w:eastAsia="zh-CN"/>
        </w:rPr>
        <w:t>Yuhao</w:t>
      </w:r>
      <w:r>
        <w:rPr>
          <w:rFonts w:hint="eastAsia" w:ascii="Times New Roman" w:hAnsi="Times New Roman"/>
          <w:sz w:val="24"/>
        </w:rPr>
        <w:t xml:space="preserve"> </w:t>
      </w:r>
      <w:r>
        <w:rPr>
          <w:rFonts w:hint="eastAsia" w:ascii="Times New Roman" w:hAnsi="Times New Roman" w:eastAsia="宋体"/>
          <w:sz w:val="24"/>
          <w:lang w:val="en-US" w:eastAsia="zh-CN"/>
        </w:rPr>
        <w:t>Lin</w:t>
      </w:r>
      <w:r>
        <w:rPr>
          <w:rFonts w:hint="eastAsia" w:ascii="Times New Roman" w:hAnsi="Times New Roman"/>
          <w:sz w:val="24"/>
          <w:vertAlign w:val="superscript"/>
        </w:rPr>
        <w:t>2#</w:t>
      </w:r>
      <w:r>
        <w:rPr>
          <w:rFonts w:hint="eastAsia" w:ascii="Times New Roman" w:hAnsi="Times New Roman"/>
          <w:sz w:val="24"/>
        </w:rPr>
        <w:t xml:space="preserve">, </w:t>
      </w:r>
      <w:r>
        <w:rPr>
          <w:rFonts w:ascii="Times New Roman" w:hAnsi="Times New Roman"/>
          <w:sz w:val="24"/>
          <w:lang w:bidi="ar"/>
        </w:rPr>
        <w:t>Guanfu Wu</w:t>
      </w:r>
      <w:r>
        <w:rPr>
          <w:rFonts w:hint="eastAsia" w:ascii="Times New Roman" w:hAnsi="Times New Roman" w:eastAsia="宋体"/>
          <w:sz w:val="24"/>
          <w:vertAlign w:val="superscript"/>
          <w:lang w:val="en-US" w:eastAsia="zh-CN" w:bidi="ar"/>
        </w:rPr>
        <w:t>2</w:t>
      </w:r>
      <w:r>
        <w:rPr>
          <w:rFonts w:hint="eastAsia" w:ascii="Times New Roman" w:hAnsi="Times New Roman" w:eastAsia="宋体"/>
          <w:sz w:val="24"/>
          <w:lang w:val="en-US" w:eastAsia="zh-CN" w:bidi="ar"/>
        </w:rPr>
        <w:t xml:space="preserve">, </w:t>
      </w:r>
      <w:r>
        <w:rPr>
          <w:rFonts w:ascii="Times New Roman" w:hAnsi="Times New Roman"/>
          <w:sz w:val="24"/>
          <w:lang w:bidi="ar"/>
        </w:rPr>
        <w:t>Zhenying Qian</w:t>
      </w:r>
      <w:r>
        <w:rPr>
          <w:rFonts w:hint="eastAsia" w:ascii="Times New Roman" w:hAnsi="Times New Roman" w:eastAsia="宋体"/>
          <w:sz w:val="24"/>
          <w:vertAlign w:val="superscript"/>
          <w:lang w:val="en-US" w:eastAsia="zh-CN" w:bidi="ar"/>
        </w:rPr>
        <w:t>2</w:t>
      </w:r>
      <w:r>
        <w:rPr>
          <w:rFonts w:hint="eastAsia" w:ascii="Times New Roman" w:hAnsi="Times New Roman" w:eastAsia="宋体"/>
          <w:sz w:val="24"/>
          <w:lang w:val="en-US" w:eastAsia="zh-CN" w:bidi="ar"/>
        </w:rPr>
        <w:t xml:space="preserve">, </w:t>
      </w:r>
      <w:r>
        <w:rPr>
          <w:rFonts w:hint="eastAsia" w:eastAsia="宋体"/>
          <w:sz w:val="24"/>
          <w:lang w:val="en-US" w:eastAsia="zh-CN" w:bidi="ar"/>
        </w:rPr>
        <w:t>Mengting Shen</w:t>
      </w:r>
      <w:r>
        <w:rPr>
          <w:rFonts w:hint="eastAsia" w:eastAsia="宋体"/>
          <w:sz w:val="24"/>
          <w:vertAlign w:val="superscript"/>
          <w:lang w:val="en-US" w:eastAsia="zh-CN" w:bidi="ar"/>
        </w:rPr>
        <w:t>2</w:t>
      </w:r>
      <w:r>
        <w:rPr>
          <w:rFonts w:hint="eastAsia" w:eastAsia="宋体"/>
          <w:sz w:val="24"/>
          <w:vertAlign w:val="baseline"/>
          <w:lang w:val="en-US" w:eastAsia="zh-CN" w:bidi="ar"/>
        </w:rPr>
        <w:t>, Hao Hu</w:t>
      </w:r>
      <w:r>
        <w:rPr>
          <w:rFonts w:hint="eastAsia" w:eastAsia="宋体"/>
          <w:sz w:val="24"/>
          <w:vertAlign w:val="superscript"/>
          <w:lang w:val="en-US" w:eastAsia="zh-CN" w:bidi="ar"/>
        </w:rPr>
        <w:t>2</w:t>
      </w:r>
      <w:r>
        <w:rPr>
          <w:rFonts w:hint="eastAsia" w:eastAsia="宋体"/>
          <w:sz w:val="24"/>
          <w:vertAlign w:val="baseline"/>
          <w:lang w:val="en-US" w:eastAsia="zh-CN" w:bidi="ar"/>
        </w:rPr>
        <w:t>, Hankun Chen</w:t>
      </w:r>
      <w:r>
        <w:rPr>
          <w:rFonts w:hint="eastAsia" w:eastAsia="宋体"/>
          <w:sz w:val="24"/>
          <w:vertAlign w:val="superscript"/>
          <w:lang w:val="en-US" w:eastAsia="zh-CN" w:bidi="ar"/>
        </w:rPr>
        <w:t>2</w:t>
      </w:r>
      <w:r>
        <w:rPr>
          <w:rFonts w:hint="eastAsia" w:eastAsia="宋体"/>
          <w:sz w:val="24"/>
          <w:vertAlign w:val="baseline"/>
          <w:lang w:val="en-US" w:eastAsia="zh-CN" w:bidi="ar"/>
        </w:rPr>
        <w:t>, Qian Guo</w:t>
      </w:r>
      <w:r>
        <w:rPr>
          <w:rFonts w:hint="eastAsia" w:eastAsia="宋体"/>
          <w:sz w:val="24"/>
          <w:vertAlign w:val="superscript"/>
          <w:lang w:val="en-US" w:eastAsia="zh-CN" w:bidi="ar"/>
        </w:rPr>
        <w:t>2</w:t>
      </w:r>
      <w:r>
        <w:rPr>
          <w:rFonts w:hint="eastAsia" w:eastAsia="宋体"/>
          <w:sz w:val="24"/>
          <w:vertAlign w:val="baseline"/>
          <w:lang w:val="en-US" w:eastAsia="zh-CN" w:bidi="ar"/>
        </w:rPr>
        <w:t xml:space="preserve">, </w:t>
      </w:r>
      <w:r>
        <w:rPr>
          <w:rFonts w:ascii="Times New Roman" w:hAnsi="Times New Roman"/>
          <w:sz w:val="24"/>
          <w:lang w:bidi="ar"/>
        </w:rPr>
        <w:t>Qiang Hu</w:t>
      </w:r>
      <w:r>
        <w:rPr>
          <w:rFonts w:hint="eastAsia" w:ascii="Times New Roman" w:hAnsi="Times New Roman" w:eastAsia="宋体"/>
          <w:sz w:val="24"/>
          <w:vertAlign w:val="superscript"/>
          <w:lang w:val="en-US" w:eastAsia="zh-CN" w:bidi="ar"/>
        </w:rPr>
        <w:t>3</w:t>
      </w:r>
      <w:r>
        <w:rPr>
          <w:rFonts w:hint="eastAsia" w:ascii="Times New Roman" w:hAnsi="Times New Roman" w:eastAsia="宋体"/>
          <w:sz w:val="24"/>
          <w:lang w:val="en-US" w:eastAsia="zh-CN" w:bidi="ar"/>
        </w:rPr>
        <w:t xml:space="preserve">, </w:t>
      </w:r>
      <w:r>
        <w:rPr>
          <w:rFonts w:ascii="Times New Roman" w:hAnsi="Times New Roman"/>
          <w:sz w:val="24"/>
          <w:lang w:bidi="ar"/>
        </w:rPr>
        <w:t>Jijun Wang</w:t>
      </w:r>
      <w:r>
        <w:rPr>
          <w:rFonts w:hint="eastAsia" w:ascii="Times New Roman" w:hAnsi="Times New Roman" w:eastAsia="宋体"/>
          <w:sz w:val="24"/>
          <w:vertAlign w:val="superscript"/>
          <w:lang w:val="en-US" w:eastAsia="zh-CN"/>
        </w:rPr>
        <w:t>2</w:t>
      </w:r>
      <w:r>
        <w:rPr>
          <w:rFonts w:hint="eastAsia" w:ascii="Times New Roman" w:hAnsi="Times New Roman" w:eastAsia="宋体"/>
          <w:sz w:val="24"/>
          <w:lang w:val="en-US" w:eastAsia="zh-CN" w:bidi="ar"/>
        </w:rPr>
        <w:t>,</w:t>
      </w:r>
      <w:r>
        <w:rPr>
          <w:rFonts w:hint="eastAsia" w:ascii="Times New Roman" w:hAnsi="Times New Roman"/>
          <w:sz w:val="24"/>
        </w:rPr>
        <w:t xml:space="preserve"> </w:t>
      </w:r>
      <w:r>
        <w:rPr>
          <w:rFonts w:hint="eastAsia" w:ascii="Times New Roman" w:hAnsi="Times New Roman" w:eastAsia="宋体"/>
          <w:sz w:val="24"/>
          <w:lang w:val="en-US" w:eastAsia="zh-CN"/>
        </w:rPr>
        <w:t>Dan Cao</w:t>
      </w:r>
      <w:r>
        <w:rPr>
          <w:rFonts w:ascii="Times New Roman" w:hAnsi="Times New Roman"/>
          <w:sz w:val="24"/>
          <w:vertAlign w:val="superscript"/>
        </w:rPr>
        <w:t>1</w:t>
      </w:r>
      <w:r>
        <w:rPr>
          <w:rFonts w:hint="eastAsia" w:ascii="Times New Roman" w:hAnsi="Times New Roman"/>
          <w:sz w:val="24"/>
          <w:vertAlign w:val="superscript"/>
        </w:rPr>
        <w:t>*</w:t>
      </w:r>
      <w:r>
        <w:rPr>
          <w:rFonts w:hint="eastAsia" w:ascii="Times New Roman" w:hAnsi="Times New Roman"/>
          <w:sz w:val="24"/>
        </w:rPr>
        <w:t>,</w:t>
      </w:r>
      <w:r>
        <w:rPr>
          <w:rFonts w:ascii="Times New Roman" w:hAnsi="Times New Roman"/>
          <w:sz w:val="24"/>
        </w:rPr>
        <w:t xml:space="preserve"> </w:t>
      </w:r>
      <w:r>
        <w:rPr>
          <w:rFonts w:hint="eastAsia" w:ascii="Times New Roman" w:hAnsi="Times New Roman" w:eastAsia="宋体"/>
          <w:sz w:val="24"/>
          <w:lang w:val="en-US" w:eastAsia="zh-CN"/>
        </w:rPr>
        <w:t>Yingying Tang</w:t>
      </w:r>
      <w:r>
        <w:rPr>
          <w:rFonts w:hint="eastAsia" w:ascii="Times New Roman" w:hAnsi="Times New Roman" w:eastAsia="宋体"/>
          <w:sz w:val="24"/>
          <w:vertAlign w:val="superscript"/>
          <w:lang w:val="en-US" w:eastAsia="zh-CN"/>
        </w:rPr>
        <w:t>2</w:t>
      </w:r>
      <w:r>
        <w:rPr>
          <w:rFonts w:ascii="Times New Roman" w:hAnsi="Times New Roman"/>
          <w:sz w:val="24"/>
          <w:vertAlign w:val="superscript"/>
        </w:rPr>
        <w:t>*</w:t>
      </w:r>
    </w:p>
    <w:p w14:paraId="6B225CF6">
      <w:pPr>
        <w:widowControl/>
        <w:spacing w:line="240" w:lineRule="auto"/>
        <w:jc w:val="center"/>
        <w:rPr>
          <w:rFonts w:eastAsia="宋体" w:cs="Times New Roman"/>
          <w:kern w:val="0"/>
          <w:sz w:val="20"/>
          <w:szCs w:val="20"/>
          <w:lang w:eastAsia="en-US"/>
        </w:rPr>
      </w:pPr>
    </w:p>
    <w:p w14:paraId="5F733828">
      <w:pPr>
        <w:adjustRightInd w:val="0"/>
        <w:snapToGrid w:val="0"/>
        <w:spacing w:line="360" w:lineRule="auto"/>
        <w:ind w:left="480" w:hanging="480"/>
        <w:jc w:val="both"/>
        <w:rPr>
          <w:rFonts w:ascii="Times New Roman" w:hAnsi="Times New Roman"/>
          <w:bCs/>
          <w:sz w:val="24"/>
        </w:rPr>
      </w:pPr>
      <w:r>
        <w:rPr>
          <w:rFonts w:ascii="Times New Roman" w:hAnsi="Times New Roman"/>
          <w:sz w:val="24"/>
          <w:vertAlign w:val="superscript"/>
        </w:rPr>
        <w:t>*</w:t>
      </w:r>
      <w:r>
        <w:rPr>
          <w:rFonts w:ascii="Times New Roman" w:hAnsi="Times New Roman"/>
        </w:rPr>
        <w:t xml:space="preserve"> </w:t>
      </w:r>
      <w:r>
        <w:rPr>
          <w:rFonts w:ascii="Times New Roman" w:hAnsi="Times New Roman"/>
          <w:b/>
          <w:bCs/>
          <w:sz w:val="24"/>
        </w:rPr>
        <w:t>Corresponding author</w:t>
      </w:r>
      <w:r>
        <w:rPr>
          <w:rFonts w:ascii="Times New Roman" w:hAnsi="Times New Roman"/>
          <w:bCs/>
          <w:sz w:val="24"/>
        </w:rPr>
        <w:t>:</w:t>
      </w:r>
    </w:p>
    <w:p w14:paraId="50B8ECF7">
      <w:pPr>
        <w:spacing w:line="360" w:lineRule="auto"/>
        <w:rPr>
          <w:rFonts w:ascii="Times New Roman" w:hAnsi="Times New Roman"/>
          <w:sz w:val="24"/>
        </w:rPr>
      </w:pPr>
      <w:r>
        <w:rPr>
          <w:rFonts w:hint="eastAsia" w:ascii="Times New Roman" w:hAnsi="Times New Roman"/>
          <w:sz w:val="24"/>
          <w:lang w:val="en-US" w:eastAsia="zh-CN"/>
        </w:rPr>
        <w:t>Yingying Tang</w:t>
      </w:r>
      <w:r>
        <w:rPr>
          <w:rFonts w:ascii="Times New Roman" w:hAnsi="Times New Roman"/>
          <w:sz w:val="24"/>
        </w:rPr>
        <w:t xml:space="preserve">. Email: </w:t>
      </w:r>
      <w:r>
        <w:rPr>
          <w:rFonts w:hint="default" w:ascii="Times New Roman" w:hAnsi="Times New Roman"/>
          <w:sz w:val="24"/>
        </w:rPr>
        <w:t>yytang@smhc.org.cn</w:t>
      </w:r>
    </w:p>
    <w:p w14:paraId="11E5AD77">
      <w:pPr>
        <w:spacing w:line="360" w:lineRule="auto"/>
        <w:rPr>
          <w:rFonts w:ascii="Times New Roman" w:hAnsi="Times New Roman"/>
          <w:sz w:val="24"/>
        </w:rPr>
      </w:pPr>
      <w:r>
        <w:rPr>
          <w:rFonts w:hint="eastAsia" w:ascii="Times New Roman" w:hAnsi="Times New Roman"/>
          <w:sz w:val="24"/>
          <w:lang w:val="en-US" w:eastAsia="zh-CN"/>
        </w:rPr>
        <w:t>Dan Cao</w:t>
      </w:r>
      <w:r>
        <w:rPr>
          <w:rFonts w:hint="eastAsia" w:ascii="Times New Roman" w:hAnsi="Times New Roman"/>
          <w:sz w:val="24"/>
        </w:rPr>
        <w:t xml:space="preserve">. </w:t>
      </w:r>
      <w:r>
        <w:rPr>
          <w:rFonts w:ascii="Times New Roman" w:hAnsi="Times New Roman"/>
          <w:sz w:val="24"/>
        </w:rPr>
        <w:t xml:space="preserve">Email: </w:t>
      </w:r>
      <w:r>
        <w:rPr>
          <w:rFonts w:hint="eastAsia" w:ascii="Times New Roman" w:hAnsi="Times New Roman"/>
          <w:sz w:val="24"/>
          <w:lang w:val="en-US" w:eastAsia="zh-CN"/>
        </w:rPr>
        <w:t>7163@cnu.edu.cn</w:t>
      </w:r>
    </w:p>
    <w:p w14:paraId="1D9F6A2D">
      <w:pPr>
        <w:widowControl/>
        <w:spacing w:line="240" w:lineRule="auto"/>
        <w:jc w:val="both"/>
        <w:rPr>
          <w:rFonts w:eastAsia="宋体" w:cs="Times New Roman"/>
          <w:b w:val="0"/>
          <w:bCs w:val="0"/>
          <w:kern w:val="0"/>
          <w:sz w:val="20"/>
          <w:szCs w:val="20"/>
          <w:lang w:eastAsia="en-US"/>
        </w:rPr>
      </w:pPr>
      <w:r>
        <w:rPr>
          <w:rFonts w:ascii="Times New Roman" w:hAnsi="Times New Roman" w:cs="Times New Roman"/>
          <w:b w:val="0"/>
          <w:bCs w:val="0"/>
          <w:sz w:val="24"/>
          <w:vertAlign w:val="superscript"/>
        </w:rPr>
        <w:t>#</w:t>
      </w:r>
      <w:r>
        <w:rPr>
          <w:rFonts w:ascii="Times New Roman" w:hAnsi="Times New Roman" w:cs="Times New Roman"/>
          <w:b w:val="0"/>
          <w:bCs w:val="0"/>
          <w:sz w:val="24"/>
        </w:rPr>
        <w:t xml:space="preserve"> </w:t>
      </w:r>
      <w:r>
        <w:rPr>
          <w:rFonts w:ascii="Times New Roman" w:hAnsi="Times New Roman" w:eastAsia="宋体" w:cs="Times New Roman"/>
          <w:b w:val="0"/>
          <w:bCs w:val="0"/>
          <w:sz w:val="24"/>
          <w:shd w:val="clear" w:color="auto" w:fill="FFFFFF"/>
        </w:rPr>
        <w:t>These authors contributed equally</w:t>
      </w:r>
      <w:r>
        <w:rPr>
          <w:rFonts w:hint="eastAsia" w:ascii="Times New Roman" w:hAnsi="Times New Roman" w:eastAsia="宋体" w:cs="Times New Roman"/>
          <w:b w:val="0"/>
          <w:bCs w:val="0"/>
          <w:sz w:val="24"/>
          <w:shd w:val="clear" w:color="auto" w:fill="FFFFFF"/>
        </w:rPr>
        <w:t>.</w:t>
      </w:r>
    </w:p>
    <w:p w14:paraId="4B694BC1">
      <w:pPr>
        <w:keepNext w:val="0"/>
        <w:keepLines w:val="0"/>
        <w:pageBreakBefore w:val="0"/>
        <w:widowControl w:val="0"/>
        <w:kinsoku/>
        <w:wordWrap/>
        <w:overflowPunct/>
        <w:topLinePunct w:val="0"/>
        <w:autoSpaceDE/>
        <w:autoSpaceDN/>
        <w:bidi w:val="0"/>
        <w:adjustRightInd/>
        <w:snapToGrid/>
        <w:spacing w:before="361" w:beforeLines="100" w:after="361" w:afterLines="100"/>
        <w:textAlignment w:val="auto"/>
        <w:rPr>
          <w:rFonts w:hint="default" w:ascii="Times New Roman" w:hAnsi="Times New Roman" w:cs="Times New Roman"/>
          <w:b/>
          <w:bCs/>
          <w:sz w:val="22"/>
          <w:szCs w:val="22"/>
          <w:lang w:val="en-US" w:eastAsia="zh-CN"/>
        </w:rPr>
      </w:pPr>
    </w:p>
    <w:p w14:paraId="3C2B872B">
      <w:pPr>
        <w:keepNext w:val="0"/>
        <w:keepLines w:val="0"/>
        <w:pageBreakBefore w:val="0"/>
        <w:widowControl w:val="0"/>
        <w:kinsoku/>
        <w:wordWrap/>
        <w:overflowPunct/>
        <w:topLinePunct w:val="0"/>
        <w:autoSpaceDE/>
        <w:autoSpaceDN/>
        <w:bidi w:val="0"/>
        <w:adjustRightInd/>
        <w:snapToGrid/>
        <w:spacing w:before="361" w:beforeLines="100" w:after="361" w:afterLines="100"/>
        <w:textAlignment w:val="auto"/>
        <w:rPr>
          <w:rFonts w:hint="default" w:ascii="Times New Roman" w:hAnsi="Times New Roman" w:cs="Times New Roman"/>
          <w:b/>
          <w:bCs/>
          <w:sz w:val="22"/>
          <w:szCs w:val="22"/>
          <w:lang w:val="en-US" w:eastAsia="zh-CN"/>
        </w:rPr>
      </w:pPr>
    </w:p>
    <w:p w14:paraId="55420E30">
      <w:pPr>
        <w:widowControl/>
        <w:spacing w:line="240" w:lineRule="auto"/>
        <w:jc w:val="left"/>
        <w:rPr>
          <w:rFonts w:eastAsia="宋体" w:cs="Times New Roman"/>
          <w:b/>
          <w:kern w:val="0"/>
          <w:sz w:val="24"/>
          <w:szCs w:val="20"/>
          <w:lang w:eastAsia="en-US"/>
        </w:rPr>
      </w:pPr>
      <w:r>
        <w:rPr>
          <w:rFonts w:eastAsia="宋体" w:cs="Times New Roman"/>
          <w:b/>
          <w:kern w:val="0"/>
          <w:sz w:val="24"/>
          <w:szCs w:val="20"/>
          <w:lang w:eastAsia="en-US"/>
        </w:rPr>
        <w:t>This file includes:</w:t>
      </w:r>
    </w:p>
    <w:p w14:paraId="54E9EA85">
      <w:pPr>
        <w:widowControl/>
        <w:spacing w:line="240" w:lineRule="auto"/>
        <w:jc w:val="left"/>
        <w:rPr>
          <w:rFonts w:eastAsia="宋体" w:cs="Times New Roman"/>
          <w:kern w:val="0"/>
          <w:sz w:val="24"/>
          <w:szCs w:val="20"/>
          <w:lang w:eastAsia="en-US"/>
        </w:rPr>
      </w:pPr>
    </w:p>
    <w:p w14:paraId="27C52F31">
      <w:pPr>
        <w:widowControl/>
        <w:spacing w:line="240" w:lineRule="auto"/>
        <w:ind w:left="720"/>
        <w:jc w:val="left"/>
        <w:rPr>
          <w:rFonts w:hint="eastAsia" w:eastAsia="宋体" w:cs="Times New Roman"/>
          <w:kern w:val="0"/>
          <w:sz w:val="24"/>
          <w:szCs w:val="20"/>
          <w:lang w:val="en-US" w:eastAsia="zh-CN"/>
        </w:rPr>
      </w:pPr>
      <w:r>
        <w:rPr>
          <w:rFonts w:eastAsia="宋体" w:cs="Times New Roman"/>
          <w:kern w:val="0"/>
          <w:sz w:val="24"/>
          <w:szCs w:val="20"/>
          <w:lang w:eastAsia="en-US"/>
        </w:rPr>
        <w:t>Figs. S1 to S</w:t>
      </w:r>
      <w:r>
        <w:rPr>
          <w:rFonts w:hint="eastAsia" w:eastAsia="宋体" w:cs="Times New Roman"/>
          <w:kern w:val="0"/>
          <w:sz w:val="24"/>
          <w:szCs w:val="20"/>
          <w:lang w:val="en-US" w:eastAsia="zh-CN"/>
        </w:rPr>
        <w:t>4</w:t>
      </w:r>
    </w:p>
    <w:p w14:paraId="3FB39B4B">
      <w:pPr>
        <w:widowControl/>
        <w:spacing w:line="240" w:lineRule="auto"/>
        <w:ind w:left="720"/>
        <w:jc w:val="left"/>
        <w:rPr>
          <w:rFonts w:hint="eastAsia" w:eastAsia="宋体" w:cs="Times New Roman"/>
          <w:kern w:val="0"/>
          <w:sz w:val="24"/>
          <w:szCs w:val="20"/>
          <w:lang w:val="en-US" w:eastAsia="zh-CN"/>
        </w:rPr>
        <w:sectPr>
          <w:footerReference r:id="rId3" w:type="default"/>
          <w:pgSz w:w="11906" w:h="16838"/>
          <w:pgMar w:top="1440" w:right="1440" w:bottom="1440" w:left="1440" w:header="851" w:footer="992" w:gutter="0"/>
          <w:pgNumType w:fmt="decimal"/>
          <w:cols w:space="425" w:num="1"/>
          <w:docGrid w:type="lines" w:linePitch="312" w:charSpace="0"/>
        </w:sectPr>
      </w:pPr>
      <w:r>
        <w:rPr>
          <w:rFonts w:hint="eastAsia" w:eastAsia="宋体" w:cs="Times New Roman"/>
          <w:kern w:val="0"/>
          <w:sz w:val="24"/>
          <w:szCs w:val="20"/>
          <w:lang w:val="en-US" w:eastAsia="zh-CN"/>
        </w:rPr>
        <w:t>Tables S1 to S2</w:t>
      </w:r>
    </w:p>
    <w:p w14:paraId="1907AC23">
      <w:pPr>
        <w:keepNext w:val="0"/>
        <w:keepLines w:val="0"/>
        <w:pageBreakBefore w:val="0"/>
        <w:widowControl w:val="0"/>
        <w:kinsoku/>
        <w:wordWrap/>
        <w:overflowPunct/>
        <w:topLinePunct w:val="0"/>
        <w:autoSpaceDE/>
        <w:autoSpaceDN/>
        <w:bidi w:val="0"/>
        <w:adjustRightInd/>
        <w:snapToGrid/>
        <w:spacing w:before="361" w:beforeLines="100"/>
        <w:jc w:val="both"/>
        <w:textAlignment w:val="auto"/>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drawing>
          <wp:inline distT="0" distB="0" distL="114300" distR="114300">
            <wp:extent cx="5273675" cy="2032635"/>
            <wp:effectExtent l="0" t="0" r="9525" b="12065"/>
            <wp:docPr id="3" name="图片 3" descr="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1"/>
                    <pic:cNvPicPr>
                      <a:picLocks noChangeAspect="1"/>
                    </pic:cNvPicPr>
                  </pic:nvPicPr>
                  <pic:blipFill>
                    <a:blip r:embed="rId5"/>
                    <a:stretch>
                      <a:fillRect/>
                    </a:stretch>
                  </pic:blipFill>
                  <pic:spPr>
                    <a:xfrm>
                      <a:off x="0" y="0"/>
                      <a:ext cx="5273675" cy="2032635"/>
                    </a:xfrm>
                    <a:prstGeom prst="rect">
                      <a:avLst/>
                    </a:prstGeom>
                  </pic:spPr>
                </pic:pic>
              </a:graphicData>
            </a:graphic>
          </wp:inline>
        </w:drawing>
      </w:r>
    </w:p>
    <w:p w14:paraId="739B9CAD">
      <w:pPr>
        <w:keepNext w:val="0"/>
        <w:keepLines w:val="0"/>
        <w:pageBreakBefore w:val="0"/>
        <w:widowControl w:val="0"/>
        <w:numPr>
          <w:ilvl w:val="0"/>
          <w:numId w:val="0"/>
        </w:numPr>
        <w:kinsoku/>
        <w:wordWrap/>
        <w:overflowPunct/>
        <w:topLinePunct w:val="0"/>
        <w:autoSpaceDE/>
        <w:autoSpaceDN/>
        <w:bidi w:val="0"/>
        <w:adjustRightInd/>
        <w:snapToGrid/>
        <w:spacing w:line="288" w:lineRule="auto"/>
        <w:textAlignment w:val="auto"/>
        <w:rPr>
          <w:rFonts w:hint="default" w:ascii="Times New Roman" w:hAnsi="Times New Roman" w:eastAsia="宋体" w:cs="Times New Roman"/>
          <w:sz w:val="22"/>
          <w:szCs w:val="22"/>
          <w:lang w:val="en-US" w:eastAsia="zh-CN"/>
        </w:rPr>
      </w:pPr>
      <w:r>
        <w:rPr>
          <w:rFonts w:hint="default" w:ascii="Times New Roman" w:hAnsi="Times New Roman" w:eastAsia="宋体" w:cs="Times New Roman"/>
          <w:b/>
          <w:bCs/>
          <w:sz w:val="22"/>
          <w:szCs w:val="22"/>
          <w:lang w:val="en-US" w:eastAsia="zh-CN"/>
        </w:rPr>
        <w:t>Fig. S1. Changes in clinical symptom scores across time points</w:t>
      </w:r>
      <w:r>
        <w:rPr>
          <w:rFonts w:hint="eastAsia" w:eastAsia="宋体" w:cs="Times New Roman"/>
          <w:b/>
          <w:bCs/>
          <w:sz w:val="22"/>
          <w:szCs w:val="22"/>
          <w:lang w:val="en-US" w:eastAsia="zh-CN"/>
        </w:rPr>
        <w:t xml:space="preserve">. </w:t>
      </w:r>
      <w:r>
        <w:rPr>
          <w:rFonts w:hint="default" w:ascii="Times New Roman" w:hAnsi="Times New Roman" w:eastAsia="宋体" w:cs="Times New Roman"/>
          <w:b/>
          <w:bCs/>
          <w:sz w:val="22"/>
          <w:szCs w:val="22"/>
          <w:lang w:val="en-US" w:eastAsia="zh-CN"/>
        </w:rPr>
        <w:t xml:space="preserve">(A) </w:t>
      </w:r>
      <w:r>
        <w:rPr>
          <w:rFonts w:hint="default" w:ascii="Times New Roman" w:hAnsi="Times New Roman" w:eastAsia="宋体" w:cs="Times New Roman"/>
          <w:sz w:val="22"/>
          <w:szCs w:val="22"/>
          <w:lang w:val="en-US" w:eastAsia="zh-CN"/>
        </w:rPr>
        <w:t>PANSS-N score</w:t>
      </w:r>
      <w:r>
        <w:rPr>
          <w:rFonts w:hint="eastAsia" w:eastAsia="宋体" w:cs="Times New Roman"/>
          <w:sz w:val="22"/>
          <w:szCs w:val="22"/>
          <w:lang w:val="en-US" w:eastAsia="zh-CN"/>
        </w:rPr>
        <w:t>s</w:t>
      </w:r>
      <w:r>
        <w:rPr>
          <w:rFonts w:hint="default" w:ascii="Times New Roman" w:hAnsi="Times New Roman" w:eastAsia="宋体" w:cs="Times New Roman"/>
          <w:sz w:val="22"/>
          <w:szCs w:val="22"/>
          <w:lang w:val="en-US" w:eastAsia="zh-CN"/>
        </w:rPr>
        <w:t xml:space="preserve"> trajectories across baseline (T1), post-intervention (T2), and two-week follow-up (T3) in the active group (orange) and sham group (green). Wilcoxon signed-rank tests revealed significant reductions at all post-baseline time points (T2 vs. T1: </w:t>
      </w:r>
      <w:r>
        <w:rPr>
          <w:rFonts w:hint="default" w:ascii="Times New Roman" w:hAnsi="Times New Roman" w:eastAsia="宋体" w:cs="Times New Roman"/>
          <w:i/>
          <w:iCs/>
          <w:sz w:val="22"/>
          <w:szCs w:val="22"/>
          <w:lang w:val="en-US" w:eastAsia="zh-CN"/>
        </w:rPr>
        <w:t>p</w:t>
      </w:r>
      <w:r>
        <w:rPr>
          <w:rFonts w:hint="default" w:ascii="Times New Roman" w:hAnsi="Times New Roman" w:eastAsia="宋体" w:cs="Times New Roman"/>
          <w:sz w:val="22"/>
          <w:szCs w:val="22"/>
          <w:lang w:val="en-US" w:eastAsia="zh-CN"/>
        </w:rPr>
        <w:t xml:space="preserve"> = 0.006; T3 vs. T1: </w:t>
      </w:r>
      <w:r>
        <w:rPr>
          <w:rFonts w:hint="default" w:ascii="Times New Roman" w:hAnsi="Times New Roman" w:eastAsia="宋体" w:cs="Times New Roman"/>
          <w:i/>
          <w:iCs/>
          <w:sz w:val="22"/>
          <w:szCs w:val="22"/>
          <w:lang w:val="en-US" w:eastAsia="zh-CN"/>
        </w:rPr>
        <w:t>p</w:t>
      </w:r>
      <w:r>
        <w:rPr>
          <w:rFonts w:hint="default" w:ascii="Times New Roman" w:hAnsi="Times New Roman" w:eastAsia="宋体" w:cs="Times New Roman"/>
          <w:sz w:val="22"/>
          <w:szCs w:val="22"/>
          <w:lang w:val="en-US" w:eastAsia="zh-CN"/>
        </w:rPr>
        <w:t xml:space="preserve"> &lt; 0.001; T2 vs. T3: </w:t>
      </w:r>
      <w:r>
        <w:rPr>
          <w:rFonts w:hint="default" w:ascii="Times New Roman" w:hAnsi="Times New Roman" w:eastAsia="宋体" w:cs="Times New Roman"/>
          <w:i/>
          <w:iCs/>
          <w:sz w:val="22"/>
          <w:szCs w:val="22"/>
          <w:lang w:val="en-US" w:eastAsia="zh-CN"/>
        </w:rPr>
        <w:t>p</w:t>
      </w:r>
      <w:r>
        <w:rPr>
          <w:rFonts w:hint="default" w:ascii="Times New Roman" w:hAnsi="Times New Roman" w:eastAsia="宋体" w:cs="Times New Roman"/>
          <w:sz w:val="22"/>
          <w:szCs w:val="22"/>
          <w:lang w:val="en-US" w:eastAsia="zh-CN"/>
        </w:rPr>
        <w:t xml:space="preserve"> = 0.003). A similar pattern of reduction was observed om sham group (T2 vs. T1: </w:t>
      </w:r>
      <w:r>
        <w:rPr>
          <w:rFonts w:hint="default" w:ascii="Times New Roman" w:hAnsi="Times New Roman" w:eastAsia="宋体" w:cs="Times New Roman"/>
          <w:i/>
          <w:iCs/>
          <w:sz w:val="22"/>
          <w:szCs w:val="22"/>
          <w:lang w:val="en-US" w:eastAsia="zh-CN"/>
        </w:rPr>
        <w:t>p</w:t>
      </w:r>
      <w:r>
        <w:rPr>
          <w:rFonts w:hint="default" w:ascii="Times New Roman" w:hAnsi="Times New Roman" w:eastAsia="宋体" w:cs="Times New Roman"/>
          <w:sz w:val="22"/>
          <w:szCs w:val="22"/>
          <w:lang w:val="en-US" w:eastAsia="zh-CN"/>
        </w:rPr>
        <w:t xml:space="preserve"> = 0.02; T3 vs. T1: </w:t>
      </w:r>
      <w:r>
        <w:rPr>
          <w:rFonts w:hint="default" w:ascii="Times New Roman" w:hAnsi="Times New Roman" w:eastAsia="宋体" w:cs="Times New Roman"/>
          <w:i/>
          <w:iCs/>
          <w:sz w:val="22"/>
          <w:szCs w:val="22"/>
          <w:lang w:val="en-US" w:eastAsia="zh-CN"/>
        </w:rPr>
        <w:t>p</w:t>
      </w:r>
      <w:r>
        <w:rPr>
          <w:rFonts w:hint="default" w:ascii="Times New Roman" w:hAnsi="Times New Roman" w:eastAsia="宋体" w:cs="Times New Roman"/>
          <w:sz w:val="22"/>
          <w:szCs w:val="22"/>
          <w:lang w:val="en-US" w:eastAsia="zh-CN"/>
        </w:rPr>
        <w:t xml:space="preserve"> &lt; 0.001; T2 vs. T3: </w:t>
      </w:r>
      <w:r>
        <w:rPr>
          <w:rFonts w:hint="default" w:ascii="Times New Roman" w:hAnsi="Times New Roman" w:eastAsia="宋体" w:cs="Times New Roman"/>
          <w:i/>
          <w:iCs/>
          <w:sz w:val="22"/>
          <w:szCs w:val="22"/>
          <w:lang w:val="en-US" w:eastAsia="zh-CN"/>
        </w:rPr>
        <w:t>p</w:t>
      </w:r>
      <w:r>
        <w:rPr>
          <w:rFonts w:hint="default" w:ascii="Times New Roman" w:hAnsi="Times New Roman" w:eastAsia="宋体" w:cs="Times New Roman"/>
          <w:sz w:val="22"/>
          <w:szCs w:val="22"/>
          <w:lang w:val="en-US" w:eastAsia="zh-CN"/>
        </w:rPr>
        <w:t xml:space="preserve"> = 0.002). </w:t>
      </w:r>
      <w:r>
        <w:rPr>
          <w:rFonts w:hint="default" w:ascii="Times New Roman" w:hAnsi="Times New Roman" w:eastAsia="宋体" w:cs="Times New Roman"/>
          <w:b/>
          <w:bCs/>
          <w:sz w:val="22"/>
          <w:szCs w:val="22"/>
          <w:lang w:val="en-US" w:eastAsia="zh-CN"/>
        </w:rPr>
        <w:t>(B)</w:t>
      </w:r>
      <w:r>
        <w:rPr>
          <w:rFonts w:hint="default" w:ascii="Times New Roman" w:hAnsi="Times New Roman" w:eastAsia="宋体" w:cs="Times New Roman"/>
          <w:sz w:val="22"/>
          <w:szCs w:val="22"/>
          <w:lang w:val="en-US" w:eastAsia="zh-CN"/>
        </w:rPr>
        <w:t xml:space="preserve"> SANS score</w:t>
      </w:r>
      <w:r>
        <w:rPr>
          <w:rFonts w:hint="eastAsia" w:eastAsia="宋体" w:cs="Times New Roman"/>
          <w:sz w:val="22"/>
          <w:szCs w:val="22"/>
          <w:lang w:val="en-US" w:eastAsia="zh-CN"/>
        </w:rPr>
        <w:t>s</w:t>
      </w:r>
      <w:r>
        <w:rPr>
          <w:rFonts w:hint="default" w:ascii="Times New Roman" w:hAnsi="Times New Roman" w:eastAsia="宋体" w:cs="Times New Roman"/>
          <w:sz w:val="22"/>
          <w:szCs w:val="22"/>
          <w:lang w:val="en-US" w:eastAsia="zh-CN"/>
        </w:rPr>
        <w:t xml:space="preserve"> trajectories in both patient groups. In the active group, SANS scores decreased significantly from T1 to T2 (</w:t>
      </w:r>
      <w:r>
        <w:rPr>
          <w:rFonts w:hint="default" w:ascii="Times New Roman" w:hAnsi="Times New Roman" w:eastAsia="宋体" w:cs="Times New Roman"/>
          <w:i/>
          <w:iCs/>
          <w:sz w:val="22"/>
          <w:szCs w:val="22"/>
          <w:lang w:val="en-US" w:eastAsia="zh-CN"/>
        </w:rPr>
        <w:t>p</w:t>
      </w:r>
      <w:r>
        <w:rPr>
          <w:rFonts w:hint="default" w:ascii="Times New Roman" w:hAnsi="Times New Roman" w:eastAsia="宋体" w:cs="Times New Roman"/>
          <w:sz w:val="22"/>
          <w:szCs w:val="22"/>
          <w:lang w:val="en-US" w:eastAsia="zh-CN"/>
        </w:rPr>
        <w:t xml:space="preserve"> = 0.003) and T1 to T3 (</w:t>
      </w:r>
      <w:r>
        <w:rPr>
          <w:rFonts w:hint="default" w:ascii="Times New Roman" w:hAnsi="Times New Roman" w:eastAsia="宋体" w:cs="Times New Roman"/>
          <w:i/>
          <w:iCs/>
          <w:sz w:val="22"/>
          <w:szCs w:val="22"/>
          <w:lang w:val="en-US" w:eastAsia="zh-CN"/>
        </w:rPr>
        <w:t>p</w:t>
      </w:r>
      <w:r>
        <w:rPr>
          <w:rFonts w:hint="default" w:ascii="Times New Roman" w:hAnsi="Times New Roman" w:eastAsia="宋体" w:cs="Times New Roman"/>
          <w:sz w:val="22"/>
          <w:szCs w:val="22"/>
          <w:lang w:val="en-US" w:eastAsia="zh-CN"/>
        </w:rPr>
        <w:t xml:space="preserve"> &lt; 0.001), but not from T2 to T3 (</w:t>
      </w:r>
      <w:r>
        <w:rPr>
          <w:rFonts w:hint="default" w:ascii="Times New Roman" w:hAnsi="Times New Roman" w:eastAsia="宋体" w:cs="Times New Roman"/>
          <w:i/>
          <w:iCs/>
          <w:sz w:val="22"/>
          <w:szCs w:val="22"/>
          <w:lang w:val="en-US" w:eastAsia="zh-CN"/>
        </w:rPr>
        <w:t>p</w:t>
      </w:r>
      <w:r>
        <w:rPr>
          <w:rFonts w:hint="default" w:ascii="Times New Roman" w:hAnsi="Times New Roman" w:eastAsia="宋体" w:cs="Times New Roman"/>
          <w:sz w:val="22"/>
          <w:szCs w:val="22"/>
          <w:lang w:val="en-US" w:eastAsia="zh-CN"/>
        </w:rPr>
        <w:t xml:space="preserve"> = 0.089). In the sham group, significant decreases were observed across all three pairwise comparisons (T2 vs. T1: </w:t>
      </w:r>
      <w:r>
        <w:rPr>
          <w:rFonts w:hint="default" w:ascii="Times New Roman" w:hAnsi="Times New Roman" w:eastAsia="宋体" w:cs="Times New Roman"/>
          <w:i/>
          <w:iCs/>
          <w:sz w:val="22"/>
          <w:szCs w:val="22"/>
          <w:lang w:val="en-US" w:eastAsia="zh-CN"/>
        </w:rPr>
        <w:t>p</w:t>
      </w:r>
      <w:r>
        <w:rPr>
          <w:rFonts w:hint="default" w:ascii="Times New Roman" w:hAnsi="Times New Roman" w:eastAsia="宋体" w:cs="Times New Roman"/>
          <w:sz w:val="22"/>
          <w:szCs w:val="22"/>
          <w:lang w:val="en-US" w:eastAsia="zh-CN"/>
        </w:rPr>
        <w:t xml:space="preserve"> = 0.022; T3 vs. T1: </w:t>
      </w:r>
      <w:r>
        <w:rPr>
          <w:rFonts w:hint="default" w:ascii="Times New Roman" w:hAnsi="Times New Roman" w:eastAsia="宋体" w:cs="Times New Roman"/>
          <w:i/>
          <w:iCs/>
          <w:sz w:val="22"/>
          <w:szCs w:val="22"/>
          <w:lang w:val="en-US" w:eastAsia="zh-CN"/>
        </w:rPr>
        <w:t>p</w:t>
      </w:r>
      <w:r>
        <w:rPr>
          <w:rFonts w:hint="default" w:ascii="Times New Roman" w:hAnsi="Times New Roman" w:eastAsia="宋体" w:cs="Times New Roman"/>
          <w:sz w:val="22"/>
          <w:szCs w:val="22"/>
          <w:lang w:val="en-US" w:eastAsia="zh-CN"/>
        </w:rPr>
        <w:t xml:space="preserve"> = 0.001; T2 vs. T3: </w:t>
      </w:r>
      <w:r>
        <w:rPr>
          <w:rFonts w:hint="default" w:ascii="Times New Roman" w:hAnsi="Times New Roman" w:eastAsia="宋体" w:cs="Times New Roman"/>
          <w:i/>
          <w:iCs/>
          <w:sz w:val="22"/>
          <w:szCs w:val="22"/>
          <w:lang w:val="en-US" w:eastAsia="zh-CN"/>
        </w:rPr>
        <w:t>p</w:t>
      </w:r>
      <w:r>
        <w:rPr>
          <w:rFonts w:hint="default" w:ascii="Times New Roman" w:hAnsi="Times New Roman" w:eastAsia="宋体" w:cs="Times New Roman"/>
          <w:sz w:val="22"/>
          <w:szCs w:val="22"/>
          <w:lang w:val="en-US" w:eastAsia="zh-CN"/>
        </w:rPr>
        <w:t xml:space="preserve"> = 0.001).</w:t>
      </w:r>
      <w:r>
        <w:rPr>
          <w:rFonts w:hint="eastAsia" w:eastAsia="宋体" w:cs="Times New Roman"/>
          <w:sz w:val="22"/>
          <w:szCs w:val="22"/>
          <w:lang w:val="en-US" w:eastAsia="zh-CN"/>
        </w:rPr>
        <w:t xml:space="preserve"> </w:t>
      </w:r>
      <w:r>
        <w:rPr>
          <w:rFonts w:hint="default" w:ascii="Times New Roman" w:hAnsi="Times New Roman" w:eastAsia="宋体" w:cs="Times New Roman"/>
          <w:sz w:val="22"/>
          <w:szCs w:val="22"/>
          <w:lang w:val="en-US" w:eastAsia="zh-CN"/>
        </w:rPr>
        <w:t xml:space="preserve">Note. Data are presented as mean ± SD. p-values are FDR-corrected. * </w:t>
      </w:r>
      <w:r>
        <w:rPr>
          <w:rFonts w:hint="default" w:ascii="Times New Roman" w:hAnsi="Times New Roman" w:eastAsia="宋体" w:cs="Times New Roman"/>
          <w:i/>
          <w:iCs/>
          <w:sz w:val="22"/>
          <w:szCs w:val="22"/>
          <w:lang w:val="en-US" w:eastAsia="zh-CN"/>
        </w:rPr>
        <w:t>p</w:t>
      </w:r>
      <w:r>
        <w:rPr>
          <w:rFonts w:hint="default" w:ascii="Times New Roman" w:hAnsi="Times New Roman" w:eastAsia="宋体" w:cs="Times New Roman"/>
          <w:sz w:val="22"/>
          <w:szCs w:val="22"/>
          <w:lang w:val="en-US" w:eastAsia="zh-CN"/>
        </w:rPr>
        <w:t xml:space="preserve"> &lt; 0.05; ** </w:t>
      </w:r>
      <w:r>
        <w:rPr>
          <w:rFonts w:hint="default" w:ascii="Times New Roman" w:hAnsi="Times New Roman" w:eastAsia="宋体" w:cs="Times New Roman"/>
          <w:i/>
          <w:iCs/>
          <w:sz w:val="22"/>
          <w:szCs w:val="22"/>
          <w:lang w:val="en-US" w:eastAsia="zh-CN"/>
        </w:rPr>
        <w:t>p</w:t>
      </w:r>
      <w:r>
        <w:rPr>
          <w:rFonts w:hint="default" w:ascii="Times New Roman" w:hAnsi="Times New Roman" w:eastAsia="宋体" w:cs="Times New Roman"/>
          <w:sz w:val="22"/>
          <w:szCs w:val="22"/>
          <w:lang w:val="en-US" w:eastAsia="zh-CN"/>
        </w:rPr>
        <w:t xml:space="preserve"> &lt; 0.01; *** </w:t>
      </w:r>
      <w:r>
        <w:rPr>
          <w:rFonts w:hint="default" w:ascii="Times New Roman" w:hAnsi="Times New Roman" w:eastAsia="宋体" w:cs="Times New Roman"/>
          <w:i/>
          <w:iCs/>
          <w:sz w:val="22"/>
          <w:szCs w:val="22"/>
          <w:lang w:val="en-US" w:eastAsia="zh-CN"/>
        </w:rPr>
        <w:t>p</w:t>
      </w:r>
      <w:r>
        <w:rPr>
          <w:rFonts w:hint="default" w:ascii="Times New Roman" w:hAnsi="Times New Roman" w:eastAsia="宋体" w:cs="Times New Roman"/>
          <w:sz w:val="22"/>
          <w:szCs w:val="22"/>
          <w:lang w:val="en-US" w:eastAsia="zh-CN"/>
        </w:rPr>
        <w:t xml:space="preserve"> &lt; 0.001.</w:t>
      </w:r>
    </w:p>
    <w:p w14:paraId="6563BA15">
      <w:pP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br w:type="page"/>
      </w:r>
    </w:p>
    <w:p w14:paraId="1AE43CED">
      <w:pPr>
        <w:numPr>
          <w:ilvl w:val="0"/>
          <w:numId w:val="0"/>
        </w:numPr>
        <w:bidi w:val="0"/>
        <w:spacing w:line="360" w:lineRule="auto"/>
        <w:rPr>
          <w:rFonts w:hint="default" w:ascii="Times New Roman" w:hAnsi="Times New Roman" w:eastAsia="宋体" w:cs="Times New Roman"/>
          <w:b/>
          <w:bCs/>
          <w:sz w:val="22"/>
          <w:szCs w:val="22"/>
          <w:lang w:val="en-US" w:eastAsia="zh-CN"/>
        </w:rPr>
      </w:pPr>
      <w:r>
        <w:rPr>
          <w:rFonts w:hint="default" w:ascii="Times New Roman" w:hAnsi="Times New Roman" w:eastAsia="宋体" w:cs="Times New Roman"/>
          <w:b/>
          <w:bCs/>
          <w:sz w:val="22"/>
          <w:szCs w:val="22"/>
          <w:lang w:val="en-US" w:eastAsia="zh-CN"/>
        </w:rPr>
        <w:drawing>
          <wp:inline distT="0" distB="0" distL="114300" distR="114300">
            <wp:extent cx="5273675" cy="3941445"/>
            <wp:effectExtent l="0" t="0" r="9525" b="8255"/>
            <wp:docPr id="4" name="图片 4" descr="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2"/>
                    <pic:cNvPicPr>
                      <a:picLocks noChangeAspect="1"/>
                    </pic:cNvPicPr>
                  </pic:nvPicPr>
                  <pic:blipFill>
                    <a:blip r:embed="rId6"/>
                    <a:stretch>
                      <a:fillRect/>
                    </a:stretch>
                  </pic:blipFill>
                  <pic:spPr>
                    <a:xfrm>
                      <a:off x="0" y="0"/>
                      <a:ext cx="5273675" cy="3941445"/>
                    </a:xfrm>
                    <a:prstGeom prst="rect">
                      <a:avLst/>
                    </a:prstGeom>
                  </pic:spPr>
                </pic:pic>
              </a:graphicData>
            </a:graphic>
          </wp:inline>
        </w:drawing>
      </w:r>
    </w:p>
    <w:p w14:paraId="06D39A43">
      <w:pPr>
        <w:keepNext w:val="0"/>
        <w:keepLines w:val="0"/>
        <w:pageBreakBefore w:val="0"/>
        <w:widowControl w:val="0"/>
        <w:numPr>
          <w:ilvl w:val="0"/>
          <w:numId w:val="0"/>
        </w:numPr>
        <w:kinsoku/>
        <w:wordWrap/>
        <w:overflowPunct/>
        <w:topLinePunct w:val="0"/>
        <w:autoSpaceDE/>
        <w:autoSpaceDN/>
        <w:bidi w:val="0"/>
        <w:adjustRightInd/>
        <w:snapToGrid/>
        <w:spacing w:line="288" w:lineRule="auto"/>
        <w:textAlignment w:val="auto"/>
        <w:rPr>
          <w:rFonts w:hint="default" w:ascii="Times New Roman" w:hAnsi="Times New Roman" w:eastAsia="宋体" w:cs="Times New Roman"/>
          <w:sz w:val="22"/>
          <w:szCs w:val="22"/>
          <w:lang w:val="en-US" w:eastAsia="zh-CN"/>
        </w:rPr>
      </w:pPr>
      <w:r>
        <w:rPr>
          <w:rFonts w:hint="default" w:ascii="Times New Roman" w:hAnsi="Times New Roman" w:eastAsia="宋体" w:cs="Times New Roman"/>
          <w:b/>
          <w:bCs/>
          <w:sz w:val="22"/>
          <w:szCs w:val="22"/>
          <w:lang w:val="en-US" w:eastAsia="zh-CN"/>
        </w:rPr>
        <w:t>Fig.</w:t>
      </w:r>
      <w:r>
        <w:rPr>
          <w:rFonts w:hint="eastAsia" w:eastAsia="宋体" w:cs="Times New Roman"/>
          <w:b/>
          <w:bCs/>
          <w:sz w:val="22"/>
          <w:szCs w:val="22"/>
          <w:lang w:val="en-US" w:eastAsia="zh-CN"/>
        </w:rPr>
        <w:t xml:space="preserve"> </w:t>
      </w:r>
      <w:r>
        <w:rPr>
          <w:rFonts w:hint="default" w:ascii="Times New Roman" w:hAnsi="Times New Roman" w:eastAsia="宋体" w:cs="Times New Roman"/>
          <w:b/>
          <w:bCs/>
          <w:sz w:val="22"/>
          <w:szCs w:val="22"/>
          <w:lang w:val="en-US" w:eastAsia="zh-CN"/>
        </w:rPr>
        <w:t>S2 Validation of MSB abnormalities using an independent healthy dataset.</w:t>
      </w:r>
      <w:r>
        <w:rPr>
          <w:rFonts w:hint="eastAsia" w:eastAsia="宋体" w:cs="Times New Roman"/>
          <w:b/>
          <w:bCs/>
          <w:sz w:val="22"/>
          <w:szCs w:val="22"/>
          <w:lang w:val="en-US" w:eastAsia="zh-CN"/>
        </w:rPr>
        <w:t xml:space="preserve"> </w:t>
      </w:r>
      <w:r>
        <w:rPr>
          <w:rFonts w:hint="default" w:ascii="Times New Roman" w:hAnsi="Times New Roman" w:eastAsia="宋体" w:cs="Times New Roman"/>
          <w:b/>
          <w:bCs/>
          <w:sz w:val="22"/>
          <w:szCs w:val="22"/>
          <w:lang w:val="en-US" w:eastAsia="zh-CN"/>
        </w:rPr>
        <w:t xml:space="preserve">(A) </w:t>
      </w:r>
      <w:r>
        <w:rPr>
          <w:rFonts w:hint="default" w:ascii="Times New Roman" w:hAnsi="Times New Roman" w:eastAsia="宋体" w:cs="Times New Roman"/>
          <w:sz w:val="22"/>
          <w:szCs w:val="22"/>
          <w:lang w:val="en-US" w:eastAsia="zh-CN"/>
        </w:rPr>
        <w:t xml:space="preserve">Topographic maps of the four canonical microstate classes (MSA–MSD) identified in the independent healthy dataset (HC_2). </w:t>
      </w:r>
      <w:r>
        <w:rPr>
          <w:rFonts w:hint="default" w:ascii="Times New Roman" w:hAnsi="Times New Roman" w:eastAsia="宋体" w:cs="Times New Roman"/>
          <w:b/>
          <w:bCs/>
          <w:sz w:val="22"/>
          <w:szCs w:val="22"/>
          <w:lang w:val="en-US" w:eastAsia="zh-CN"/>
        </w:rPr>
        <w:t xml:space="preserve">(B) </w:t>
      </w:r>
      <w:r>
        <w:rPr>
          <w:rFonts w:hint="default" w:ascii="Times New Roman" w:hAnsi="Times New Roman" w:eastAsia="宋体" w:cs="Times New Roman"/>
          <w:sz w:val="22"/>
          <w:szCs w:val="22"/>
          <w:lang w:val="en-US" w:eastAsia="zh-CN"/>
        </w:rPr>
        <w:t xml:space="preserve">Spatial correlation matrices between the patient and the independent healthy dataset (HC_2) </w:t>
      </w:r>
      <w:r>
        <w:rPr>
          <w:rFonts w:hint="default" w:ascii="Times New Roman" w:hAnsi="Times New Roman" w:eastAsia="Times New Roman" w:cs="Times New Roman"/>
          <w:sz w:val="22"/>
          <w:szCs w:val="22"/>
        </w:rPr>
        <w:t>for each microstate class.</w:t>
      </w:r>
      <w:r>
        <w:rPr>
          <w:rFonts w:hint="default" w:ascii="Times New Roman" w:hAnsi="Times New Roman" w:eastAsia="宋体" w:cs="Times New Roman"/>
          <w:sz w:val="22"/>
          <w:szCs w:val="22"/>
          <w:lang w:val="en-US" w:eastAsia="zh-CN"/>
        </w:rPr>
        <w:t xml:space="preserve"> </w:t>
      </w:r>
      <w:r>
        <w:rPr>
          <w:rFonts w:hint="default" w:ascii="Times New Roman" w:hAnsi="Times New Roman" w:eastAsia="Times New Roman" w:cs="Times New Roman"/>
          <w:sz w:val="22"/>
          <w:szCs w:val="22"/>
        </w:rPr>
        <w:t>Absolute spatial correlation coefficients exceeded the predefined reliability threshold of 0.5</w:t>
      </w:r>
      <w:r>
        <w:rPr>
          <w:rFonts w:hint="default" w:ascii="Times New Roman" w:hAnsi="Times New Roman" w:eastAsia="宋体" w:cs="Times New Roman"/>
          <w:sz w:val="22"/>
          <w:szCs w:val="22"/>
          <w:lang w:val="en-US" w:eastAsia="zh-CN"/>
        </w:rPr>
        <w:t>0</w:t>
      </w:r>
      <w:r>
        <w:rPr>
          <w:rFonts w:hint="default" w:ascii="Times New Roman" w:hAnsi="Times New Roman" w:eastAsia="Times New Roman" w:cs="Times New Roman"/>
          <w:sz w:val="22"/>
          <w:szCs w:val="22"/>
        </w:rPr>
        <w:t xml:space="preserve"> for all classes, confirming topographic comparability across conditions.</w:t>
      </w:r>
      <w:r>
        <w:rPr>
          <w:rFonts w:hint="default" w:ascii="Times New Roman" w:hAnsi="Times New Roman" w:eastAsia="宋体" w:cs="Times New Roman"/>
          <w:sz w:val="22"/>
          <w:szCs w:val="22"/>
          <w:lang w:val="en-US" w:eastAsia="zh-CN"/>
        </w:rPr>
        <w:t xml:space="preserve"> </w:t>
      </w:r>
      <w:r>
        <w:rPr>
          <w:rFonts w:hint="default" w:ascii="Times New Roman" w:hAnsi="Times New Roman" w:eastAsia="宋体" w:cs="Times New Roman"/>
          <w:b/>
          <w:bCs/>
          <w:sz w:val="22"/>
          <w:szCs w:val="22"/>
          <w:lang w:val="en-US" w:eastAsia="zh-CN"/>
        </w:rPr>
        <w:t>(C)</w:t>
      </w:r>
      <w:r>
        <w:rPr>
          <w:rFonts w:hint="default" w:ascii="Times New Roman" w:hAnsi="Times New Roman" w:eastAsia="宋体" w:cs="Times New Roman"/>
          <w:sz w:val="22"/>
          <w:szCs w:val="22"/>
          <w:lang w:val="en-US" w:eastAsia="zh-CN"/>
        </w:rPr>
        <w:t xml:space="preserve"> Baseline comparisons between the independent healthy dataset (HC_2, blue) and patients (SCZ, pink) at baseline. Mann–Whitney U tests showed significantly reduced MSB coverage (</w:t>
      </w:r>
      <w:r>
        <w:rPr>
          <w:rFonts w:hint="default" w:ascii="Times New Roman" w:hAnsi="Times New Roman" w:eastAsia="宋体" w:cs="Times New Roman"/>
          <w:i/>
          <w:iCs/>
          <w:sz w:val="22"/>
          <w:szCs w:val="22"/>
          <w:lang w:val="en-US" w:eastAsia="zh-CN"/>
        </w:rPr>
        <w:t>Z</w:t>
      </w:r>
      <w:r>
        <w:rPr>
          <w:rFonts w:hint="default" w:ascii="Times New Roman" w:hAnsi="Times New Roman" w:eastAsia="宋体" w:cs="Times New Roman"/>
          <w:sz w:val="22"/>
          <w:szCs w:val="22"/>
          <w:lang w:val="en-US" w:eastAsia="zh-CN"/>
        </w:rPr>
        <w:t xml:space="preserve"> = −4.64, </w:t>
      </w:r>
      <w:r>
        <w:rPr>
          <w:rFonts w:hint="default" w:ascii="Times New Roman" w:hAnsi="Times New Roman" w:eastAsia="宋体" w:cs="Times New Roman"/>
          <w:i/>
          <w:iCs/>
          <w:sz w:val="22"/>
          <w:szCs w:val="22"/>
          <w:lang w:val="en-US" w:eastAsia="zh-CN"/>
        </w:rPr>
        <w:t>p</w:t>
      </w:r>
      <w:r>
        <w:rPr>
          <w:rFonts w:hint="default" w:ascii="Times New Roman" w:hAnsi="Times New Roman" w:eastAsia="宋体" w:cs="Times New Roman"/>
          <w:sz w:val="22"/>
          <w:szCs w:val="22"/>
          <w:lang w:val="en-US" w:eastAsia="zh-CN"/>
        </w:rPr>
        <w:t xml:space="preserve"> &lt; 0.001), MSB occurrence (</w:t>
      </w:r>
      <w:r>
        <w:rPr>
          <w:rFonts w:hint="default" w:ascii="Times New Roman" w:hAnsi="Times New Roman" w:eastAsia="宋体" w:cs="Times New Roman"/>
          <w:i/>
          <w:iCs/>
          <w:sz w:val="22"/>
          <w:szCs w:val="22"/>
          <w:lang w:val="en-US" w:eastAsia="zh-CN"/>
        </w:rPr>
        <w:t>Z</w:t>
      </w:r>
      <w:r>
        <w:rPr>
          <w:rFonts w:hint="default" w:ascii="Times New Roman" w:hAnsi="Times New Roman" w:eastAsia="宋体" w:cs="Times New Roman"/>
          <w:sz w:val="22"/>
          <w:szCs w:val="22"/>
          <w:lang w:val="en-US" w:eastAsia="zh-CN"/>
        </w:rPr>
        <w:t xml:space="preserve"> = −3.73,</w:t>
      </w:r>
      <w:r>
        <w:rPr>
          <w:rFonts w:hint="default" w:ascii="Times New Roman" w:hAnsi="Times New Roman" w:eastAsia="宋体" w:cs="Times New Roman"/>
          <w:i/>
          <w:iCs/>
          <w:sz w:val="22"/>
          <w:szCs w:val="22"/>
          <w:lang w:val="en-US" w:eastAsia="zh-CN"/>
        </w:rPr>
        <w:t xml:space="preserve"> p</w:t>
      </w:r>
      <w:r>
        <w:rPr>
          <w:rFonts w:hint="default" w:ascii="Times New Roman" w:hAnsi="Times New Roman" w:eastAsia="宋体" w:cs="Times New Roman"/>
          <w:sz w:val="22"/>
          <w:szCs w:val="22"/>
          <w:lang w:val="en-US" w:eastAsia="zh-CN"/>
        </w:rPr>
        <w:t xml:space="preserve"> &lt; 0.001), transition probabilities from MSB to MSC (</w:t>
      </w:r>
      <w:r>
        <w:rPr>
          <w:rFonts w:hint="default" w:ascii="Times New Roman" w:hAnsi="Times New Roman" w:eastAsia="宋体" w:cs="Times New Roman"/>
          <w:i/>
          <w:iCs/>
          <w:sz w:val="22"/>
          <w:szCs w:val="22"/>
          <w:lang w:val="en-US" w:eastAsia="zh-CN"/>
        </w:rPr>
        <w:t>Z</w:t>
      </w:r>
      <w:r>
        <w:rPr>
          <w:rFonts w:hint="default" w:ascii="Times New Roman" w:hAnsi="Times New Roman" w:eastAsia="宋体" w:cs="Times New Roman"/>
          <w:sz w:val="22"/>
          <w:szCs w:val="22"/>
          <w:lang w:val="en-US" w:eastAsia="zh-CN"/>
        </w:rPr>
        <w:t xml:space="preserve"> = −3.82, </w:t>
      </w:r>
      <w:r>
        <w:rPr>
          <w:rFonts w:hint="default" w:ascii="Times New Roman" w:hAnsi="Times New Roman" w:eastAsia="宋体" w:cs="Times New Roman"/>
          <w:i/>
          <w:iCs/>
          <w:sz w:val="22"/>
          <w:szCs w:val="22"/>
          <w:lang w:val="en-US" w:eastAsia="zh-CN"/>
        </w:rPr>
        <w:t>p</w:t>
      </w:r>
      <w:r>
        <w:rPr>
          <w:rFonts w:hint="default" w:ascii="Times New Roman" w:hAnsi="Times New Roman" w:eastAsia="宋体" w:cs="Times New Roman"/>
          <w:sz w:val="22"/>
          <w:szCs w:val="22"/>
          <w:lang w:val="en-US" w:eastAsia="zh-CN"/>
        </w:rPr>
        <w:t xml:space="preserve"> &lt; 0.001) and from MSB to MSD (</w:t>
      </w:r>
      <w:r>
        <w:rPr>
          <w:rFonts w:hint="default" w:ascii="Times New Roman" w:hAnsi="Times New Roman" w:eastAsia="宋体" w:cs="Times New Roman"/>
          <w:i/>
          <w:iCs/>
          <w:sz w:val="22"/>
          <w:szCs w:val="22"/>
          <w:lang w:val="en-US" w:eastAsia="zh-CN"/>
        </w:rPr>
        <w:t>Z</w:t>
      </w:r>
      <w:r>
        <w:rPr>
          <w:rFonts w:hint="default" w:ascii="Times New Roman" w:hAnsi="Times New Roman" w:eastAsia="宋体" w:cs="Times New Roman"/>
          <w:sz w:val="22"/>
          <w:szCs w:val="22"/>
          <w:lang w:val="en-US" w:eastAsia="zh-CN"/>
        </w:rPr>
        <w:t xml:space="preserve"> = −5.32, </w:t>
      </w:r>
      <w:r>
        <w:rPr>
          <w:rFonts w:hint="default" w:ascii="Times New Roman" w:hAnsi="Times New Roman" w:eastAsia="宋体" w:cs="Times New Roman"/>
          <w:i/>
          <w:iCs/>
          <w:sz w:val="22"/>
          <w:szCs w:val="22"/>
          <w:lang w:val="en-US" w:eastAsia="zh-CN"/>
        </w:rPr>
        <w:t>p</w:t>
      </w:r>
      <w:r>
        <w:rPr>
          <w:rFonts w:hint="default" w:ascii="Times New Roman" w:hAnsi="Times New Roman" w:eastAsia="宋体" w:cs="Times New Roman"/>
          <w:sz w:val="22"/>
          <w:szCs w:val="22"/>
          <w:lang w:val="en-US" w:eastAsia="zh-CN"/>
        </w:rPr>
        <w:t xml:space="preserve"> &lt; 0.001) in patients relative to the independent healthy dataset, consistent in direction with the primary analysis. In Violin plots, box plots indicate the median and interquartile range, d</w:t>
      </w:r>
      <w:r>
        <w:rPr>
          <w:rFonts w:hint="default" w:ascii="Times New Roman" w:hAnsi="Times New Roman" w:cs="Times New Roman"/>
          <w:sz w:val="22"/>
          <w:szCs w:val="22"/>
        </w:rPr>
        <w:t>ots indicate individual data points</w:t>
      </w:r>
      <w:r>
        <w:rPr>
          <w:rFonts w:hint="default" w:ascii="Times New Roman" w:hAnsi="Times New Roman" w:eastAsia="宋体" w:cs="Times New Roman"/>
          <w:sz w:val="22"/>
          <w:szCs w:val="22"/>
          <w:lang w:val="en-US" w:eastAsia="zh-CN"/>
        </w:rPr>
        <w:t xml:space="preserve">. p-values are FDR-corrected. *** </w:t>
      </w:r>
      <w:r>
        <w:rPr>
          <w:rFonts w:hint="default" w:ascii="Times New Roman" w:hAnsi="Times New Roman" w:eastAsia="宋体" w:cs="Times New Roman"/>
          <w:i/>
          <w:iCs/>
          <w:sz w:val="22"/>
          <w:szCs w:val="22"/>
          <w:lang w:val="en-US" w:eastAsia="zh-CN"/>
        </w:rPr>
        <w:t xml:space="preserve">p </w:t>
      </w:r>
      <w:r>
        <w:rPr>
          <w:rFonts w:hint="default" w:ascii="Times New Roman" w:hAnsi="Times New Roman" w:eastAsia="宋体" w:cs="Times New Roman"/>
          <w:sz w:val="22"/>
          <w:szCs w:val="22"/>
          <w:lang w:val="en-US" w:eastAsia="zh-CN"/>
        </w:rPr>
        <w:t>&lt; 0.001.</w:t>
      </w:r>
    </w:p>
    <w:p w14:paraId="481B1AC3">
      <w:pPr>
        <w:numPr>
          <w:ilvl w:val="0"/>
          <w:numId w:val="0"/>
        </w:numPr>
        <w:bidi w:val="0"/>
        <w:spacing w:line="360" w:lineRule="auto"/>
        <w:rPr>
          <w:rFonts w:hint="default" w:ascii="Times New Roman" w:hAnsi="Times New Roman" w:eastAsia="宋体" w:cs="Times New Roman"/>
          <w:b/>
          <w:bCs/>
          <w:sz w:val="22"/>
          <w:szCs w:val="22"/>
          <w:lang w:val="en-US" w:eastAsia="zh-CN"/>
        </w:rPr>
        <w:sectPr>
          <w:pgSz w:w="11906" w:h="16838"/>
          <w:pgMar w:top="1440" w:right="1800" w:bottom="1440" w:left="1800" w:header="851" w:footer="992" w:gutter="0"/>
          <w:pgNumType w:fmt="decimal"/>
          <w:cols w:space="425" w:num="1"/>
          <w:docGrid w:type="lines" w:linePitch="312" w:charSpace="0"/>
        </w:sectPr>
      </w:pPr>
    </w:p>
    <w:p w14:paraId="3C005C71">
      <w:pPr>
        <w:numPr>
          <w:ilvl w:val="0"/>
          <w:numId w:val="0"/>
        </w:numPr>
        <w:bidi w:val="0"/>
        <w:spacing w:line="360" w:lineRule="auto"/>
        <w:jc w:val="center"/>
        <w:rPr>
          <w:rFonts w:hint="default" w:ascii="Times New Roman" w:hAnsi="Times New Roman" w:eastAsia="宋体" w:cs="Times New Roman"/>
          <w:b/>
          <w:bCs/>
          <w:sz w:val="22"/>
          <w:szCs w:val="22"/>
          <w:lang w:val="en-US" w:eastAsia="zh-CN"/>
        </w:rPr>
      </w:pPr>
      <w:r>
        <w:rPr>
          <w:rFonts w:hint="default" w:ascii="Times New Roman" w:hAnsi="Times New Roman" w:eastAsia="宋体" w:cs="Times New Roman"/>
          <w:b/>
          <w:bCs/>
          <w:sz w:val="22"/>
          <w:szCs w:val="22"/>
          <w:lang w:val="en-US" w:eastAsia="zh-CN"/>
        </w:rPr>
        <w:drawing>
          <wp:inline distT="0" distB="0" distL="114300" distR="114300">
            <wp:extent cx="5273675" cy="4765040"/>
            <wp:effectExtent l="0" t="0" r="9525" b="10160"/>
            <wp:docPr id="5" name="图片 5" descr="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3"/>
                    <pic:cNvPicPr>
                      <a:picLocks noChangeAspect="1"/>
                    </pic:cNvPicPr>
                  </pic:nvPicPr>
                  <pic:blipFill>
                    <a:blip r:embed="rId7"/>
                    <a:stretch>
                      <a:fillRect/>
                    </a:stretch>
                  </pic:blipFill>
                  <pic:spPr>
                    <a:xfrm>
                      <a:off x="0" y="0"/>
                      <a:ext cx="5273675" cy="4765040"/>
                    </a:xfrm>
                    <a:prstGeom prst="rect">
                      <a:avLst/>
                    </a:prstGeom>
                  </pic:spPr>
                </pic:pic>
              </a:graphicData>
            </a:graphic>
          </wp:inline>
        </w:drawing>
      </w:r>
    </w:p>
    <w:p w14:paraId="2F2ED5CA">
      <w:pPr>
        <w:keepNext w:val="0"/>
        <w:keepLines w:val="0"/>
        <w:pageBreakBefore w:val="0"/>
        <w:widowControl w:val="0"/>
        <w:numPr>
          <w:ilvl w:val="0"/>
          <w:numId w:val="0"/>
        </w:numPr>
        <w:kinsoku/>
        <w:wordWrap/>
        <w:overflowPunct/>
        <w:topLinePunct w:val="0"/>
        <w:autoSpaceDE/>
        <w:autoSpaceDN/>
        <w:bidi w:val="0"/>
        <w:adjustRightInd/>
        <w:snapToGrid/>
        <w:spacing w:line="288" w:lineRule="auto"/>
        <w:textAlignment w:val="auto"/>
        <w:rPr>
          <w:rFonts w:hint="eastAsia" w:eastAsia="宋体" w:cs="Times New Roman"/>
          <w:sz w:val="22"/>
          <w:szCs w:val="22"/>
          <w:lang w:val="en-US" w:eastAsia="zh-CN"/>
        </w:rPr>
      </w:pPr>
      <w:r>
        <w:rPr>
          <w:rFonts w:hint="default" w:ascii="Times New Roman" w:hAnsi="Times New Roman" w:eastAsia="宋体" w:cs="Times New Roman"/>
          <w:b/>
          <w:bCs/>
          <w:sz w:val="22"/>
          <w:szCs w:val="22"/>
          <w:lang w:val="en-US" w:eastAsia="zh-CN"/>
        </w:rPr>
        <w:t>Fig. S3 Whole-brain distribution of theta-band source activity abnormalities across microstate classes at baseline.</w:t>
      </w:r>
      <w:r>
        <w:rPr>
          <w:rFonts w:hint="eastAsia" w:eastAsia="宋体" w:cs="Times New Roman"/>
          <w:b/>
          <w:bCs/>
          <w:sz w:val="22"/>
          <w:szCs w:val="22"/>
          <w:lang w:val="en-US" w:eastAsia="zh-CN"/>
        </w:rPr>
        <w:t xml:space="preserve"> </w:t>
      </w:r>
      <w:r>
        <w:rPr>
          <w:rFonts w:hint="default" w:ascii="Times New Roman" w:hAnsi="Times New Roman" w:eastAsia="宋体" w:cs="Times New Roman"/>
          <w:b/>
          <w:bCs/>
          <w:sz w:val="22"/>
          <w:szCs w:val="22"/>
          <w:lang w:val="en-US" w:eastAsia="zh-CN"/>
        </w:rPr>
        <w:t>(A</w:t>
      </w:r>
      <w:r>
        <w:rPr>
          <w:rFonts w:hint="eastAsia" w:eastAsia="宋体" w:cs="Times New Roman"/>
          <w:b/>
          <w:bCs/>
          <w:sz w:val="22"/>
          <w:szCs w:val="22"/>
          <w:lang w:val="en-US" w:eastAsia="zh-CN"/>
        </w:rPr>
        <w:t>-</w:t>
      </w:r>
      <w:r>
        <w:rPr>
          <w:rFonts w:hint="default" w:ascii="Times New Roman" w:hAnsi="Times New Roman" w:eastAsia="宋体" w:cs="Times New Roman"/>
          <w:b/>
          <w:bCs/>
          <w:sz w:val="22"/>
          <w:szCs w:val="22"/>
          <w:lang w:val="en-US" w:eastAsia="zh-CN"/>
        </w:rPr>
        <w:t xml:space="preserve">C) </w:t>
      </w:r>
      <w:r>
        <w:rPr>
          <w:rFonts w:hint="default" w:ascii="Times New Roman" w:hAnsi="Times New Roman" w:cs="Times New Roman"/>
          <w:b w:val="0"/>
          <w:bCs w:val="0"/>
          <w:sz w:val="22"/>
          <w:szCs w:val="22"/>
        </w:rPr>
        <w:t>Whole-brain Z-score maps showing between-group differences in CSD during MS</w:t>
      </w:r>
      <w:r>
        <w:rPr>
          <w:rFonts w:hint="default" w:ascii="Times New Roman" w:hAnsi="Times New Roman" w:eastAsia="宋体" w:cs="Times New Roman"/>
          <w:b w:val="0"/>
          <w:bCs w:val="0"/>
          <w:sz w:val="22"/>
          <w:szCs w:val="22"/>
          <w:lang w:val="en-US" w:eastAsia="zh-CN"/>
        </w:rPr>
        <w:t xml:space="preserve">A, MSC and MSD. </w:t>
      </w:r>
      <w:r>
        <w:rPr>
          <w:rFonts w:hint="default" w:ascii="Times New Roman" w:hAnsi="Times New Roman" w:eastAsia="宋体" w:cs="Times New Roman"/>
          <w:sz w:val="22"/>
          <w:szCs w:val="22"/>
          <w:lang w:val="en-US" w:eastAsia="zh-CN"/>
        </w:rPr>
        <w:t xml:space="preserve">The number of significantly abnormal ROIs (FDR-corrected, </w:t>
      </w:r>
      <w:r>
        <w:rPr>
          <w:rFonts w:hint="default" w:ascii="Times New Roman" w:hAnsi="Times New Roman" w:eastAsia="宋体" w:cs="Times New Roman"/>
          <w:i/>
          <w:iCs/>
          <w:sz w:val="22"/>
          <w:szCs w:val="22"/>
          <w:lang w:val="en-US" w:eastAsia="zh-CN"/>
        </w:rPr>
        <w:t>p</w:t>
      </w:r>
      <w:r>
        <w:rPr>
          <w:rFonts w:hint="default" w:ascii="Times New Roman" w:hAnsi="Times New Roman" w:eastAsia="宋体" w:cs="Times New Roman"/>
          <w:sz w:val="22"/>
          <w:szCs w:val="22"/>
          <w:lang w:val="en-US" w:eastAsia="zh-CN"/>
        </w:rPr>
        <w:t xml:space="preserve"> &lt; 0.05) was 53 for MSA, 27 for MSC, and 44 for MSD. </w:t>
      </w:r>
      <w:r>
        <w:rPr>
          <w:rFonts w:hint="default" w:ascii="Times New Roman" w:hAnsi="Times New Roman" w:cs="Times New Roman"/>
          <w:b w:val="0"/>
          <w:bCs w:val="0"/>
          <w:sz w:val="22"/>
          <w:szCs w:val="22"/>
        </w:rPr>
        <w:t>Positive values (red) indicate higher CSD in patients than in healthy controls, whereas negative values (blue) indicate lower CSD. Non-significant ROIs are shown in gray</w:t>
      </w:r>
      <w:r>
        <w:rPr>
          <w:rFonts w:hint="default" w:ascii="Times New Roman" w:hAnsi="Times New Roman" w:cs="Times New Roman"/>
          <w:sz w:val="22"/>
          <w:szCs w:val="22"/>
        </w:rPr>
        <w:t>.</w:t>
      </w:r>
      <w:r>
        <w:rPr>
          <w:rFonts w:hint="default" w:ascii="Times New Roman" w:hAnsi="Times New Roman" w:eastAsia="宋体" w:cs="Times New Roman"/>
          <w:sz w:val="22"/>
          <w:szCs w:val="22"/>
          <w:lang w:val="en-US" w:eastAsia="zh-CN"/>
        </w:rPr>
        <w:t xml:space="preserve"> </w:t>
      </w:r>
      <w:r>
        <w:rPr>
          <w:rFonts w:hint="default" w:ascii="Times New Roman" w:hAnsi="Times New Roman" w:eastAsia="宋体" w:cs="Times New Roman"/>
          <w:b/>
          <w:bCs/>
          <w:sz w:val="22"/>
          <w:szCs w:val="22"/>
          <w:lang w:val="en-US" w:eastAsia="zh-CN"/>
        </w:rPr>
        <w:t>(D</w:t>
      </w:r>
      <w:r>
        <w:rPr>
          <w:rFonts w:hint="eastAsia" w:eastAsia="宋体" w:cs="Times New Roman"/>
          <w:b/>
          <w:bCs/>
          <w:sz w:val="22"/>
          <w:szCs w:val="22"/>
          <w:lang w:val="en-US" w:eastAsia="zh-CN"/>
        </w:rPr>
        <w:t>-</w:t>
      </w:r>
      <w:r>
        <w:rPr>
          <w:rFonts w:hint="default" w:ascii="Times New Roman" w:hAnsi="Times New Roman" w:eastAsia="宋体" w:cs="Times New Roman"/>
          <w:b/>
          <w:bCs/>
          <w:sz w:val="22"/>
          <w:szCs w:val="22"/>
          <w:lang w:val="en-US" w:eastAsia="zh-CN"/>
        </w:rPr>
        <w:t xml:space="preserve">E) </w:t>
      </w:r>
      <w:r>
        <w:rPr>
          <w:rFonts w:hint="default" w:ascii="Times New Roman" w:hAnsi="Times New Roman" w:eastAsia="宋体" w:cs="Times New Roman"/>
          <w:sz w:val="22"/>
          <w:szCs w:val="22"/>
          <w:lang w:val="en-US" w:eastAsia="zh-CN"/>
        </w:rPr>
        <w:t>Network-level distribution of significantly hyperactivated (Hyper, D) and hypoactivated (Hypo, E) ROIs across the Yeo 7-networks, expressed as the percentage of abnormal ROIs relative to the total number of ROIs within each network. A consistent pattern was observed across all microstate classes: abnormal ROIs within the LIM and VIS networks uniformly showed increased CSD, whereas those within the DAN network uniformly showed decreased CSD and those within the CON network predominantly showed decreased CSD.</w:t>
      </w:r>
      <w:r>
        <w:rPr>
          <w:rFonts w:hint="eastAsia" w:eastAsia="宋体" w:cs="Times New Roman"/>
          <w:sz w:val="22"/>
          <w:szCs w:val="22"/>
          <w:lang w:val="en-US" w:eastAsia="zh-CN"/>
        </w:rPr>
        <w:t xml:space="preserve"> </w:t>
      </w:r>
    </w:p>
    <w:p w14:paraId="3E8187AC">
      <w:pPr>
        <w:keepNext w:val="0"/>
        <w:keepLines w:val="0"/>
        <w:pageBreakBefore w:val="0"/>
        <w:widowControl w:val="0"/>
        <w:numPr>
          <w:ilvl w:val="0"/>
          <w:numId w:val="0"/>
        </w:numPr>
        <w:kinsoku/>
        <w:wordWrap/>
        <w:overflowPunct/>
        <w:topLinePunct w:val="0"/>
        <w:autoSpaceDE/>
        <w:autoSpaceDN/>
        <w:bidi w:val="0"/>
        <w:adjustRightInd/>
        <w:snapToGrid/>
        <w:spacing w:line="288" w:lineRule="auto"/>
        <w:textAlignment w:val="auto"/>
        <w:rPr>
          <w:rFonts w:hint="default" w:eastAsia="宋体" w:cs="Times New Roman"/>
          <w:sz w:val="22"/>
          <w:szCs w:val="22"/>
          <w:lang w:val="en-US" w:eastAsia="zh-CN"/>
        </w:rPr>
      </w:pPr>
      <w:r>
        <w:rPr>
          <w:rFonts w:hint="default" w:ascii="Times New Roman" w:hAnsi="Times New Roman" w:eastAsia="Times New Roman" w:cs="Times New Roman"/>
          <w:b w:val="0"/>
          <w:bCs w:val="0"/>
          <w:sz w:val="22"/>
          <w:szCs w:val="22"/>
        </w:rPr>
        <w:t>Abbreviations: CON, control network; DMN, default mode network; DAN, dorsal attention network; LIM, limbic network; SAL, salience/ventral attention network; SOM, somatomotor network; VIS, visual network.</w:t>
      </w:r>
    </w:p>
    <w:p w14:paraId="14B1FEF9">
      <w:pP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br w:type="page"/>
      </w:r>
    </w:p>
    <w:p w14:paraId="160C521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bCs/>
          <w:sz w:val="22"/>
          <w:szCs w:val="22"/>
          <w:lang w:val="en-US" w:eastAsia="zh-CN"/>
        </w:rPr>
      </w:pPr>
      <w:r>
        <w:rPr>
          <w:rFonts w:hint="default" w:ascii="Times New Roman" w:hAnsi="Times New Roman" w:eastAsia="宋体" w:cs="Times New Roman"/>
          <w:b/>
          <w:bCs/>
          <w:sz w:val="22"/>
          <w:szCs w:val="22"/>
          <w:lang w:val="en-US" w:eastAsia="zh-CN"/>
        </w:rPr>
        <w:drawing>
          <wp:inline distT="0" distB="0" distL="114300" distR="114300">
            <wp:extent cx="5273675" cy="3485515"/>
            <wp:effectExtent l="0" t="0" r="9525" b="6985"/>
            <wp:docPr id="6" name="图片 6" descr="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4"/>
                    <pic:cNvPicPr>
                      <a:picLocks noChangeAspect="1"/>
                    </pic:cNvPicPr>
                  </pic:nvPicPr>
                  <pic:blipFill>
                    <a:blip r:embed="rId8"/>
                    <a:stretch>
                      <a:fillRect/>
                    </a:stretch>
                  </pic:blipFill>
                  <pic:spPr>
                    <a:xfrm>
                      <a:off x="0" y="0"/>
                      <a:ext cx="5273675" cy="3485515"/>
                    </a:xfrm>
                    <a:prstGeom prst="rect">
                      <a:avLst/>
                    </a:prstGeom>
                  </pic:spPr>
                </pic:pic>
              </a:graphicData>
            </a:graphic>
          </wp:inline>
        </w:drawing>
      </w:r>
    </w:p>
    <w:p w14:paraId="4D7EDFBA">
      <w:pPr>
        <w:keepNext w:val="0"/>
        <w:keepLines w:val="0"/>
        <w:pageBreakBefore w:val="0"/>
        <w:widowControl w:val="0"/>
        <w:numPr>
          <w:ilvl w:val="0"/>
          <w:numId w:val="0"/>
        </w:numPr>
        <w:kinsoku/>
        <w:wordWrap/>
        <w:overflowPunct/>
        <w:topLinePunct w:val="0"/>
        <w:autoSpaceDE/>
        <w:autoSpaceDN/>
        <w:bidi w:val="0"/>
        <w:adjustRightInd/>
        <w:snapToGrid/>
        <w:spacing w:line="288" w:lineRule="auto"/>
        <w:textAlignment w:val="auto"/>
        <w:rPr>
          <w:rFonts w:hint="default" w:ascii="Times New Roman" w:hAnsi="Times New Roman" w:eastAsia="宋体" w:cs="Times New Roman"/>
          <w:sz w:val="22"/>
          <w:szCs w:val="22"/>
          <w:lang w:val="en-US" w:eastAsia="zh-CN"/>
        </w:rPr>
      </w:pPr>
      <w:r>
        <w:rPr>
          <w:rFonts w:hint="default" w:ascii="Times New Roman" w:hAnsi="Times New Roman" w:eastAsia="宋体" w:cs="Times New Roman"/>
          <w:b/>
          <w:bCs/>
          <w:sz w:val="22"/>
          <w:szCs w:val="22"/>
          <w:lang w:val="en-US" w:eastAsia="zh-CN"/>
        </w:rPr>
        <w:t>Fig. S4 Theta-tACS restores abnormal cortical source activity during MSC</w:t>
      </w:r>
      <w:r>
        <w:rPr>
          <w:rFonts w:hint="eastAsia" w:eastAsia="宋体" w:cs="Times New Roman"/>
          <w:b/>
          <w:bCs/>
          <w:sz w:val="22"/>
          <w:szCs w:val="22"/>
          <w:lang w:val="en-US" w:eastAsia="zh-CN"/>
        </w:rPr>
        <w:t xml:space="preserve">. </w:t>
      </w:r>
      <w:r>
        <w:rPr>
          <w:rFonts w:hint="default" w:ascii="Times New Roman" w:hAnsi="Times New Roman" w:eastAsia="宋体" w:cs="Times New Roman"/>
          <w:b/>
          <w:bCs/>
          <w:sz w:val="22"/>
          <w:szCs w:val="22"/>
          <w:lang w:val="en-US" w:eastAsia="zh-CN"/>
        </w:rPr>
        <w:t xml:space="preserve">(A–B) </w:t>
      </w:r>
      <w:r>
        <w:rPr>
          <w:rFonts w:hint="default" w:ascii="Times New Roman" w:hAnsi="Times New Roman" w:eastAsia="宋体" w:cs="Times New Roman"/>
          <w:sz w:val="22"/>
          <w:szCs w:val="22"/>
          <w:lang w:val="en-US" w:eastAsia="zh-CN"/>
        </w:rPr>
        <w:t>Brain map and pre- to post-intervention changes in CSD for the left midcingulate cortex (Cont_Cing_1_L). CSD showed a nominal decrease after active stimulation (</w:t>
      </w:r>
      <w:r>
        <w:rPr>
          <w:rFonts w:hint="default" w:ascii="Times New Roman" w:hAnsi="Times New Roman" w:eastAsia="宋体" w:cs="Times New Roman"/>
          <w:i/>
          <w:iCs/>
          <w:sz w:val="22"/>
          <w:szCs w:val="22"/>
          <w:lang w:val="en-US" w:eastAsia="zh-CN"/>
        </w:rPr>
        <w:t>Z</w:t>
      </w:r>
      <w:r>
        <w:rPr>
          <w:rFonts w:hint="default" w:ascii="Times New Roman" w:hAnsi="Times New Roman" w:eastAsia="宋体" w:cs="Times New Roman"/>
          <w:sz w:val="22"/>
          <w:szCs w:val="22"/>
          <w:lang w:val="en-US" w:eastAsia="zh-CN"/>
        </w:rPr>
        <w:t xml:space="preserve"> = −3.39, </w:t>
      </w:r>
      <w:r>
        <w:rPr>
          <w:rFonts w:hint="default" w:ascii="Times New Roman" w:hAnsi="Times New Roman" w:eastAsia="宋体" w:cs="Times New Roman"/>
          <w:i/>
          <w:iCs/>
          <w:sz w:val="22"/>
          <w:szCs w:val="22"/>
          <w:lang w:val="en-US" w:eastAsia="zh-CN"/>
        </w:rPr>
        <w:t>p</w:t>
      </w:r>
      <w:r>
        <w:rPr>
          <w:rFonts w:hint="default" w:ascii="Times New Roman" w:hAnsi="Times New Roman" w:eastAsia="宋体" w:cs="Times New Roman"/>
          <w:sz w:val="22"/>
          <w:szCs w:val="22"/>
          <w:lang w:val="en-US" w:eastAsia="zh-CN"/>
        </w:rPr>
        <w:t xml:space="preserve"> &lt; 0.001), whereas the sham group showed a further increase (</w:t>
      </w:r>
      <w:r>
        <w:rPr>
          <w:rFonts w:hint="default" w:ascii="Times New Roman" w:hAnsi="Times New Roman" w:eastAsia="宋体" w:cs="Times New Roman"/>
          <w:i/>
          <w:iCs/>
          <w:sz w:val="22"/>
          <w:szCs w:val="22"/>
          <w:lang w:val="en-US" w:eastAsia="zh-CN"/>
        </w:rPr>
        <w:t>Z</w:t>
      </w:r>
      <w:r>
        <w:rPr>
          <w:rFonts w:hint="default" w:ascii="Times New Roman" w:hAnsi="Times New Roman" w:eastAsia="宋体" w:cs="Times New Roman"/>
          <w:sz w:val="22"/>
          <w:szCs w:val="22"/>
          <w:lang w:val="en-US" w:eastAsia="zh-CN"/>
        </w:rPr>
        <w:t xml:space="preserve"> = 2.59, </w:t>
      </w:r>
      <w:r>
        <w:rPr>
          <w:rFonts w:hint="default" w:ascii="Times New Roman" w:hAnsi="Times New Roman" w:eastAsia="宋体" w:cs="Times New Roman"/>
          <w:i/>
          <w:iCs/>
          <w:sz w:val="22"/>
          <w:szCs w:val="22"/>
          <w:lang w:val="en-US" w:eastAsia="zh-CN"/>
        </w:rPr>
        <w:t>p</w:t>
      </w:r>
      <w:r>
        <w:rPr>
          <w:rFonts w:hint="default" w:ascii="Times New Roman" w:hAnsi="Times New Roman" w:eastAsia="宋体" w:cs="Times New Roman"/>
          <w:sz w:val="22"/>
          <w:szCs w:val="22"/>
          <w:lang w:val="en-US" w:eastAsia="zh-CN"/>
        </w:rPr>
        <w:t xml:space="preserve"> = 0.01), deviating further from healthy levels.</w:t>
      </w:r>
      <w:r>
        <w:rPr>
          <w:rFonts w:hint="default" w:ascii="Times New Roman" w:hAnsi="Times New Roman" w:eastAsia="宋体" w:cs="Times New Roman"/>
          <w:b/>
          <w:bCs/>
          <w:sz w:val="22"/>
          <w:szCs w:val="22"/>
          <w:lang w:val="en-US" w:eastAsia="zh-CN"/>
        </w:rPr>
        <w:t xml:space="preserve"> (C–D) </w:t>
      </w:r>
      <w:r>
        <w:rPr>
          <w:rFonts w:hint="default" w:ascii="Times New Roman" w:hAnsi="Times New Roman" w:eastAsia="宋体" w:cs="Times New Roman"/>
          <w:sz w:val="22"/>
          <w:szCs w:val="22"/>
          <w:lang w:val="en-US" w:eastAsia="zh-CN"/>
        </w:rPr>
        <w:t>Brain map and pre- to post-intervention changes in CSD for the right midcingulate cortex (Cont_Cing_1_L). CSD showed a nominal decrease after active stimulation  (</w:t>
      </w:r>
      <w:r>
        <w:rPr>
          <w:rFonts w:hint="default" w:ascii="Times New Roman" w:hAnsi="Times New Roman" w:eastAsia="宋体" w:cs="Times New Roman"/>
          <w:i/>
          <w:iCs/>
          <w:sz w:val="22"/>
          <w:szCs w:val="22"/>
          <w:lang w:val="en-US" w:eastAsia="zh-CN"/>
        </w:rPr>
        <w:t>Z</w:t>
      </w:r>
      <w:r>
        <w:rPr>
          <w:rFonts w:hint="default" w:ascii="Times New Roman" w:hAnsi="Times New Roman" w:eastAsia="宋体" w:cs="Times New Roman"/>
          <w:sz w:val="22"/>
          <w:szCs w:val="22"/>
          <w:lang w:val="en-US" w:eastAsia="zh-CN"/>
        </w:rPr>
        <w:t xml:space="preserve"> = −3.24, </w:t>
      </w:r>
      <w:r>
        <w:rPr>
          <w:rFonts w:hint="default" w:ascii="Times New Roman" w:hAnsi="Times New Roman" w:eastAsia="宋体" w:cs="Times New Roman"/>
          <w:i/>
          <w:iCs/>
          <w:sz w:val="22"/>
          <w:szCs w:val="22"/>
          <w:lang w:val="en-US" w:eastAsia="zh-CN"/>
        </w:rPr>
        <w:t>p</w:t>
      </w:r>
      <w:r>
        <w:rPr>
          <w:rFonts w:hint="default" w:ascii="Times New Roman" w:hAnsi="Times New Roman" w:eastAsia="宋体" w:cs="Times New Roman"/>
          <w:sz w:val="22"/>
          <w:szCs w:val="22"/>
          <w:lang w:val="en-US" w:eastAsia="zh-CN"/>
        </w:rPr>
        <w:t xml:space="preserve"> = 0.001), whereas the sham group showed a further increase (</w:t>
      </w:r>
      <w:r>
        <w:rPr>
          <w:rFonts w:hint="default" w:ascii="Times New Roman" w:hAnsi="Times New Roman" w:eastAsia="宋体" w:cs="Times New Roman"/>
          <w:i/>
          <w:iCs/>
          <w:sz w:val="22"/>
          <w:szCs w:val="22"/>
          <w:lang w:val="en-US" w:eastAsia="zh-CN"/>
        </w:rPr>
        <w:t>Z</w:t>
      </w:r>
      <w:r>
        <w:rPr>
          <w:rFonts w:hint="default" w:ascii="Times New Roman" w:hAnsi="Times New Roman" w:eastAsia="宋体" w:cs="Times New Roman"/>
          <w:sz w:val="22"/>
          <w:szCs w:val="22"/>
          <w:lang w:val="en-US" w:eastAsia="zh-CN"/>
        </w:rPr>
        <w:t xml:space="preserve"> = 2.31, </w:t>
      </w:r>
      <w:r>
        <w:rPr>
          <w:rFonts w:hint="default" w:ascii="Times New Roman" w:hAnsi="Times New Roman" w:eastAsia="宋体" w:cs="Times New Roman"/>
          <w:i/>
          <w:iCs/>
          <w:sz w:val="22"/>
          <w:szCs w:val="22"/>
          <w:lang w:val="en-US" w:eastAsia="zh-CN"/>
        </w:rPr>
        <w:t>p</w:t>
      </w:r>
      <w:r>
        <w:rPr>
          <w:rFonts w:hint="default" w:ascii="Times New Roman" w:hAnsi="Times New Roman" w:eastAsia="宋体" w:cs="Times New Roman"/>
          <w:sz w:val="22"/>
          <w:szCs w:val="22"/>
          <w:lang w:val="en-US" w:eastAsia="zh-CN"/>
        </w:rPr>
        <w:t xml:space="preserve"> = 0.02), deviating further from healthy levels. In cortical maps, red indicates increased CSD and blue indicates decreased CSD. In violin plots, box plots indicate the median and interquartile range, and dots indicate individual participants. *</w:t>
      </w:r>
      <w:r>
        <w:rPr>
          <w:rFonts w:hint="default" w:ascii="Times New Roman" w:hAnsi="Times New Roman" w:eastAsia="宋体" w:cs="Times New Roman"/>
          <w:i/>
          <w:iCs/>
          <w:sz w:val="22"/>
          <w:szCs w:val="22"/>
          <w:lang w:val="en-US" w:eastAsia="zh-CN"/>
        </w:rPr>
        <w:t>p</w:t>
      </w:r>
      <w:r>
        <w:rPr>
          <w:rFonts w:hint="default" w:ascii="Times New Roman" w:hAnsi="Times New Roman" w:eastAsia="宋体" w:cs="Times New Roman"/>
          <w:sz w:val="22"/>
          <w:szCs w:val="22"/>
          <w:lang w:val="en-US" w:eastAsia="zh-CN"/>
        </w:rPr>
        <w:t xml:space="preserve"> &lt; 0.05</w:t>
      </w:r>
      <w:r>
        <w:rPr>
          <w:rFonts w:hint="eastAsia" w:eastAsia="宋体" w:cs="Times New Roman"/>
          <w:sz w:val="22"/>
          <w:szCs w:val="22"/>
          <w:lang w:val="en-US" w:eastAsia="zh-CN"/>
        </w:rPr>
        <w:t>.</w:t>
      </w:r>
    </w:p>
    <w:p w14:paraId="2DB8FF60">
      <w:pP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br w:type="page"/>
      </w:r>
    </w:p>
    <w:p w14:paraId="3F72F22B">
      <w:pPr>
        <w:keepNext w:val="0"/>
        <w:keepLines w:val="0"/>
        <w:pageBreakBefore w:val="0"/>
        <w:widowControl w:val="0"/>
        <w:numPr>
          <w:ilvl w:val="0"/>
          <w:numId w:val="0"/>
        </w:numPr>
        <w:kinsoku/>
        <w:wordWrap/>
        <w:overflowPunct/>
        <w:topLinePunct w:val="0"/>
        <w:autoSpaceDE/>
        <w:autoSpaceDN/>
        <w:bidi w:val="0"/>
        <w:adjustRightInd/>
        <w:snapToGrid/>
        <w:spacing w:line="288" w:lineRule="auto"/>
        <w:textAlignment w:val="auto"/>
        <w:rPr>
          <w:rFonts w:hint="default" w:ascii="Times New Roman" w:hAnsi="Times New Roman" w:eastAsia="宋体" w:cs="Times New Roman"/>
          <w:b/>
          <w:bCs/>
          <w:sz w:val="22"/>
          <w:szCs w:val="22"/>
          <w:lang w:val="en-US" w:eastAsia="zh-CN"/>
        </w:rPr>
      </w:pPr>
      <w:r>
        <w:rPr>
          <w:rFonts w:hint="default" w:ascii="Times New Roman" w:hAnsi="Times New Roman" w:eastAsia="宋体" w:cs="Times New Roman"/>
          <w:b/>
          <w:bCs/>
          <w:sz w:val="22"/>
          <w:szCs w:val="22"/>
          <w:lang w:val="en-US" w:eastAsia="zh-CN"/>
        </w:rPr>
        <w:t>Table S1. Comparisons of theta-band CSD during MSB between patients and healthy controls.</w:t>
      </w:r>
    </w:p>
    <w:tbl>
      <w:tblPr>
        <w:tblStyle w:val="4"/>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8"/>
        <w:gridCol w:w="1354"/>
        <w:gridCol w:w="4250"/>
        <w:gridCol w:w="883"/>
        <w:gridCol w:w="1094"/>
      </w:tblGrid>
      <w:tr w14:paraId="3C2C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550" w:type="pct"/>
            <w:tcBorders>
              <w:top w:val="single" w:color="000000" w:sz="4" w:space="0"/>
              <w:left w:val="nil"/>
              <w:bottom w:val="single" w:color="000000" w:sz="4" w:space="0"/>
              <w:right w:val="nil"/>
            </w:tcBorders>
            <w:shd w:val="clear" w:color="auto" w:fill="auto"/>
            <w:noWrap/>
            <w:vAlign w:val="center"/>
          </w:tcPr>
          <w:p w14:paraId="533FA5C9">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Index</w:t>
            </w:r>
          </w:p>
        </w:tc>
        <w:tc>
          <w:tcPr>
            <w:tcW w:w="794" w:type="pct"/>
            <w:tcBorders>
              <w:top w:val="single" w:color="000000" w:sz="4" w:space="0"/>
              <w:left w:val="nil"/>
              <w:bottom w:val="single" w:color="000000" w:sz="4" w:space="0"/>
              <w:right w:val="nil"/>
            </w:tcBorders>
            <w:shd w:val="clear" w:color="auto" w:fill="auto"/>
            <w:noWrap/>
            <w:vAlign w:val="center"/>
          </w:tcPr>
          <w:p w14:paraId="057D6146">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NetWork</w:t>
            </w:r>
          </w:p>
        </w:tc>
        <w:tc>
          <w:tcPr>
            <w:tcW w:w="2493" w:type="pct"/>
            <w:tcBorders>
              <w:top w:val="single" w:color="000000" w:sz="4" w:space="0"/>
              <w:left w:val="nil"/>
              <w:bottom w:val="single" w:color="000000" w:sz="4" w:space="0"/>
              <w:right w:val="nil"/>
            </w:tcBorders>
            <w:shd w:val="clear" w:color="auto" w:fill="auto"/>
            <w:noWrap/>
            <w:vAlign w:val="center"/>
          </w:tcPr>
          <w:p w14:paraId="41EBDB5D">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ROI</w:t>
            </w:r>
          </w:p>
        </w:tc>
        <w:tc>
          <w:tcPr>
            <w:tcW w:w="518" w:type="pct"/>
            <w:tcBorders>
              <w:top w:val="single" w:color="000000" w:sz="4" w:space="0"/>
              <w:left w:val="nil"/>
              <w:bottom w:val="single" w:color="000000" w:sz="4" w:space="0"/>
              <w:right w:val="nil"/>
            </w:tcBorders>
            <w:shd w:val="clear" w:color="auto" w:fill="auto"/>
            <w:noWrap/>
            <w:vAlign w:val="center"/>
          </w:tcPr>
          <w:p w14:paraId="1AB79E48">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iCs/>
                <w:color w:val="000000"/>
                <w:kern w:val="0"/>
                <w:sz w:val="21"/>
                <w:szCs w:val="21"/>
                <w:u w:val="none"/>
                <w:lang w:val="en-US" w:eastAsia="zh-CN" w:bidi="ar"/>
              </w:rPr>
              <w:t>Z</w:t>
            </w:r>
          </w:p>
        </w:tc>
        <w:tc>
          <w:tcPr>
            <w:tcW w:w="642" w:type="pct"/>
            <w:tcBorders>
              <w:top w:val="single" w:color="000000" w:sz="4" w:space="0"/>
              <w:left w:val="nil"/>
              <w:bottom w:val="single" w:color="000000" w:sz="4" w:space="0"/>
              <w:right w:val="nil"/>
            </w:tcBorders>
            <w:shd w:val="clear" w:color="auto" w:fill="auto"/>
            <w:noWrap/>
            <w:vAlign w:val="center"/>
          </w:tcPr>
          <w:p w14:paraId="5EC0E769">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iCs/>
                <w:color w:val="000000"/>
                <w:kern w:val="0"/>
                <w:sz w:val="21"/>
                <w:szCs w:val="21"/>
                <w:u w:val="none"/>
                <w:lang w:val="en-US" w:eastAsia="zh-CN" w:bidi="ar"/>
              </w:rPr>
              <w:t>p</w:t>
            </w:r>
          </w:p>
        </w:tc>
      </w:tr>
      <w:tr w14:paraId="310B0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57D5777A">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794" w:type="pct"/>
            <w:vMerge w:val="restart"/>
            <w:tcBorders>
              <w:top w:val="nil"/>
              <w:left w:val="nil"/>
              <w:bottom w:val="nil"/>
              <w:right w:val="nil"/>
            </w:tcBorders>
            <w:shd w:val="clear" w:color="auto" w:fill="auto"/>
            <w:noWrap/>
            <w:vAlign w:val="center"/>
          </w:tcPr>
          <w:p w14:paraId="24C35F39">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CON</w:t>
            </w:r>
          </w:p>
        </w:tc>
        <w:tc>
          <w:tcPr>
            <w:tcW w:w="2493" w:type="pct"/>
            <w:tcBorders>
              <w:top w:val="nil"/>
              <w:left w:val="nil"/>
              <w:bottom w:val="nil"/>
              <w:right w:val="nil"/>
            </w:tcBorders>
            <w:shd w:val="clear" w:color="auto" w:fill="auto"/>
            <w:noWrap/>
            <w:vAlign w:val="center"/>
          </w:tcPr>
          <w:p w14:paraId="14BEA733">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Cont_Cing_1_L</w:t>
            </w:r>
          </w:p>
        </w:tc>
        <w:tc>
          <w:tcPr>
            <w:tcW w:w="518" w:type="pct"/>
            <w:tcBorders>
              <w:top w:val="nil"/>
              <w:left w:val="nil"/>
              <w:bottom w:val="nil"/>
              <w:right w:val="nil"/>
            </w:tcBorders>
            <w:shd w:val="clear" w:color="auto" w:fill="auto"/>
            <w:noWrap/>
            <w:vAlign w:val="center"/>
          </w:tcPr>
          <w:p w14:paraId="24EAEE3D">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 xml:space="preserve">4.56 </w:t>
            </w:r>
          </w:p>
        </w:tc>
        <w:tc>
          <w:tcPr>
            <w:tcW w:w="642" w:type="pct"/>
            <w:tcBorders>
              <w:top w:val="nil"/>
              <w:left w:val="nil"/>
              <w:bottom w:val="nil"/>
              <w:right w:val="nil"/>
            </w:tcBorders>
            <w:shd w:val="clear" w:color="auto" w:fill="auto"/>
            <w:noWrap/>
            <w:vAlign w:val="center"/>
          </w:tcPr>
          <w:p w14:paraId="68333AA4">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&lt;0.001</w:t>
            </w:r>
          </w:p>
        </w:tc>
      </w:tr>
      <w:tr w14:paraId="40233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1BF63D0A">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794" w:type="pct"/>
            <w:vMerge w:val="continue"/>
            <w:tcBorders>
              <w:top w:val="nil"/>
              <w:left w:val="nil"/>
              <w:bottom w:val="nil"/>
              <w:right w:val="nil"/>
            </w:tcBorders>
            <w:shd w:val="clear" w:color="auto" w:fill="auto"/>
            <w:noWrap/>
            <w:vAlign w:val="center"/>
          </w:tcPr>
          <w:p w14:paraId="475FA273">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3E118B97">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Cont_Cing_1_R</w:t>
            </w:r>
          </w:p>
        </w:tc>
        <w:tc>
          <w:tcPr>
            <w:tcW w:w="518" w:type="pct"/>
            <w:tcBorders>
              <w:top w:val="nil"/>
              <w:left w:val="nil"/>
              <w:bottom w:val="nil"/>
              <w:right w:val="nil"/>
            </w:tcBorders>
            <w:shd w:val="clear" w:color="auto" w:fill="auto"/>
            <w:noWrap/>
            <w:vAlign w:val="center"/>
          </w:tcPr>
          <w:p w14:paraId="46D2439C">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4.03 </w:t>
            </w:r>
          </w:p>
        </w:tc>
        <w:tc>
          <w:tcPr>
            <w:tcW w:w="642" w:type="pct"/>
            <w:tcBorders>
              <w:top w:val="nil"/>
              <w:left w:val="nil"/>
              <w:bottom w:val="nil"/>
              <w:right w:val="nil"/>
            </w:tcBorders>
            <w:shd w:val="clear" w:color="auto" w:fill="auto"/>
            <w:noWrap/>
            <w:vAlign w:val="center"/>
          </w:tcPr>
          <w:p w14:paraId="56B11B54">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55004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4E9EFC76">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794" w:type="pct"/>
            <w:vMerge w:val="continue"/>
            <w:tcBorders>
              <w:top w:val="nil"/>
              <w:left w:val="nil"/>
              <w:bottom w:val="nil"/>
              <w:right w:val="nil"/>
            </w:tcBorders>
            <w:shd w:val="clear" w:color="auto" w:fill="auto"/>
            <w:noWrap/>
            <w:vAlign w:val="center"/>
          </w:tcPr>
          <w:p w14:paraId="6BEA3216">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02374A75">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Cont_PFCl_1_R</w:t>
            </w:r>
          </w:p>
        </w:tc>
        <w:tc>
          <w:tcPr>
            <w:tcW w:w="518" w:type="pct"/>
            <w:tcBorders>
              <w:top w:val="nil"/>
              <w:left w:val="nil"/>
              <w:bottom w:val="nil"/>
              <w:right w:val="nil"/>
            </w:tcBorders>
            <w:shd w:val="clear" w:color="auto" w:fill="auto"/>
            <w:noWrap/>
            <w:vAlign w:val="center"/>
          </w:tcPr>
          <w:p w14:paraId="4E0D5C06">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-4.19 </w:t>
            </w:r>
          </w:p>
        </w:tc>
        <w:tc>
          <w:tcPr>
            <w:tcW w:w="642" w:type="pct"/>
            <w:tcBorders>
              <w:top w:val="nil"/>
              <w:left w:val="nil"/>
              <w:bottom w:val="nil"/>
              <w:right w:val="nil"/>
            </w:tcBorders>
            <w:shd w:val="clear" w:color="auto" w:fill="auto"/>
            <w:noWrap/>
            <w:vAlign w:val="center"/>
          </w:tcPr>
          <w:p w14:paraId="7A2FD174">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1A7A4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5DCD84B7">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794" w:type="pct"/>
            <w:vMerge w:val="continue"/>
            <w:tcBorders>
              <w:top w:val="nil"/>
              <w:left w:val="nil"/>
              <w:bottom w:val="nil"/>
              <w:right w:val="nil"/>
            </w:tcBorders>
            <w:shd w:val="clear" w:color="auto" w:fill="auto"/>
            <w:noWrap/>
            <w:vAlign w:val="center"/>
          </w:tcPr>
          <w:p w14:paraId="1612F865">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3F3F5C97">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Cont_PFCl_2_R</w:t>
            </w:r>
          </w:p>
        </w:tc>
        <w:tc>
          <w:tcPr>
            <w:tcW w:w="518" w:type="pct"/>
            <w:tcBorders>
              <w:top w:val="nil"/>
              <w:left w:val="nil"/>
              <w:bottom w:val="nil"/>
              <w:right w:val="nil"/>
            </w:tcBorders>
            <w:shd w:val="clear" w:color="auto" w:fill="auto"/>
            <w:noWrap/>
            <w:vAlign w:val="center"/>
          </w:tcPr>
          <w:p w14:paraId="74101473">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-3.36 </w:t>
            </w:r>
          </w:p>
        </w:tc>
        <w:tc>
          <w:tcPr>
            <w:tcW w:w="642" w:type="pct"/>
            <w:tcBorders>
              <w:top w:val="nil"/>
              <w:left w:val="nil"/>
              <w:bottom w:val="nil"/>
              <w:right w:val="nil"/>
            </w:tcBorders>
            <w:shd w:val="clear" w:color="auto" w:fill="auto"/>
            <w:noWrap/>
            <w:vAlign w:val="center"/>
          </w:tcPr>
          <w:p w14:paraId="3C62EBA2">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0.003 </w:t>
            </w:r>
          </w:p>
        </w:tc>
      </w:tr>
      <w:tr w14:paraId="68512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6F3260F3">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794" w:type="pct"/>
            <w:vMerge w:val="continue"/>
            <w:tcBorders>
              <w:top w:val="nil"/>
              <w:left w:val="nil"/>
              <w:bottom w:val="nil"/>
              <w:right w:val="nil"/>
            </w:tcBorders>
            <w:shd w:val="clear" w:color="auto" w:fill="auto"/>
            <w:noWrap/>
            <w:vAlign w:val="center"/>
          </w:tcPr>
          <w:p w14:paraId="568C7B4A">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7B4776A9">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Cont_PFCl_3_R</w:t>
            </w:r>
          </w:p>
        </w:tc>
        <w:tc>
          <w:tcPr>
            <w:tcW w:w="518" w:type="pct"/>
            <w:tcBorders>
              <w:top w:val="nil"/>
              <w:left w:val="nil"/>
              <w:bottom w:val="nil"/>
              <w:right w:val="nil"/>
            </w:tcBorders>
            <w:shd w:val="clear" w:color="auto" w:fill="auto"/>
            <w:noWrap/>
            <w:vAlign w:val="center"/>
          </w:tcPr>
          <w:p w14:paraId="6BD454AA">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-4.33 </w:t>
            </w:r>
          </w:p>
        </w:tc>
        <w:tc>
          <w:tcPr>
            <w:tcW w:w="642" w:type="pct"/>
            <w:tcBorders>
              <w:top w:val="nil"/>
              <w:left w:val="nil"/>
              <w:bottom w:val="nil"/>
              <w:right w:val="nil"/>
            </w:tcBorders>
            <w:shd w:val="clear" w:color="auto" w:fill="auto"/>
            <w:noWrap/>
            <w:vAlign w:val="center"/>
          </w:tcPr>
          <w:p w14:paraId="05BDC66E">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007E5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74D817D9">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794" w:type="pct"/>
            <w:vMerge w:val="continue"/>
            <w:tcBorders>
              <w:top w:val="nil"/>
              <w:left w:val="nil"/>
              <w:bottom w:val="nil"/>
              <w:right w:val="nil"/>
            </w:tcBorders>
            <w:shd w:val="clear" w:color="auto" w:fill="auto"/>
            <w:noWrap/>
            <w:vAlign w:val="center"/>
          </w:tcPr>
          <w:p w14:paraId="472CC960">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4302A3A3">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Cont_PFCl_4_R</w:t>
            </w:r>
          </w:p>
        </w:tc>
        <w:tc>
          <w:tcPr>
            <w:tcW w:w="518" w:type="pct"/>
            <w:tcBorders>
              <w:top w:val="nil"/>
              <w:left w:val="nil"/>
              <w:bottom w:val="nil"/>
              <w:right w:val="nil"/>
            </w:tcBorders>
            <w:shd w:val="clear" w:color="auto" w:fill="auto"/>
            <w:noWrap/>
            <w:vAlign w:val="center"/>
          </w:tcPr>
          <w:p w14:paraId="118170F9">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-4.17 </w:t>
            </w:r>
          </w:p>
        </w:tc>
        <w:tc>
          <w:tcPr>
            <w:tcW w:w="642" w:type="pct"/>
            <w:tcBorders>
              <w:top w:val="nil"/>
              <w:left w:val="nil"/>
              <w:bottom w:val="nil"/>
              <w:right w:val="nil"/>
            </w:tcBorders>
            <w:shd w:val="clear" w:color="auto" w:fill="auto"/>
            <w:noWrap/>
            <w:vAlign w:val="center"/>
          </w:tcPr>
          <w:p w14:paraId="5BA77E46">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689BE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77460DC1">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794" w:type="pct"/>
            <w:vMerge w:val="continue"/>
            <w:tcBorders>
              <w:top w:val="nil"/>
              <w:left w:val="nil"/>
              <w:bottom w:val="nil"/>
              <w:right w:val="nil"/>
            </w:tcBorders>
            <w:shd w:val="clear" w:color="auto" w:fill="auto"/>
            <w:noWrap/>
            <w:vAlign w:val="center"/>
          </w:tcPr>
          <w:p w14:paraId="1EF08F29">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10C72D6E">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Cont_Par_1_R</w:t>
            </w:r>
          </w:p>
        </w:tc>
        <w:tc>
          <w:tcPr>
            <w:tcW w:w="518" w:type="pct"/>
            <w:tcBorders>
              <w:top w:val="nil"/>
              <w:left w:val="nil"/>
              <w:bottom w:val="nil"/>
              <w:right w:val="nil"/>
            </w:tcBorders>
            <w:shd w:val="clear" w:color="auto" w:fill="auto"/>
            <w:noWrap/>
            <w:vAlign w:val="center"/>
          </w:tcPr>
          <w:p w14:paraId="378CC617">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-4.53 </w:t>
            </w:r>
          </w:p>
        </w:tc>
        <w:tc>
          <w:tcPr>
            <w:tcW w:w="642" w:type="pct"/>
            <w:tcBorders>
              <w:top w:val="nil"/>
              <w:left w:val="nil"/>
              <w:bottom w:val="nil"/>
              <w:right w:val="nil"/>
            </w:tcBorders>
            <w:shd w:val="clear" w:color="auto" w:fill="auto"/>
            <w:noWrap/>
            <w:vAlign w:val="center"/>
          </w:tcPr>
          <w:p w14:paraId="1E2E03C4">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60492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124253F1">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794" w:type="pct"/>
            <w:vMerge w:val="continue"/>
            <w:tcBorders>
              <w:top w:val="nil"/>
              <w:left w:val="nil"/>
              <w:bottom w:val="nil"/>
              <w:right w:val="nil"/>
            </w:tcBorders>
            <w:shd w:val="clear" w:color="auto" w:fill="auto"/>
            <w:noWrap/>
            <w:vAlign w:val="center"/>
          </w:tcPr>
          <w:p w14:paraId="3F2C274E">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6F122559">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Cont_Par_2_R</w:t>
            </w:r>
          </w:p>
        </w:tc>
        <w:tc>
          <w:tcPr>
            <w:tcW w:w="518" w:type="pct"/>
            <w:tcBorders>
              <w:top w:val="nil"/>
              <w:left w:val="nil"/>
              <w:bottom w:val="nil"/>
              <w:right w:val="nil"/>
            </w:tcBorders>
            <w:shd w:val="clear" w:color="auto" w:fill="auto"/>
            <w:noWrap/>
            <w:vAlign w:val="center"/>
          </w:tcPr>
          <w:p w14:paraId="3D7062AF">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-2.69 </w:t>
            </w:r>
          </w:p>
        </w:tc>
        <w:tc>
          <w:tcPr>
            <w:tcW w:w="642" w:type="pct"/>
            <w:tcBorders>
              <w:top w:val="nil"/>
              <w:left w:val="nil"/>
              <w:bottom w:val="nil"/>
              <w:right w:val="nil"/>
            </w:tcBorders>
            <w:shd w:val="clear" w:color="auto" w:fill="auto"/>
            <w:noWrap/>
            <w:vAlign w:val="center"/>
          </w:tcPr>
          <w:p w14:paraId="26BA8641">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0.02 </w:t>
            </w:r>
          </w:p>
        </w:tc>
      </w:tr>
      <w:tr w14:paraId="2B57F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164FBAB7">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794" w:type="pct"/>
            <w:vMerge w:val="restart"/>
            <w:tcBorders>
              <w:top w:val="nil"/>
              <w:left w:val="nil"/>
              <w:bottom w:val="nil"/>
              <w:right w:val="nil"/>
            </w:tcBorders>
            <w:shd w:val="clear" w:color="auto" w:fill="auto"/>
            <w:noWrap/>
            <w:vAlign w:val="center"/>
          </w:tcPr>
          <w:p w14:paraId="1DA6F2EB">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DMN</w:t>
            </w:r>
          </w:p>
        </w:tc>
        <w:tc>
          <w:tcPr>
            <w:tcW w:w="2493" w:type="pct"/>
            <w:tcBorders>
              <w:top w:val="nil"/>
              <w:left w:val="nil"/>
              <w:bottom w:val="nil"/>
              <w:right w:val="nil"/>
            </w:tcBorders>
            <w:shd w:val="clear" w:color="auto" w:fill="auto"/>
            <w:noWrap/>
            <w:vAlign w:val="center"/>
          </w:tcPr>
          <w:p w14:paraId="6BADFCBC">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Default_PFC_1_L</w:t>
            </w:r>
          </w:p>
        </w:tc>
        <w:tc>
          <w:tcPr>
            <w:tcW w:w="518" w:type="pct"/>
            <w:tcBorders>
              <w:top w:val="nil"/>
              <w:left w:val="nil"/>
              <w:bottom w:val="nil"/>
              <w:right w:val="nil"/>
            </w:tcBorders>
            <w:shd w:val="clear" w:color="auto" w:fill="auto"/>
            <w:noWrap/>
            <w:vAlign w:val="center"/>
          </w:tcPr>
          <w:p w14:paraId="5CE5CD12">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4.53 </w:t>
            </w:r>
          </w:p>
        </w:tc>
        <w:tc>
          <w:tcPr>
            <w:tcW w:w="642" w:type="pct"/>
            <w:tcBorders>
              <w:top w:val="nil"/>
              <w:left w:val="nil"/>
              <w:bottom w:val="nil"/>
              <w:right w:val="nil"/>
            </w:tcBorders>
            <w:shd w:val="clear" w:color="auto" w:fill="auto"/>
            <w:noWrap/>
            <w:vAlign w:val="center"/>
          </w:tcPr>
          <w:p w14:paraId="6F0AA700">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20BAD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58261310">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794" w:type="pct"/>
            <w:vMerge w:val="continue"/>
            <w:tcBorders>
              <w:top w:val="nil"/>
              <w:left w:val="nil"/>
              <w:bottom w:val="nil"/>
              <w:right w:val="nil"/>
            </w:tcBorders>
            <w:shd w:val="clear" w:color="auto" w:fill="auto"/>
            <w:noWrap/>
            <w:vAlign w:val="center"/>
          </w:tcPr>
          <w:p w14:paraId="77596AA1">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08DF9E2C">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Default_PFC_3_L</w:t>
            </w:r>
          </w:p>
        </w:tc>
        <w:tc>
          <w:tcPr>
            <w:tcW w:w="518" w:type="pct"/>
            <w:tcBorders>
              <w:top w:val="nil"/>
              <w:left w:val="nil"/>
              <w:bottom w:val="nil"/>
              <w:right w:val="nil"/>
            </w:tcBorders>
            <w:shd w:val="clear" w:color="auto" w:fill="auto"/>
            <w:noWrap/>
            <w:vAlign w:val="center"/>
          </w:tcPr>
          <w:p w14:paraId="0C76D7F6">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3.79 </w:t>
            </w:r>
          </w:p>
        </w:tc>
        <w:tc>
          <w:tcPr>
            <w:tcW w:w="642" w:type="pct"/>
            <w:tcBorders>
              <w:top w:val="nil"/>
              <w:left w:val="nil"/>
              <w:bottom w:val="nil"/>
              <w:right w:val="nil"/>
            </w:tcBorders>
            <w:shd w:val="clear" w:color="auto" w:fill="auto"/>
            <w:noWrap/>
            <w:vAlign w:val="center"/>
          </w:tcPr>
          <w:p w14:paraId="5F53B00D">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23BE3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1BE87BF5">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794" w:type="pct"/>
            <w:vMerge w:val="continue"/>
            <w:tcBorders>
              <w:top w:val="nil"/>
              <w:left w:val="nil"/>
              <w:bottom w:val="nil"/>
              <w:right w:val="nil"/>
            </w:tcBorders>
            <w:shd w:val="clear" w:color="auto" w:fill="auto"/>
            <w:noWrap/>
            <w:vAlign w:val="center"/>
          </w:tcPr>
          <w:p w14:paraId="3EC958BA">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431C1B5F">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Default_PFC_5_L</w:t>
            </w:r>
          </w:p>
        </w:tc>
        <w:tc>
          <w:tcPr>
            <w:tcW w:w="518" w:type="pct"/>
            <w:tcBorders>
              <w:top w:val="nil"/>
              <w:left w:val="nil"/>
              <w:bottom w:val="nil"/>
              <w:right w:val="nil"/>
            </w:tcBorders>
            <w:shd w:val="clear" w:color="auto" w:fill="auto"/>
            <w:noWrap/>
            <w:vAlign w:val="center"/>
          </w:tcPr>
          <w:p w14:paraId="1D6A6067">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-3.54 </w:t>
            </w:r>
          </w:p>
        </w:tc>
        <w:tc>
          <w:tcPr>
            <w:tcW w:w="642" w:type="pct"/>
            <w:tcBorders>
              <w:top w:val="nil"/>
              <w:left w:val="nil"/>
              <w:bottom w:val="nil"/>
              <w:right w:val="nil"/>
            </w:tcBorders>
            <w:shd w:val="clear" w:color="auto" w:fill="auto"/>
            <w:noWrap/>
            <w:vAlign w:val="center"/>
          </w:tcPr>
          <w:p w14:paraId="625E448D">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32D72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336072DC">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794" w:type="pct"/>
            <w:vMerge w:val="continue"/>
            <w:tcBorders>
              <w:top w:val="nil"/>
              <w:left w:val="nil"/>
              <w:bottom w:val="nil"/>
              <w:right w:val="nil"/>
            </w:tcBorders>
            <w:shd w:val="clear" w:color="auto" w:fill="auto"/>
            <w:noWrap/>
            <w:vAlign w:val="center"/>
          </w:tcPr>
          <w:p w14:paraId="418F1589">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5053E36D">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Default_PFC_6_L</w:t>
            </w:r>
          </w:p>
        </w:tc>
        <w:tc>
          <w:tcPr>
            <w:tcW w:w="518" w:type="pct"/>
            <w:tcBorders>
              <w:top w:val="nil"/>
              <w:left w:val="nil"/>
              <w:bottom w:val="nil"/>
              <w:right w:val="nil"/>
            </w:tcBorders>
            <w:shd w:val="clear" w:color="auto" w:fill="auto"/>
            <w:noWrap/>
            <w:vAlign w:val="center"/>
          </w:tcPr>
          <w:p w14:paraId="4299A3FF">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-4.42 </w:t>
            </w:r>
          </w:p>
        </w:tc>
        <w:tc>
          <w:tcPr>
            <w:tcW w:w="642" w:type="pct"/>
            <w:tcBorders>
              <w:top w:val="nil"/>
              <w:left w:val="nil"/>
              <w:bottom w:val="nil"/>
              <w:right w:val="nil"/>
            </w:tcBorders>
            <w:shd w:val="clear" w:color="auto" w:fill="auto"/>
            <w:noWrap/>
            <w:vAlign w:val="center"/>
          </w:tcPr>
          <w:p w14:paraId="77B8707F">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6D34A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1639D6C9">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794" w:type="pct"/>
            <w:vMerge w:val="continue"/>
            <w:tcBorders>
              <w:top w:val="nil"/>
              <w:left w:val="nil"/>
              <w:bottom w:val="nil"/>
              <w:right w:val="nil"/>
            </w:tcBorders>
            <w:shd w:val="clear" w:color="auto" w:fill="auto"/>
            <w:noWrap/>
            <w:vAlign w:val="center"/>
          </w:tcPr>
          <w:p w14:paraId="52CC345F">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1A8D24E1">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Default_PFC_7_L</w:t>
            </w:r>
          </w:p>
        </w:tc>
        <w:tc>
          <w:tcPr>
            <w:tcW w:w="518" w:type="pct"/>
            <w:tcBorders>
              <w:top w:val="nil"/>
              <w:left w:val="nil"/>
              <w:bottom w:val="nil"/>
              <w:right w:val="nil"/>
            </w:tcBorders>
            <w:shd w:val="clear" w:color="auto" w:fill="auto"/>
            <w:noWrap/>
            <w:vAlign w:val="center"/>
          </w:tcPr>
          <w:p w14:paraId="0F1523E3">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-3.43 </w:t>
            </w:r>
          </w:p>
        </w:tc>
        <w:tc>
          <w:tcPr>
            <w:tcW w:w="642" w:type="pct"/>
            <w:tcBorders>
              <w:top w:val="nil"/>
              <w:left w:val="nil"/>
              <w:bottom w:val="nil"/>
              <w:right w:val="nil"/>
            </w:tcBorders>
            <w:shd w:val="clear" w:color="auto" w:fill="auto"/>
            <w:noWrap/>
            <w:vAlign w:val="center"/>
          </w:tcPr>
          <w:p w14:paraId="667BB51C">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0.003 </w:t>
            </w:r>
          </w:p>
        </w:tc>
      </w:tr>
      <w:tr w14:paraId="3E792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4A3FEE9A">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794" w:type="pct"/>
            <w:vMerge w:val="continue"/>
            <w:tcBorders>
              <w:top w:val="nil"/>
              <w:left w:val="nil"/>
              <w:bottom w:val="nil"/>
              <w:right w:val="nil"/>
            </w:tcBorders>
            <w:shd w:val="clear" w:color="auto" w:fill="auto"/>
            <w:noWrap/>
            <w:vAlign w:val="center"/>
          </w:tcPr>
          <w:p w14:paraId="111CAFA1">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31D53F9C">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Default_PFCdPFCm_2_R</w:t>
            </w:r>
          </w:p>
        </w:tc>
        <w:tc>
          <w:tcPr>
            <w:tcW w:w="518" w:type="pct"/>
            <w:tcBorders>
              <w:top w:val="nil"/>
              <w:left w:val="nil"/>
              <w:bottom w:val="nil"/>
              <w:right w:val="nil"/>
            </w:tcBorders>
            <w:shd w:val="clear" w:color="auto" w:fill="auto"/>
            <w:noWrap/>
            <w:vAlign w:val="center"/>
          </w:tcPr>
          <w:p w14:paraId="06944E20">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 xml:space="preserve">-4.71 </w:t>
            </w:r>
          </w:p>
        </w:tc>
        <w:tc>
          <w:tcPr>
            <w:tcW w:w="642" w:type="pct"/>
            <w:tcBorders>
              <w:top w:val="nil"/>
              <w:left w:val="nil"/>
              <w:bottom w:val="nil"/>
              <w:right w:val="nil"/>
            </w:tcBorders>
            <w:shd w:val="clear" w:color="auto" w:fill="auto"/>
            <w:noWrap/>
            <w:vAlign w:val="center"/>
          </w:tcPr>
          <w:p w14:paraId="618B873A">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&lt;0.001</w:t>
            </w:r>
          </w:p>
        </w:tc>
      </w:tr>
      <w:tr w14:paraId="3944E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26FFD3A1">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794" w:type="pct"/>
            <w:vMerge w:val="continue"/>
            <w:tcBorders>
              <w:top w:val="nil"/>
              <w:left w:val="nil"/>
              <w:bottom w:val="nil"/>
              <w:right w:val="nil"/>
            </w:tcBorders>
            <w:shd w:val="clear" w:color="auto" w:fill="auto"/>
            <w:noWrap/>
            <w:vAlign w:val="center"/>
          </w:tcPr>
          <w:p w14:paraId="13273D3F">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595D4DD3">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Default_PFCdPFCm_3_R</w:t>
            </w:r>
          </w:p>
        </w:tc>
        <w:tc>
          <w:tcPr>
            <w:tcW w:w="518" w:type="pct"/>
            <w:tcBorders>
              <w:top w:val="nil"/>
              <w:left w:val="nil"/>
              <w:bottom w:val="nil"/>
              <w:right w:val="nil"/>
            </w:tcBorders>
            <w:shd w:val="clear" w:color="auto" w:fill="auto"/>
            <w:noWrap/>
            <w:vAlign w:val="center"/>
          </w:tcPr>
          <w:p w14:paraId="597AAC54">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-3.63 </w:t>
            </w:r>
          </w:p>
        </w:tc>
        <w:tc>
          <w:tcPr>
            <w:tcW w:w="642" w:type="pct"/>
            <w:tcBorders>
              <w:top w:val="nil"/>
              <w:left w:val="nil"/>
              <w:bottom w:val="nil"/>
              <w:right w:val="nil"/>
            </w:tcBorders>
            <w:shd w:val="clear" w:color="auto" w:fill="auto"/>
            <w:noWrap/>
            <w:vAlign w:val="center"/>
          </w:tcPr>
          <w:p w14:paraId="4A6CBD56">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7CA45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47DCC98D">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794" w:type="pct"/>
            <w:vMerge w:val="continue"/>
            <w:tcBorders>
              <w:top w:val="nil"/>
              <w:left w:val="nil"/>
              <w:bottom w:val="nil"/>
              <w:right w:val="nil"/>
            </w:tcBorders>
            <w:shd w:val="clear" w:color="auto" w:fill="auto"/>
            <w:noWrap/>
            <w:vAlign w:val="center"/>
          </w:tcPr>
          <w:p w14:paraId="43945D37">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429C3C27">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Default_PFCv_2_R</w:t>
            </w:r>
          </w:p>
        </w:tc>
        <w:tc>
          <w:tcPr>
            <w:tcW w:w="518" w:type="pct"/>
            <w:tcBorders>
              <w:top w:val="nil"/>
              <w:left w:val="nil"/>
              <w:bottom w:val="nil"/>
              <w:right w:val="nil"/>
            </w:tcBorders>
            <w:shd w:val="clear" w:color="auto" w:fill="auto"/>
            <w:noWrap/>
            <w:vAlign w:val="center"/>
          </w:tcPr>
          <w:p w14:paraId="75337DF7">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-2.77 </w:t>
            </w:r>
          </w:p>
        </w:tc>
        <w:tc>
          <w:tcPr>
            <w:tcW w:w="642" w:type="pct"/>
            <w:tcBorders>
              <w:top w:val="nil"/>
              <w:left w:val="nil"/>
              <w:bottom w:val="nil"/>
              <w:right w:val="nil"/>
            </w:tcBorders>
            <w:shd w:val="clear" w:color="auto" w:fill="auto"/>
            <w:noWrap/>
            <w:vAlign w:val="center"/>
          </w:tcPr>
          <w:p w14:paraId="7999EA39">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0.01 </w:t>
            </w:r>
          </w:p>
        </w:tc>
      </w:tr>
      <w:tr w14:paraId="50B3D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644B7684">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794" w:type="pct"/>
            <w:vMerge w:val="continue"/>
            <w:tcBorders>
              <w:top w:val="nil"/>
              <w:left w:val="nil"/>
              <w:bottom w:val="nil"/>
              <w:right w:val="nil"/>
            </w:tcBorders>
            <w:shd w:val="clear" w:color="auto" w:fill="auto"/>
            <w:noWrap/>
            <w:vAlign w:val="center"/>
          </w:tcPr>
          <w:p w14:paraId="7B5548BD">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533AB8B3">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Default_Par_1_L</w:t>
            </w:r>
          </w:p>
        </w:tc>
        <w:tc>
          <w:tcPr>
            <w:tcW w:w="518" w:type="pct"/>
            <w:tcBorders>
              <w:top w:val="nil"/>
              <w:left w:val="nil"/>
              <w:bottom w:val="nil"/>
              <w:right w:val="nil"/>
            </w:tcBorders>
            <w:shd w:val="clear" w:color="auto" w:fill="auto"/>
            <w:noWrap/>
            <w:vAlign w:val="center"/>
          </w:tcPr>
          <w:p w14:paraId="4BAC14EE">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-2.23 </w:t>
            </w:r>
          </w:p>
        </w:tc>
        <w:tc>
          <w:tcPr>
            <w:tcW w:w="642" w:type="pct"/>
            <w:tcBorders>
              <w:top w:val="nil"/>
              <w:left w:val="nil"/>
              <w:bottom w:val="nil"/>
              <w:right w:val="nil"/>
            </w:tcBorders>
            <w:shd w:val="clear" w:color="auto" w:fill="auto"/>
            <w:noWrap/>
            <w:vAlign w:val="center"/>
          </w:tcPr>
          <w:p w14:paraId="701BB8E0">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0.05 </w:t>
            </w:r>
          </w:p>
        </w:tc>
      </w:tr>
      <w:tr w14:paraId="2C36D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55E3FAAE">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794" w:type="pct"/>
            <w:vMerge w:val="continue"/>
            <w:tcBorders>
              <w:top w:val="nil"/>
              <w:left w:val="nil"/>
              <w:bottom w:val="nil"/>
              <w:right w:val="nil"/>
            </w:tcBorders>
            <w:shd w:val="clear" w:color="auto" w:fill="auto"/>
            <w:noWrap/>
            <w:vAlign w:val="center"/>
          </w:tcPr>
          <w:p w14:paraId="66D7C46A">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6E4219DE">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Default_Par_1_R</w:t>
            </w:r>
          </w:p>
        </w:tc>
        <w:tc>
          <w:tcPr>
            <w:tcW w:w="518" w:type="pct"/>
            <w:tcBorders>
              <w:top w:val="nil"/>
              <w:left w:val="nil"/>
              <w:bottom w:val="nil"/>
              <w:right w:val="nil"/>
            </w:tcBorders>
            <w:shd w:val="clear" w:color="auto" w:fill="auto"/>
            <w:noWrap/>
            <w:vAlign w:val="center"/>
          </w:tcPr>
          <w:p w14:paraId="2E2F8106">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-4.21 </w:t>
            </w:r>
          </w:p>
        </w:tc>
        <w:tc>
          <w:tcPr>
            <w:tcW w:w="642" w:type="pct"/>
            <w:tcBorders>
              <w:top w:val="nil"/>
              <w:left w:val="nil"/>
              <w:bottom w:val="nil"/>
              <w:right w:val="nil"/>
            </w:tcBorders>
            <w:shd w:val="clear" w:color="auto" w:fill="auto"/>
            <w:noWrap/>
            <w:vAlign w:val="center"/>
          </w:tcPr>
          <w:p w14:paraId="0230F60E">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71BA6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57515EAA">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794" w:type="pct"/>
            <w:vMerge w:val="continue"/>
            <w:tcBorders>
              <w:top w:val="nil"/>
              <w:left w:val="nil"/>
              <w:bottom w:val="nil"/>
              <w:right w:val="nil"/>
            </w:tcBorders>
            <w:shd w:val="clear" w:color="auto" w:fill="auto"/>
            <w:noWrap/>
            <w:vAlign w:val="center"/>
          </w:tcPr>
          <w:p w14:paraId="4C6934B9">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482861F4">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Default_Temp_2_R</w:t>
            </w:r>
          </w:p>
        </w:tc>
        <w:tc>
          <w:tcPr>
            <w:tcW w:w="518" w:type="pct"/>
            <w:tcBorders>
              <w:top w:val="nil"/>
              <w:left w:val="nil"/>
              <w:bottom w:val="nil"/>
              <w:right w:val="nil"/>
            </w:tcBorders>
            <w:shd w:val="clear" w:color="auto" w:fill="auto"/>
            <w:noWrap/>
            <w:vAlign w:val="center"/>
          </w:tcPr>
          <w:p w14:paraId="342C13FF">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2.23 </w:t>
            </w:r>
          </w:p>
        </w:tc>
        <w:tc>
          <w:tcPr>
            <w:tcW w:w="642" w:type="pct"/>
            <w:tcBorders>
              <w:top w:val="nil"/>
              <w:left w:val="nil"/>
              <w:bottom w:val="nil"/>
              <w:right w:val="nil"/>
            </w:tcBorders>
            <w:shd w:val="clear" w:color="auto" w:fill="auto"/>
            <w:noWrap/>
            <w:vAlign w:val="center"/>
          </w:tcPr>
          <w:p w14:paraId="696DA85C">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0.05 </w:t>
            </w:r>
          </w:p>
        </w:tc>
      </w:tr>
      <w:tr w14:paraId="7FCCC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01A6E908">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794" w:type="pct"/>
            <w:vMerge w:val="continue"/>
            <w:tcBorders>
              <w:top w:val="nil"/>
              <w:left w:val="nil"/>
              <w:bottom w:val="nil"/>
              <w:right w:val="nil"/>
            </w:tcBorders>
            <w:shd w:val="clear" w:color="auto" w:fill="auto"/>
            <w:noWrap/>
            <w:vAlign w:val="center"/>
          </w:tcPr>
          <w:p w14:paraId="28F1F0A3">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67527F2A">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Default_pCunPCC_1_L</w:t>
            </w:r>
          </w:p>
        </w:tc>
        <w:tc>
          <w:tcPr>
            <w:tcW w:w="518" w:type="pct"/>
            <w:tcBorders>
              <w:top w:val="nil"/>
              <w:left w:val="nil"/>
              <w:bottom w:val="nil"/>
              <w:right w:val="nil"/>
            </w:tcBorders>
            <w:shd w:val="clear" w:color="auto" w:fill="auto"/>
            <w:noWrap/>
            <w:vAlign w:val="center"/>
          </w:tcPr>
          <w:p w14:paraId="447C52CF">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3.75 </w:t>
            </w:r>
          </w:p>
        </w:tc>
        <w:tc>
          <w:tcPr>
            <w:tcW w:w="642" w:type="pct"/>
            <w:tcBorders>
              <w:top w:val="nil"/>
              <w:left w:val="nil"/>
              <w:bottom w:val="nil"/>
              <w:right w:val="nil"/>
            </w:tcBorders>
            <w:shd w:val="clear" w:color="auto" w:fill="auto"/>
            <w:noWrap/>
            <w:vAlign w:val="center"/>
          </w:tcPr>
          <w:p w14:paraId="11E62B27">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0BF1A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5EC5FC1E">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w:t>
            </w:r>
          </w:p>
        </w:tc>
        <w:tc>
          <w:tcPr>
            <w:tcW w:w="794" w:type="pct"/>
            <w:vMerge w:val="continue"/>
            <w:tcBorders>
              <w:top w:val="nil"/>
              <w:left w:val="nil"/>
              <w:bottom w:val="nil"/>
              <w:right w:val="nil"/>
            </w:tcBorders>
            <w:shd w:val="clear" w:color="auto" w:fill="auto"/>
            <w:noWrap/>
            <w:vAlign w:val="center"/>
          </w:tcPr>
          <w:p w14:paraId="26A1B248">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3ED56693">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Default_pCunPCC_2_L</w:t>
            </w:r>
          </w:p>
        </w:tc>
        <w:tc>
          <w:tcPr>
            <w:tcW w:w="518" w:type="pct"/>
            <w:tcBorders>
              <w:top w:val="nil"/>
              <w:left w:val="nil"/>
              <w:bottom w:val="nil"/>
              <w:right w:val="nil"/>
            </w:tcBorders>
            <w:shd w:val="clear" w:color="auto" w:fill="auto"/>
            <w:noWrap/>
            <w:vAlign w:val="center"/>
          </w:tcPr>
          <w:p w14:paraId="66B264AB">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2.96 </w:t>
            </w:r>
          </w:p>
        </w:tc>
        <w:tc>
          <w:tcPr>
            <w:tcW w:w="642" w:type="pct"/>
            <w:tcBorders>
              <w:top w:val="nil"/>
              <w:left w:val="nil"/>
              <w:bottom w:val="nil"/>
              <w:right w:val="nil"/>
            </w:tcBorders>
            <w:shd w:val="clear" w:color="auto" w:fill="auto"/>
            <w:noWrap/>
            <w:vAlign w:val="center"/>
          </w:tcPr>
          <w:p w14:paraId="412C19EE">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0.007 </w:t>
            </w:r>
          </w:p>
        </w:tc>
      </w:tr>
      <w:tr w14:paraId="4C9F2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15E204AC">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w:t>
            </w:r>
          </w:p>
        </w:tc>
        <w:tc>
          <w:tcPr>
            <w:tcW w:w="794" w:type="pct"/>
            <w:vMerge w:val="continue"/>
            <w:tcBorders>
              <w:top w:val="nil"/>
              <w:left w:val="nil"/>
              <w:bottom w:val="nil"/>
              <w:right w:val="nil"/>
            </w:tcBorders>
            <w:shd w:val="clear" w:color="auto" w:fill="auto"/>
            <w:noWrap/>
            <w:vAlign w:val="center"/>
          </w:tcPr>
          <w:p w14:paraId="46968643">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32CFAE26">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Default_pCunPCC_2_R</w:t>
            </w:r>
          </w:p>
        </w:tc>
        <w:tc>
          <w:tcPr>
            <w:tcW w:w="518" w:type="pct"/>
            <w:tcBorders>
              <w:top w:val="nil"/>
              <w:left w:val="nil"/>
              <w:bottom w:val="nil"/>
              <w:right w:val="nil"/>
            </w:tcBorders>
            <w:shd w:val="clear" w:color="auto" w:fill="auto"/>
            <w:noWrap/>
            <w:vAlign w:val="center"/>
          </w:tcPr>
          <w:p w14:paraId="5C846553">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2.47 </w:t>
            </w:r>
          </w:p>
        </w:tc>
        <w:tc>
          <w:tcPr>
            <w:tcW w:w="642" w:type="pct"/>
            <w:tcBorders>
              <w:top w:val="nil"/>
              <w:left w:val="nil"/>
              <w:bottom w:val="nil"/>
              <w:right w:val="nil"/>
            </w:tcBorders>
            <w:shd w:val="clear" w:color="auto" w:fill="auto"/>
            <w:noWrap/>
            <w:vAlign w:val="center"/>
          </w:tcPr>
          <w:p w14:paraId="45A37BAD">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0.03 </w:t>
            </w:r>
          </w:p>
        </w:tc>
      </w:tr>
      <w:tr w14:paraId="3BCF6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66311968">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w:t>
            </w:r>
          </w:p>
        </w:tc>
        <w:tc>
          <w:tcPr>
            <w:tcW w:w="794" w:type="pct"/>
            <w:vMerge w:val="restart"/>
            <w:tcBorders>
              <w:top w:val="nil"/>
              <w:left w:val="nil"/>
              <w:bottom w:val="nil"/>
              <w:right w:val="nil"/>
            </w:tcBorders>
            <w:shd w:val="clear" w:color="auto" w:fill="auto"/>
            <w:noWrap/>
            <w:vAlign w:val="center"/>
          </w:tcPr>
          <w:p w14:paraId="77A5FC47">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DAN</w:t>
            </w:r>
          </w:p>
        </w:tc>
        <w:tc>
          <w:tcPr>
            <w:tcW w:w="2493" w:type="pct"/>
            <w:tcBorders>
              <w:top w:val="nil"/>
              <w:left w:val="nil"/>
              <w:bottom w:val="nil"/>
              <w:right w:val="nil"/>
            </w:tcBorders>
            <w:shd w:val="clear" w:color="auto" w:fill="auto"/>
            <w:noWrap/>
            <w:vAlign w:val="center"/>
          </w:tcPr>
          <w:p w14:paraId="1BBADD95">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DorsAttn_FEF_1_L</w:t>
            </w:r>
          </w:p>
        </w:tc>
        <w:tc>
          <w:tcPr>
            <w:tcW w:w="518" w:type="pct"/>
            <w:tcBorders>
              <w:top w:val="nil"/>
              <w:left w:val="nil"/>
              <w:bottom w:val="nil"/>
              <w:right w:val="nil"/>
            </w:tcBorders>
            <w:shd w:val="clear" w:color="auto" w:fill="auto"/>
            <w:noWrap/>
            <w:vAlign w:val="center"/>
          </w:tcPr>
          <w:p w14:paraId="04E77447">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-3.70 </w:t>
            </w:r>
          </w:p>
        </w:tc>
        <w:tc>
          <w:tcPr>
            <w:tcW w:w="642" w:type="pct"/>
            <w:tcBorders>
              <w:top w:val="nil"/>
              <w:left w:val="nil"/>
              <w:bottom w:val="nil"/>
              <w:right w:val="nil"/>
            </w:tcBorders>
            <w:shd w:val="clear" w:color="auto" w:fill="auto"/>
            <w:noWrap/>
            <w:vAlign w:val="center"/>
          </w:tcPr>
          <w:p w14:paraId="53E31223">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462BA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39D2C6F6">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w:t>
            </w:r>
          </w:p>
        </w:tc>
        <w:tc>
          <w:tcPr>
            <w:tcW w:w="794" w:type="pct"/>
            <w:vMerge w:val="continue"/>
            <w:tcBorders>
              <w:top w:val="nil"/>
              <w:left w:val="nil"/>
              <w:bottom w:val="nil"/>
              <w:right w:val="nil"/>
            </w:tcBorders>
            <w:shd w:val="clear" w:color="auto" w:fill="auto"/>
            <w:noWrap/>
            <w:vAlign w:val="center"/>
          </w:tcPr>
          <w:p w14:paraId="04320C55">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0F297721">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DorsAttn_FEF_1_R</w:t>
            </w:r>
          </w:p>
        </w:tc>
        <w:tc>
          <w:tcPr>
            <w:tcW w:w="518" w:type="pct"/>
            <w:tcBorders>
              <w:top w:val="nil"/>
              <w:left w:val="nil"/>
              <w:bottom w:val="nil"/>
              <w:right w:val="nil"/>
            </w:tcBorders>
            <w:shd w:val="clear" w:color="auto" w:fill="auto"/>
            <w:noWrap/>
            <w:vAlign w:val="center"/>
          </w:tcPr>
          <w:p w14:paraId="03473370">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-3.06 </w:t>
            </w:r>
          </w:p>
        </w:tc>
        <w:tc>
          <w:tcPr>
            <w:tcW w:w="642" w:type="pct"/>
            <w:tcBorders>
              <w:top w:val="nil"/>
              <w:left w:val="nil"/>
              <w:bottom w:val="nil"/>
              <w:right w:val="nil"/>
            </w:tcBorders>
            <w:shd w:val="clear" w:color="auto" w:fill="auto"/>
            <w:noWrap/>
            <w:vAlign w:val="center"/>
          </w:tcPr>
          <w:p w14:paraId="6E376AFE">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0.005 </w:t>
            </w:r>
          </w:p>
        </w:tc>
      </w:tr>
      <w:tr w14:paraId="1765E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37CEE415">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794" w:type="pct"/>
            <w:vMerge w:val="continue"/>
            <w:tcBorders>
              <w:top w:val="nil"/>
              <w:left w:val="nil"/>
              <w:bottom w:val="nil"/>
              <w:right w:val="nil"/>
            </w:tcBorders>
            <w:shd w:val="clear" w:color="auto" w:fill="auto"/>
            <w:noWrap/>
            <w:vAlign w:val="center"/>
          </w:tcPr>
          <w:p w14:paraId="5E1953A3">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20B2BC32">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DorsAttn_Post_1_R</w:t>
            </w:r>
          </w:p>
        </w:tc>
        <w:tc>
          <w:tcPr>
            <w:tcW w:w="518" w:type="pct"/>
            <w:tcBorders>
              <w:top w:val="nil"/>
              <w:left w:val="nil"/>
              <w:bottom w:val="nil"/>
              <w:right w:val="nil"/>
            </w:tcBorders>
            <w:shd w:val="clear" w:color="auto" w:fill="auto"/>
            <w:noWrap/>
            <w:vAlign w:val="center"/>
          </w:tcPr>
          <w:p w14:paraId="3BE9DF6B">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-3.64 </w:t>
            </w:r>
          </w:p>
        </w:tc>
        <w:tc>
          <w:tcPr>
            <w:tcW w:w="642" w:type="pct"/>
            <w:tcBorders>
              <w:top w:val="nil"/>
              <w:left w:val="nil"/>
              <w:bottom w:val="nil"/>
              <w:right w:val="nil"/>
            </w:tcBorders>
            <w:shd w:val="clear" w:color="auto" w:fill="auto"/>
            <w:noWrap/>
            <w:vAlign w:val="center"/>
          </w:tcPr>
          <w:p w14:paraId="211156C0">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2BC6B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05C2C141">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794" w:type="pct"/>
            <w:vMerge w:val="continue"/>
            <w:tcBorders>
              <w:top w:val="nil"/>
              <w:left w:val="nil"/>
              <w:bottom w:val="nil"/>
              <w:right w:val="nil"/>
            </w:tcBorders>
            <w:shd w:val="clear" w:color="auto" w:fill="auto"/>
            <w:noWrap/>
            <w:vAlign w:val="center"/>
          </w:tcPr>
          <w:p w14:paraId="385E1698">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0E38D642">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DorsAttn_Post_2_L</w:t>
            </w:r>
          </w:p>
        </w:tc>
        <w:tc>
          <w:tcPr>
            <w:tcW w:w="518" w:type="pct"/>
            <w:tcBorders>
              <w:top w:val="nil"/>
              <w:left w:val="nil"/>
              <w:bottom w:val="nil"/>
              <w:right w:val="nil"/>
            </w:tcBorders>
            <w:shd w:val="clear" w:color="auto" w:fill="auto"/>
            <w:noWrap/>
            <w:vAlign w:val="center"/>
          </w:tcPr>
          <w:p w14:paraId="5C92A0B1">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-3.59 </w:t>
            </w:r>
          </w:p>
        </w:tc>
        <w:tc>
          <w:tcPr>
            <w:tcW w:w="642" w:type="pct"/>
            <w:tcBorders>
              <w:top w:val="nil"/>
              <w:left w:val="nil"/>
              <w:bottom w:val="nil"/>
              <w:right w:val="nil"/>
            </w:tcBorders>
            <w:shd w:val="clear" w:color="auto" w:fill="auto"/>
            <w:noWrap/>
            <w:vAlign w:val="center"/>
          </w:tcPr>
          <w:p w14:paraId="32BB92EF">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4FA33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1E117B63">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w:t>
            </w:r>
          </w:p>
        </w:tc>
        <w:tc>
          <w:tcPr>
            <w:tcW w:w="794" w:type="pct"/>
            <w:vMerge w:val="continue"/>
            <w:tcBorders>
              <w:top w:val="nil"/>
              <w:left w:val="nil"/>
              <w:bottom w:val="nil"/>
              <w:right w:val="nil"/>
            </w:tcBorders>
            <w:shd w:val="clear" w:color="auto" w:fill="auto"/>
            <w:noWrap/>
            <w:vAlign w:val="center"/>
          </w:tcPr>
          <w:p w14:paraId="384AE299">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422E4E2F">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DorsAttn_Post_2_R</w:t>
            </w:r>
          </w:p>
        </w:tc>
        <w:tc>
          <w:tcPr>
            <w:tcW w:w="518" w:type="pct"/>
            <w:tcBorders>
              <w:top w:val="nil"/>
              <w:left w:val="nil"/>
              <w:bottom w:val="nil"/>
              <w:right w:val="nil"/>
            </w:tcBorders>
            <w:shd w:val="clear" w:color="auto" w:fill="auto"/>
            <w:noWrap/>
            <w:vAlign w:val="center"/>
          </w:tcPr>
          <w:p w14:paraId="7C8A6666">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-2.76 </w:t>
            </w:r>
          </w:p>
        </w:tc>
        <w:tc>
          <w:tcPr>
            <w:tcW w:w="642" w:type="pct"/>
            <w:tcBorders>
              <w:top w:val="nil"/>
              <w:left w:val="nil"/>
              <w:bottom w:val="nil"/>
              <w:right w:val="nil"/>
            </w:tcBorders>
            <w:shd w:val="clear" w:color="auto" w:fill="auto"/>
            <w:noWrap/>
            <w:vAlign w:val="center"/>
          </w:tcPr>
          <w:p w14:paraId="51344978">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0.01 </w:t>
            </w:r>
          </w:p>
        </w:tc>
      </w:tr>
      <w:tr w14:paraId="7E964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593C8C7E">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w:t>
            </w:r>
          </w:p>
        </w:tc>
        <w:tc>
          <w:tcPr>
            <w:tcW w:w="794" w:type="pct"/>
            <w:vMerge w:val="continue"/>
            <w:tcBorders>
              <w:top w:val="nil"/>
              <w:left w:val="nil"/>
              <w:bottom w:val="nil"/>
              <w:right w:val="nil"/>
            </w:tcBorders>
            <w:shd w:val="clear" w:color="auto" w:fill="auto"/>
            <w:noWrap/>
            <w:vAlign w:val="center"/>
          </w:tcPr>
          <w:p w14:paraId="2E7C4C51">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4796331C">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DorsAttn_Post_5_R</w:t>
            </w:r>
          </w:p>
        </w:tc>
        <w:tc>
          <w:tcPr>
            <w:tcW w:w="518" w:type="pct"/>
            <w:tcBorders>
              <w:top w:val="nil"/>
              <w:left w:val="nil"/>
              <w:bottom w:val="nil"/>
              <w:right w:val="nil"/>
            </w:tcBorders>
            <w:shd w:val="clear" w:color="auto" w:fill="auto"/>
            <w:noWrap/>
            <w:vAlign w:val="center"/>
          </w:tcPr>
          <w:p w14:paraId="5D3DF920">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-2.40 </w:t>
            </w:r>
          </w:p>
        </w:tc>
        <w:tc>
          <w:tcPr>
            <w:tcW w:w="642" w:type="pct"/>
            <w:tcBorders>
              <w:top w:val="nil"/>
              <w:left w:val="nil"/>
              <w:bottom w:val="nil"/>
              <w:right w:val="nil"/>
            </w:tcBorders>
            <w:shd w:val="clear" w:color="auto" w:fill="auto"/>
            <w:noWrap/>
            <w:vAlign w:val="center"/>
          </w:tcPr>
          <w:p w14:paraId="40C2F663">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0.03 </w:t>
            </w:r>
          </w:p>
        </w:tc>
      </w:tr>
      <w:tr w14:paraId="14664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53AF9771">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w:t>
            </w:r>
          </w:p>
        </w:tc>
        <w:tc>
          <w:tcPr>
            <w:tcW w:w="794" w:type="pct"/>
            <w:vMerge w:val="continue"/>
            <w:tcBorders>
              <w:top w:val="nil"/>
              <w:left w:val="nil"/>
              <w:bottom w:val="nil"/>
              <w:right w:val="nil"/>
            </w:tcBorders>
            <w:shd w:val="clear" w:color="auto" w:fill="auto"/>
            <w:noWrap/>
            <w:vAlign w:val="center"/>
          </w:tcPr>
          <w:p w14:paraId="55F919CF">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62185AFA">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DorsAttn_Post_6_L</w:t>
            </w:r>
          </w:p>
        </w:tc>
        <w:tc>
          <w:tcPr>
            <w:tcW w:w="518" w:type="pct"/>
            <w:tcBorders>
              <w:top w:val="nil"/>
              <w:left w:val="nil"/>
              <w:bottom w:val="nil"/>
              <w:right w:val="nil"/>
            </w:tcBorders>
            <w:shd w:val="clear" w:color="auto" w:fill="auto"/>
            <w:noWrap/>
            <w:vAlign w:val="center"/>
          </w:tcPr>
          <w:p w14:paraId="2A6BB0B6">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-2.61 </w:t>
            </w:r>
          </w:p>
        </w:tc>
        <w:tc>
          <w:tcPr>
            <w:tcW w:w="642" w:type="pct"/>
            <w:tcBorders>
              <w:top w:val="nil"/>
              <w:left w:val="nil"/>
              <w:bottom w:val="nil"/>
              <w:right w:val="nil"/>
            </w:tcBorders>
            <w:shd w:val="clear" w:color="auto" w:fill="auto"/>
            <w:noWrap/>
            <w:vAlign w:val="center"/>
          </w:tcPr>
          <w:p w14:paraId="1B88EC6B">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0.02 </w:t>
            </w:r>
          </w:p>
        </w:tc>
      </w:tr>
      <w:tr w14:paraId="52E8F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7218D8AC">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w:t>
            </w:r>
          </w:p>
        </w:tc>
        <w:tc>
          <w:tcPr>
            <w:tcW w:w="794" w:type="pct"/>
            <w:vMerge w:val="continue"/>
            <w:tcBorders>
              <w:top w:val="nil"/>
              <w:left w:val="nil"/>
              <w:bottom w:val="nil"/>
              <w:right w:val="nil"/>
            </w:tcBorders>
            <w:shd w:val="clear" w:color="auto" w:fill="auto"/>
            <w:noWrap/>
            <w:vAlign w:val="center"/>
          </w:tcPr>
          <w:p w14:paraId="2CDAFF10">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372C00C1">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DorsAttn_PrCv_1_L</w:t>
            </w:r>
          </w:p>
        </w:tc>
        <w:tc>
          <w:tcPr>
            <w:tcW w:w="518" w:type="pct"/>
            <w:tcBorders>
              <w:top w:val="nil"/>
              <w:left w:val="nil"/>
              <w:bottom w:val="nil"/>
              <w:right w:val="nil"/>
            </w:tcBorders>
            <w:shd w:val="clear" w:color="auto" w:fill="auto"/>
            <w:noWrap/>
            <w:vAlign w:val="center"/>
          </w:tcPr>
          <w:p w14:paraId="39B5BB7E">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-3.76 </w:t>
            </w:r>
          </w:p>
        </w:tc>
        <w:tc>
          <w:tcPr>
            <w:tcW w:w="642" w:type="pct"/>
            <w:tcBorders>
              <w:top w:val="nil"/>
              <w:left w:val="nil"/>
              <w:bottom w:val="nil"/>
              <w:right w:val="nil"/>
            </w:tcBorders>
            <w:shd w:val="clear" w:color="auto" w:fill="auto"/>
            <w:noWrap/>
            <w:vAlign w:val="center"/>
          </w:tcPr>
          <w:p w14:paraId="47B341FF">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398CB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0985F711">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w:t>
            </w:r>
          </w:p>
        </w:tc>
        <w:tc>
          <w:tcPr>
            <w:tcW w:w="794" w:type="pct"/>
            <w:vMerge w:val="continue"/>
            <w:tcBorders>
              <w:top w:val="nil"/>
              <w:left w:val="nil"/>
              <w:bottom w:val="nil"/>
              <w:right w:val="nil"/>
            </w:tcBorders>
            <w:shd w:val="clear" w:color="auto" w:fill="auto"/>
            <w:noWrap/>
            <w:vAlign w:val="center"/>
          </w:tcPr>
          <w:p w14:paraId="4633BBE6">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365134CC">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DorsAttn_PrCv_1_R</w:t>
            </w:r>
          </w:p>
        </w:tc>
        <w:tc>
          <w:tcPr>
            <w:tcW w:w="518" w:type="pct"/>
            <w:tcBorders>
              <w:top w:val="nil"/>
              <w:left w:val="nil"/>
              <w:bottom w:val="nil"/>
              <w:right w:val="nil"/>
            </w:tcBorders>
            <w:shd w:val="clear" w:color="auto" w:fill="auto"/>
            <w:noWrap/>
            <w:vAlign w:val="center"/>
          </w:tcPr>
          <w:p w14:paraId="3085DA55">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 xml:space="preserve">-3.98 </w:t>
            </w:r>
          </w:p>
        </w:tc>
        <w:tc>
          <w:tcPr>
            <w:tcW w:w="642" w:type="pct"/>
            <w:tcBorders>
              <w:top w:val="nil"/>
              <w:left w:val="nil"/>
              <w:bottom w:val="nil"/>
              <w:right w:val="nil"/>
            </w:tcBorders>
            <w:shd w:val="clear" w:color="auto" w:fill="auto"/>
            <w:noWrap/>
            <w:vAlign w:val="center"/>
          </w:tcPr>
          <w:p w14:paraId="128D97F8">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&lt;0.001</w:t>
            </w:r>
          </w:p>
        </w:tc>
      </w:tr>
      <w:tr w14:paraId="67780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07258C65">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794" w:type="pct"/>
            <w:vMerge w:val="restart"/>
            <w:tcBorders>
              <w:top w:val="nil"/>
              <w:left w:val="nil"/>
              <w:bottom w:val="nil"/>
              <w:right w:val="nil"/>
            </w:tcBorders>
            <w:shd w:val="clear" w:color="auto" w:fill="auto"/>
            <w:noWrap/>
            <w:vAlign w:val="center"/>
          </w:tcPr>
          <w:p w14:paraId="397BD7B2">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LIM</w:t>
            </w:r>
          </w:p>
        </w:tc>
        <w:tc>
          <w:tcPr>
            <w:tcW w:w="2493" w:type="pct"/>
            <w:tcBorders>
              <w:top w:val="nil"/>
              <w:left w:val="nil"/>
              <w:bottom w:val="nil"/>
              <w:right w:val="nil"/>
            </w:tcBorders>
            <w:shd w:val="clear" w:color="auto" w:fill="auto"/>
            <w:noWrap/>
            <w:vAlign w:val="center"/>
          </w:tcPr>
          <w:p w14:paraId="2334E0EE">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Limbic_OFC_1_L</w:t>
            </w:r>
          </w:p>
        </w:tc>
        <w:tc>
          <w:tcPr>
            <w:tcW w:w="518" w:type="pct"/>
            <w:tcBorders>
              <w:top w:val="nil"/>
              <w:left w:val="nil"/>
              <w:bottom w:val="nil"/>
              <w:right w:val="nil"/>
            </w:tcBorders>
            <w:shd w:val="clear" w:color="auto" w:fill="auto"/>
            <w:noWrap/>
            <w:vAlign w:val="center"/>
          </w:tcPr>
          <w:p w14:paraId="6D0DA71E">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 xml:space="preserve">5.56 </w:t>
            </w:r>
          </w:p>
        </w:tc>
        <w:tc>
          <w:tcPr>
            <w:tcW w:w="642" w:type="pct"/>
            <w:tcBorders>
              <w:top w:val="nil"/>
              <w:left w:val="nil"/>
              <w:bottom w:val="nil"/>
              <w:right w:val="nil"/>
            </w:tcBorders>
            <w:shd w:val="clear" w:color="auto" w:fill="auto"/>
            <w:noWrap/>
            <w:vAlign w:val="center"/>
          </w:tcPr>
          <w:p w14:paraId="7B4B7AF0">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&lt;0.001</w:t>
            </w:r>
          </w:p>
        </w:tc>
      </w:tr>
      <w:tr w14:paraId="22186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70CB126E">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w:t>
            </w:r>
          </w:p>
        </w:tc>
        <w:tc>
          <w:tcPr>
            <w:tcW w:w="794" w:type="pct"/>
            <w:vMerge w:val="continue"/>
            <w:tcBorders>
              <w:top w:val="nil"/>
              <w:left w:val="nil"/>
              <w:bottom w:val="nil"/>
              <w:right w:val="nil"/>
            </w:tcBorders>
            <w:shd w:val="clear" w:color="auto" w:fill="auto"/>
            <w:noWrap/>
            <w:vAlign w:val="center"/>
          </w:tcPr>
          <w:p w14:paraId="62241F9F">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1A5A1B38">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Limbic_OFC_1_R</w:t>
            </w:r>
          </w:p>
        </w:tc>
        <w:tc>
          <w:tcPr>
            <w:tcW w:w="518" w:type="pct"/>
            <w:tcBorders>
              <w:top w:val="nil"/>
              <w:left w:val="nil"/>
              <w:bottom w:val="nil"/>
              <w:right w:val="nil"/>
            </w:tcBorders>
            <w:shd w:val="clear" w:color="auto" w:fill="auto"/>
            <w:noWrap/>
            <w:vAlign w:val="center"/>
          </w:tcPr>
          <w:p w14:paraId="2AADA9F2">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3.80 </w:t>
            </w:r>
          </w:p>
        </w:tc>
        <w:tc>
          <w:tcPr>
            <w:tcW w:w="642" w:type="pct"/>
            <w:tcBorders>
              <w:top w:val="nil"/>
              <w:left w:val="nil"/>
              <w:bottom w:val="nil"/>
              <w:right w:val="nil"/>
            </w:tcBorders>
            <w:shd w:val="clear" w:color="auto" w:fill="auto"/>
            <w:noWrap/>
            <w:vAlign w:val="center"/>
          </w:tcPr>
          <w:p w14:paraId="72C94737">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2C07C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73682945">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w:t>
            </w:r>
          </w:p>
        </w:tc>
        <w:tc>
          <w:tcPr>
            <w:tcW w:w="794" w:type="pct"/>
            <w:vMerge w:val="continue"/>
            <w:tcBorders>
              <w:top w:val="nil"/>
              <w:left w:val="nil"/>
              <w:bottom w:val="nil"/>
              <w:right w:val="nil"/>
            </w:tcBorders>
            <w:shd w:val="clear" w:color="auto" w:fill="auto"/>
            <w:noWrap/>
            <w:vAlign w:val="center"/>
          </w:tcPr>
          <w:p w14:paraId="149F2D00">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69733489">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Limbic_TempPole_1_L</w:t>
            </w:r>
          </w:p>
        </w:tc>
        <w:tc>
          <w:tcPr>
            <w:tcW w:w="518" w:type="pct"/>
            <w:tcBorders>
              <w:top w:val="nil"/>
              <w:left w:val="nil"/>
              <w:bottom w:val="nil"/>
              <w:right w:val="nil"/>
            </w:tcBorders>
            <w:shd w:val="clear" w:color="auto" w:fill="auto"/>
            <w:noWrap/>
            <w:vAlign w:val="center"/>
          </w:tcPr>
          <w:p w14:paraId="00EE8893">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4.80 </w:t>
            </w:r>
          </w:p>
        </w:tc>
        <w:tc>
          <w:tcPr>
            <w:tcW w:w="642" w:type="pct"/>
            <w:tcBorders>
              <w:top w:val="nil"/>
              <w:left w:val="nil"/>
              <w:bottom w:val="nil"/>
              <w:right w:val="nil"/>
            </w:tcBorders>
            <w:shd w:val="clear" w:color="auto" w:fill="auto"/>
            <w:noWrap/>
            <w:vAlign w:val="center"/>
          </w:tcPr>
          <w:p w14:paraId="1E85BE6C">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4EDB9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1B8EF75A">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w:t>
            </w:r>
          </w:p>
        </w:tc>
        <w:tc>
          <w:tcPr>
            <w:tcW w:w="794" w:type="pct"/>
            <w:vMerge w:val="restart"/>
            <w:tcBorders>
              <w:top w:val="nil"/>
              <w:left w:val="nil"/>
              <w:right w:val="nil"/>
            </w:tcBorders>
            <w:shd w:val="clear" w:color="auto" w:fill="auto"/>
            <w:noWrap/>
            <w:vAlign w:val="center"/>
          </w:tcPr>
          <w:p w14:paraId="5D6F57D5">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SAL</w:t>
            </w:r>
          </w:p>
        </w:tc>
        <w:tc>
          <w:tcPr>
            <w:tcW w:w="2493" w:type="pct"/>
            <w:tcBorders>
              <w:top w:val="nil"/>
              <w:left w:val="nil"/>
              <w:bottom w:val="nil"/>
              <w:right w:val="nil"/>
            </w:tcBorders>
            <w:shd w:val="clear" w:color="auto" w:fill="auto"/>
            <w:noWrap/>
            <w:vAlign w:val="center"/>
          </w:tcPr>
          <w:p w14:paraId="5C08EF6D">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SalVentAttn_FrOperIns_1_L</w:t>
            </w:r>
          </w:p>
        </w:tc>
        <w:tc>
          <w:tcPr>
            <w:tcW w:w="518" w:type="pct"/>
            <w:tcBorders>
              <w:top w:val="nil"/>
              <w:left w:val="nil"/>
              <w:bottom w:val="nil"/>
              <w:right w:val="nil"/>
            </w:tcBorders>
            <w:shd w:val="clear" w:color="auto" w:fill="auto"/>
            <w:noWrap/>
            <w:vAlign w:val="center"/>
          </w:tcPr>
          <w:p w14:paraId="5DFE8BEB">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3.95 </w:t>
            </w:r>
          </w:p>
        </w:tc>
        <w:tc>
          <w:tcPr>
            <w:tcW w:w="642" w:type="pct"/>
            <w:tcBorders>
              <w:top w:val="nil"/>
              <w:left w:val="nil"/>
              <w:bottom w:val="nil"/>
              <w:right w:val="nil"/>
            </w:tcBorders>
            <w:shd w:val="clear" w:color="auto" w:fill="auto"/>
            <w:noWrap/>
            <w:vAlign w:val="center"/>
          </w:tcPr>
          <w:p w14:paraId="0786E57A">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65B1D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125B1BD1">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36</w:t>
            </w:r>
          </w:p>
        </w:tc>
        <w:tc>
          <w:tcPr>
            <w:tcW w:w="794" w:type="pct"/>
            <w:vMerge w:val="continue"/>
            <w:tcBorders>
              <w:left w:val="nil"/>
              <w:right w:val="nil"/>
            </w:tcBorders>
            <w:shd w:val="clear" w:color="auto" w:fill="auto"/>
            <w:noWrap/>
            <w:vAlign w:val="center"/>
          </w:tcPr>
          <w:p w14:paraId="48879488">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5D702FEA">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SalVentAttn_FrOperIns_2_L</w:t>
            </w:r>
          </w:p>
        </w:tc>
        <w:tc>
          <w:tcPr>
            <w:tcW w:w="518" w:type="pct"/>
            <w:tcBorders>
              <w:top w:val="nil"/>
              <w:left w:val="nil"/>
              <w:bottom w:val="nil"/>
              <w:right w:val="nil"/>
            </w:tcBorders>
            <w:shd w:val="clear" w:color="auto" w:fill="auto"/>
            <w:noWrap/>
            <w:vAlign w:val="center"/>
          </w:tcPr>
          <w:p w14:paraId="39B2F5DB">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2.79 </w:t>
            </w:r>
          </w:p>
        </w:tc>
        <w:tc>
          <w:tcPr>
            <w:tcW w:w="642" w:type="pct"/>
            <w:tcBorders>
              <w:top w:val="nil"/>
              <w:left w:val="nil"/>
              <w:bottom w:val="nil"/>
              <w:right w:val="nil"/>
            </w:tcBorders>
            <w:shd w:val="clear" w:color="auto" w:fill="auto"/>
            <w:noWrap/>
            <w:vAlign w:val="center"/>
          </w:tcPr>
          <w:p w14:paraId="11809E5F">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0.01 </w:t>
            </w:r>
          </w:p>
        </w:tc>
      </w:tr>
      <w:tr w14:paraId="4AB73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5B7D8897">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w:t>
            </w:r>
          </w:p>
        </w:tc>
        <w:tc>
          <w:tcPr>
            <w:tcW w:w="794" w:type="pct"/>
            <w:vMerge w:val="continue"/>
            <w:tcBorders>
              <w:left w:val="nil"/>
              <w:right w:val="nil"/>
            </w:tcBorders>
            <w:shd w:val="clear" w:color="auto" w:fill="auto"/>
            <w:noWrap/>
            <w:vAlign w:val="center"/>
          </w:tcPr>
          <w:p w14:paraId="6AD81B7A">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7FEBA4FD">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SalVentAttn_Med_1_L</w:t>
            </w:r>
          </w:p>
        </w:tc>
        <w:tc>
          <w:tcPr>
            <w:tcW w:w="518" w:type="pct"/>
            <w:tcBorders>
              <w:top w:val="nil"/>
              <w:left w:val="nil"/>
              <w:bottom w:val="nil"/>
              <w:right w:val="nil"/>
            </w:tcBorders>
            <w:shd w:val="clear" w:color="auto" w:fill="auto"/>
            <w:noWrap/>
            <w:vAlign w:val="center"/>
          </w:tcPr>
          <w:p w14:paraId="513D2E4F">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2.24 </w:t>
            </w:r>
          </w:p>
        </w:tc>
        <w:tc>
          <w:tcPr>
            <w:tcW w:w="642" w:type="pct"/>
            <w:tcBorders>
              <w:top w:val="nil"/>
              <w:left w:val="nil"/>
              <w:bottom w:val="nil"/>
              <w:right w:val="nil"/>
            </w:tcBorders>
            <w:shd w:val="clear" w:color="auto" w:fill="auto"/>
            <w:noWrap/>
            <w:vAlign w:val="center"/>
          </w:tcPr>
          <w:p w14:paraId="479CF075">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0.05 </w:t>
            </w:r>
          </w:p>
        </w:tc>
      </w:tr>
      <w:tr w14:paraId="0132D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16BBCB90">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w:t>
            </w:r>
          </w:p>
        </w:tc>
        <w:tc>
          <w:tcPr>
            <w:tcW w:w="794" w:type="pct"/>
            <w:vMerge w:val="continue"/>
            <w:tcBorders>
              <w:left w:val="nil"/>
              <w:right w:val="nil"/>
            </w:tcBorders>
            <w:shd w:val="clear" w:color="auto" w:fill="auto"/>
            <w:noWrap/>
            <w:vAlign w:val="center"/>
          </w:tcPr>
          <w:p w14:paraId="71CF705E">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1E504B01">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SalVentAttn_Med_3_L</w:t>
            </w:r>
          </w:p>
        </w:tc>
        <w:tc>
          <w:tcPr>
            <w:tcW w:w="518" w:type="pct"/>
            <w:tcBorders>
              <w:top w:val="nil"/>
              <w:left w:val="nil"/>
              <w:bottom w:val="nil"/>
              <w:right w:val="nil"/>
            </w:tcBorders>
            <w:shd w:val="clear" w:color="auto" w:fill="auto"/>
            <w:noWrap/>
            <w:vAlign w:val="center"/>
          </w:tcPr>
          <w:p w14:paraId="6A3CACBE">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-3.57 </w:t>
            </w:r>
          </w:p>
        </w:tc>
        <w:tc>
          <w:tcPr>
            <w:tcW w:w="642" w:type="pct"/>
            <w:tcBorders>
              <w:top w:val="nil"/>
              <w:left w:val="nil"/>
              <w:bottom w:val="nil"/>
              <w:right w:val="nil"/>
            </w:tcBorders>
            <w:shd w:val="clear" w:color="auto" w:fill="auto"/>
            <w:noWrap/>
            <w:vAlign w:val="center"/>
          </w:tcPr>
          <w:p w14:paraId="2C20F83E">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4A433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5CB4EDBB">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w:t>
            </w:r>
          </w:p>
        </w:tc>
        <w:tc>
          <w:tcPr>
            <w:tcW w:w="794" w:type="pct"/>
            <w:vMerge w:val="continue"/>
            <w:tcBorders>
              <w:left w:val="nil"/>
              <w:right w:val="nil"/>
            </w:tcBorders>
            <w:shd w:val="clear" w:color="auto" w:fill="auto"/>
            <w:noWrap/>
            <w:vAlign w:val="center"/>
          </w:tcPr>
          <w:p w14:paraId="10F262E1">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0D69720A">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SalVentAttn_PFCl_1_L</w:t>
            </w:r>
          </w:p>
        </w:tc>
        <w:tc>
          <w:tcPr>
            <w:tcW w:w="518" w:type="pct"/>
            <w:tcBorders>
              <w:top w:val="nil"/>
              <w:left w:val="nil"/>
              <w:bottom w:val="nil"/>
              <w:right w:val="nil"/>
            </w:tcBorders>
            <w:shd w:val="clear" w:color="auto" w:fill="auto"/>
            <w:noWrap/>
            <w:vAlign w:val="center"/>
          </w:tcPr>
          <w:p w14:paraId="28C57ECA">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-2.56 </w:t>
            </w:r>
          </w:p>
        </w:tc>
        <w:tc>
          <w:tcPr>
            <w:tcW w:w="642" w:type="pct"/>
            <w:tcBorders>
              <w:top w:val="nil"/>
              <w:left w:val="nil"/>
              <w:bottom w:val="nil"/>
              <w:right w:val="nil"/>
            </w:tcBorders>
            <w:shd w:val="clear" w:color="auto" w:fill="auto"/>
            <w:noWrap/>
            <w:vAlign w:val="center"/>
          </w:tcPr>
          <w:p w14:paraId="3363D010">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0.02 </w:t>
            </w:r>
          </w:p>
        </w:tc>
      </w:tr>
      <w:tr w14:paraId="0022E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17792E74">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w:t>
            </w:r>
          </w:p>
        </w:tc>
        <w:tc>
          <w:tcPr>
            <w:tcW w:w="794" w:type="pct"/>
            <w:vMerge w:val="continue"/>
            <w:tcBorders>
              <w:left w:val="nil"/>
              <w:right w:val="nil"/>
            </w:tcBorders>
            <w:shd w:val="clear" w:color="auto" w:fill="auto"/>
            <w:noWrap/>
            <w:vAlign w:val="center"/>
          </w:tcPr>
          <w:p w14:paraId="101C59B7">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480AD2BE">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SalVentAttn_ParOper_1_L</w:t>
            </w:r>
          </w:p>
        </w:tc>
        <w:tc>
          <w:tcPr>
            <w:tcW w:w="518" w:type="pct"/>
            <w:tcBorders>
              <w:top w:val="nil"/>
              <w:left w:val="nil"/>
              <w:bottom w:val="nil"/>
              <w:right w:val="nil"/>
            </w:tcBorders>
            <w:shd w:val="clear" w:color="auto" w:fill="auto"/>
            <w:noWrap/>
            <w:vAlign w:val="center"/>
          </w:tcPr>
          <w:p w14:paraId="075A9080">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-3.03 </w:t>
            </w:r>
          </w:p>
        </w:tc>
        <w:tc>
          <w:tcPr>
            <w:tcW w:w="642" w:type="pct"/>
            <w:tcBorders>
              <w:top w:val="nil"/>
              <w:left w:val="nil"/>
              <w:bottom w:val="nil"/>
              <w:right w:val="nil"/>
            </w:tcBorders>
            <w:shd w:val="clear" w:color="auto" w:fill="auto"/>
            <w:noWrap/>
            <w:vAlign w:val="center"/>
          </w:tcPr>
          <w:p w14:paraId="4E801A92">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0.005 </w:t>
            </w:r>
          </w:p>
        </w:tc>
      </w:tr>
      <w:tr w14:paraId="09669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70A98F90">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w:t>
            </w:r>
          </w:p>
        </w:tc>
        <w:tc>
          <w:tcPr>
            <w:tcW w:w="794" w:type="pct"/>
            <w:vMerge w:val="continue"/>
            <w:tcBorders>
              <w:left w:val="nil"/>
              <w:right w:val="nil"/>
            </w:tcBorders>
            <w:shd w:val="clear" w:color="auto" w:fill="auto"/>
            <w:noWrap/>
            <w:vAlign w:val="center"/>
          </w:tcPr>
          <w:p w14:paraId="3E4D81F2">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797FAB74">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SalVentAttn_TempOccPar_1_R</w:t>
            </w:r>
          </w:p>
        </w:tc>
        <w:tc>
          <w:tcPr>
            <w:tcW w:w="518" w:type="pct"/>
            <w:tcBorders>
              <w:top w:val="nil"/>
              <w:left w:val="nil"/>
              <w:bottom w:val="nil"/>
              <w:right w:val="nil"/>
            </w:tcBorders>
            <w:shd w:val="clear" w:color="auto" w:fill="auto"/>
            <w:noWrap/>
            <w:vAlign w:val="center"/>
          </w:tcPr>
          <w:p w14:paraId="6243F84D">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-3.94 </w:t>
            </w:r>
          </w:p>
        </w:tc>
        <w:tc>
          <w:tcPr>
            <w:tcW w:w="642" w:type="pct"/>
            <w:tcBorders>
              <w:top w:val="nil"/>
              <w:left w:val="nil"/>
              <w:bottom w:val="nil"/>
              <w:right w:val="nil"/>
            </w:tcBorders>
            <w:shd w:val="clear" w:color="auto" w:fill="auto"/>
            <w:noWrap/>
            <w:vAlign w:val="center"/>
          </w:tcPr>
          <w:p w14:paraId="4D062245">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5045F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1646810F">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w:t>
            </w:r>
          </w:p>
        </w:tc>
        <w:tc>
          <w:tcPr>
            <w:tcW w:w="794" w:type="pct"/>
            <w:vMerge w:val="continue"/>
            <w:tcBorders>
              <w:left w:val="nil"/>
              <w:bottom w:val="nil"/>
              <w:right w:val="nil"/>
            </w:tcBorders>
            <w:shd w:val="clear" w:color="auto" w:fill="auto"/>
            <w:noWrap/>
            <w:vAlign w:val="center"/>
          </w:tcPr>
          <w:p w14:paraId="067AD3A7">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065CADDA">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SalVentAttn_TempOccPar_2_R</w:t>
            </w:r>
          </w:p>
        </w:tc>
        <w:tc>
          <w:tcPr>
            <w:tcW w:w="518" w:type="pct"/>
            <w:tcBorders>
              <w:top w:val="nil"/>
              <w:left w:val="nil"/>
              <w:bottom w:val="nil"/>
              <w:right w:val="nil"/>
            </w:tcBorders>
            <w:shd w:val="clear" w:color="auto" w:fill="auto"/>
            <w:noWrap/>
            <w:vAlign w:val="center"/>
          </w:tcPr>
          <w:p w14:paraId="67051ACB">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 xml:space="preserve">-4.08 </w:t>
            </w:r>
          </w:p>
        </w:tc>
        <w:tc>
          <w:tcPr>
            <w:tcW w:w="642" w:type="pct"/>
            <w:tcBorders>
              <w:top w:val="nil"/>
              <w:left w:val="nil"/>
              <w:bottom w:val="nil"/>
              <w:right w:val="nil"/>
            </w:tcBorders>
            <w:shd w:val="clear" w:color="auto" w:fill="auto"/>
            <w:noWrap/>
            <w:vAlign w:val="center"/>
          </w:tcPr>
          <w:p w14:paraId="6C99897C">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&lt;0.001</w:t>
            </w:r>
          </w:p>
        </w:tc>
      </w:tr>
      <w:tr w14:paraId="1FD13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5B135175">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w:t>
            </w:r>
          </w:p>
        </w:tc>
        <w:tc>
          <w:tcPr>
            <w:tcW w:w="794" w:type="pct"/>
            <w:vMerge w:val="restart"/>
            <w:tcBorders>
              <w:top w:val="nil"/>
              <w:left w:val="nil"/>
              <w:bottom w:val="nil"/>
              <w:right w:val="nil"/>
            </w:tcBorders>
            <w:shd w:val="clear" w:color="auto" w:fill="auto"/>
            <w:noWrap/>
            <w:vAlign w:val="center"/>
          </w:tcPr>
          <w:p w14:paraId="6D82CAF8">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lang w:val="en-US" w:eastAsia="zh-CN"/>
              </w:rPr>
            </w:pPr>
            <w:r>
              <w:rPr>
                <w:rFonts w:hint="default" w:ascii="Times New Roman" w:hAnsi="Times New Roman" w:eastAsia="宋体" w:cs="Times New Roman"/>
                <w:i w:val="0"/>
                <w:iCs w:val="0"/>
                <w:color w:val="000000"/>
                <w:sz w:val="21"/>
                <w:szCs w:val="21"/>
                <w:u w:val="none"/>
                <w:lang w:val="en-US" w:eastAsia="zh-CN"/>
              </w:rPr>
              <w:t>SOM</w:t>
            </w:r>
          </w:p>
        </w:tc>
        <w:tc>
          <w:tcPr>
            <w:tcW w:w="2493" w:type="pct"/>
            <w:tcBorders>
              <w:top w:val="nil"/>
              <w:left w:val="nil"/>
              <w:bottom w:val="nil"/>
              <w:right w:val="nil"/>
            </w:tcBorders>
            <w:shd w:val="clear" w:color="auto" w:fill="auto"/>
            <w:noWrap/>
            <w:vAlign w:val="center"/>
          </w:tcPr>
          <w:p w14:paraId="5E4078FA">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SomMot_2_L</w:t>
            </w:r>
          </w:p>
        </w:tc>
        <w:tc>
          <w:tcPr>
            <w:tcW w:w="518" w:type="pct"/>
            <w:tcBorders>
              <w:top w:val="nil"/>
              <w:left w:val="nil"/>
              <w:bottom w:val="nil"/>
              <w:right w:val="nil"/>
            </w:tcBorders>
            <w:shd w:val="clear" w:color="auto" w:fill="auto"/>
            <w:noWrap/>
            <w:vAlign w:val="center"/>
          </w:tcPr>
          <w:p w14:paraId="79FB3B32">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 xml:space="preserve">4.19 </w:t>
            </w:r>
          </w:p>
        </w:tc>
        <w:tc>
          <w:tcPr>
            <w:tcW w:w="642" w:type="pct"/>
            <w:tcBorders>
              <w:top w:val="nil"/>
              <w:left w:val="nil"/>
              <w:bottom w:val="nil"/>
              <w:right w:val="nil"/>
            </w:tcBorders>
            <w:shd w:val="clear" w:color="auto" w:fill="auto"/>
            <w:noWrap/>
            <w:vAlign w:val="center"/>
          </w:tcPr>
          <w:p w14:paraId="4B253C3E">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&lt;0.001</w:t>
            </w:r>
          </w:p>
        </w:tc>
      </w:tr>
      <w:tr w14:paraId="621B2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6CF91583">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w:t>
            </w:r>
          </w:p>
        </w:tc>
        <w:tc>
          <w:tcPr>
            <w:tcW w:w="794" w:type="pct"/>
            <w:vMerge w:val="continue"/>
            <w:tcBorders>
              <w:top w:val="nil"/>
              <w:left w:val="nil"/>
              <w:bottom w:val="nil"/>
              <w:right w:val="nil"/>
            </w:tcBorders>
            <w:shd w:val="clear" w:color="auto" w:fill="auto"/>
            <w:noWrap/>
            <w:vAlign w:val="center"/>
          </w:tcPr>
          <w:p w14:paraId="0EFC985F">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722EFD07">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SomMot_2_R</w:t>
            </w:r>
          </w:p>
        </w:tc>
        <w:tc>
          <w:tcPr>
            <w:tcW w:w="518" w:type="pct"/>
            <w:tcBorders>
              <w:top w:val="nil"/>
              <w:left w:val="nil"/>
              <w:bottom w:val="nil"/>
              <w:right w:val="nil"/>
            </w:tcBorders>
            <w:shd w:val="clear" w:color="auto" w:fill="auto"/>
            <w:noWrap/>
            <w:vAlign w:val="center"/>
          </w:tcPr>
          <w:p w14:paraId="742DB900">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2.90 </w:t>
            </w:r>
          </w:p>
        </w:tc>
        <w:tc>
          <w:tcPr>
            <w:tcW w:w="642" w:type="pct"/>
            <w:tcBorders>
              <w:top w:val="nil"/>
              <w:left w:val="nil"/>
              <w:bottom w:val="nil"/>
              <w:right w:val="nil"/>
            </w:tcBorders>
            <w:shd w:val="clear" w:color="auto" w:fill="auto"/>
            <w:noWrap/>
            <w:vAlign w:val="center"/>
          </w:tcPr>
          <w:p w14:paraId="6DD5B62B">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0.009 </w:t>
            </w:r>
          </w:p>
        </w:tc>
      </w:tr>
      <w:tr w14:paraId="0C5EE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4B94EBF7">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w:t>
            </w:r>
          </w:p>
        </w:tc>
        <w:tc>
          <w:tcPr>
            <w:tcW w:w="794" w:type="pct"/>
            <w:vMerge w:val="continue"/>
            <w:tcBorders>
              <w:top w:val="nil"/>
              <w:left w:val="nil"/>
              <w:bottom w:val="nil"/>
              <w:right w:val="nil"/>
            </w:tcBorders>
            <w:shd w:val="clear" w:color="auto" w:fill="auto"/>
            <w:noWrap/>
            <w:vAlign w:val="center"/>
          </w:tcPr>
          <w:p w14:paraId="7CAECA55">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56571732">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SomMot_4_L</w:t>
            </w:r>
          </w:p>
        </w:tc>
        <w:tc>
          <w:tcPr>
            <w:tcW w:w="518" w:type="pct"/>
            <w:tcBorders>
              <w:top w:val="nil"/>
              <w:left w:val="nil"/>
              <w:bottom w:val="nil"/>
              <w:right w:val="nil"/>
            </w:tcBorders>
            <w:shd w:val="clear" w:color="auto" w:fill="auto"/>
            <w:noWrap/>
            <w:vAlign w:val="center"/>
          </w:tcPr>
          <w:p w14:paraId="2DB8E4F6">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-4.03 </w:t>
            </w:r>
          </w:p>
        </w:tc>
        <w:tc>
          <w:tcPr>
            <w:tcW w:w="642" w:type="pct"/>
            <w:tcBorders>
              <w:top w:val="nil"/>
              <w:left w:val="nil"/>
              <w:bottom w:val="nil"/>
              <w:right w:val="nil"/>
            </w:tcBorders>
            <w:shd w:val="clear" w:color="auto" w:fill="auto"/>
            <w:noWrap/>
            <w:vAlign w:val="center"/>
          </w:tcPr>
          <w:p w14:paraId="6442EAAC">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3DFEE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6D0C2FA6">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46</w:t>
            </w:r>
          </w:p>
        </w:tc>
        <w:tc>
          <w:tcPr>
            <w:tcW w:w="794" w:type="pct"/>
            <w:vMerge w:val="continue"/>
            <w:tcBorders>
              <w:top w:val="nil"/>
              <w:left w:val="nil"/>
              <w:bottom w:val="nil"/>
              <w:right w:val="nil"/>
            </w:tcBorders>
            <w:shd w:val="clear" w:color="auto" w:fill="auto"/>
            <w:noWrap/>
            <w:vAlign w:val="center"/>
          </w:tcPr>
          <w:p w14:paraId="72F29D74">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5D840109">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SomMot_4_R</w:t>
            </w:r>
          </w:p>
        </w:tc>
        <w:tc>
          <w:tcPr>
            <w:tcW w:w="518" w:type="pct"/>
            <w:tcBorders>
              <w:top w:val="nil"/>
              <w:left w:val="nil"/>
              <w:bottom w:val="nil"/>
              <w:right w:val="nil"/>
            </w:tcBorders>
            <w:shd w:val="clear" w:color="auto" w:fill="auto"/>
            <w:noWrap/>
            <w:vAlign w:val="center"/>
          </w:tcPr>
          <w:p w14:paraId="1CA4780C">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-3.52 </w:t>
            </w:r>
          </w:p>
        </w:tc>
        <w:tc>
          <w:tcPr>
            <w:tcW w:w="642" w:type="pct"/>
            <w:tcBorders>
              <w:top w:val="nil"/>
              <w:left w:val="nil"/>
              <w:bottom w:val="nil"/>
              <w:right w:val="nil"/>
            </w:tcBorders>
            <w:shd w:val="clear" w:color="auto" w:fill="auto"/>
            <w:noWrap/>
            <w:vAlign w:val="center"/>
          </w:tcPr>
          <w:p w14:paraId="231004CD">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3BC4A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2DA78E9F">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794" w:type="pct"/>
            <w:vMerge w:val="continue"/>
            <w:tcBorders>
              <w:top w:val="nil"/>
              <w:left w:val="nil"/>
              <w:bottom w:val="nil"/>
              <w:right w:val="nil"/>
            </w:tcBorders>
            <w:shd w:val="clear" w:color="auto" w:fill="auto"/>
            <w:noWrap/>
            <w:vAlign w:val="center"/>
          </w:tcPr>
          <w:p w14:paraId="25DE73D9">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6D09975D">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SomMot_5_L</w:t>
            </w:r>
          </w:p>
        </w:tc>
        <w:tc>
          <w:tcPr>
            <w:tcW w:w="518" w:type="pct"/>
            <w:tcBorders>
              <w:top w:val="nil"/>
              <w:left w:val="nil"/>
              <w:bottom w:val="nil"/>
              <w:right w:val="nil"/>
            </w:tcBorders>
            <w:shd w:val="clear" w:color="auto" w:fill="auto"/>
            <w:noWrap/>
            <w:vAlign w:val="center"/>
          </w:tcPr>
          <w:p w14:paraId="2E9FC734">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-3.82 </w:t>
            </w:r>
          </w:p>
        </w:tc>
        <w:tc>
          <w:tcPr>
            <w:tcW w:w="642" w:type="pct"/>
            <w:tcBorders>
              <w:top w:val="nil"/>
              <w:left w:val="nil"/>
              <w:bottom w:val="nil"/>
              <w:right w:val="nil"/>
            </w:tcBorders>
            <w:shd w:val="clear" w:color="auto" w:fill="auto"/>
            <w:noWrap/>
            <w:vAlign w:val="center"/>
          </w:tcPr>
          <w:p w14:paraId="4FDD9AEC">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004E6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163F4099">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w:t>
            </w:r>
          </w:p>
        </w:tc>
        <w:tc>
          <w:tcPr>
            <w:tcW w:w="794" w:type="pct"/>
            <w:vMerge w:val="continue"/>
            <w:tcBorders>
              <w:top w:val="nil"/>
              <w:left w:val="nil"/>
              <w:bottom w:val="nil"/>
              <w:right w:val="nil"/>
            </w:tcBorders>
            <w:shd w:val="clear" w:color="auto" w:fill="auto"/>
            <w:noWrap/>
            <w:vAlign w:val="center"/>
          </w:tcPr>
          <w:p w14:paraId="1985C88B">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48D696BC">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SomMot_5_R</w:t>
            </w:r>
          </w:p>
        </w:tc>
        <w:tc>
          <w:tcPr>
            <w:tcW w:w="518" w:type="pct"/>
            <w:tcBorders>
              <w:top w:val="nil"/>
              <w:left w:val="nil"/>
              <w:bottom w:val="nil"/>
              <w:right w:val="nil"/>
            </w:tcBorders>
            <w:shd w:val="clear" w:color="auto" w:fill="auto"/>
            <w:noWrap/>
            <w:vAlign w:val="center"/>
          </w:tcPr>
          <w:p w14:paraId="2F793E85">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-3.04 </w:t>
            </w:r>
          </w:p>
        </w:tc>
        <w:tc>
          <w:tcPr>
            <w:tcW w:w="642" w:type="pct"/>
            <w:tcBorders>
              <w:top w:val="nil"/>
              <w:left w:val="nil"/>
              <w:bottom w:val="nil"/>
              <w:right w:val="nil"/>
            </w:tcBorders>
            <w:shd w:val="clear" w:color="auto" w:fill="auto"/>
            <w:noWrap/>
            <w:vAlign w:val="center"/>
          </w:tcPr>
          <w:p w14:paraId="2415683C">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0.005 </w:t>
            </w:r>
          </w:p>
        </w:tc>
      </w:tr>
      <w:tr w14:paraId="6779B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62816C49">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49</w:t>
            </w:r>
          </w:p>
        </w:tc>
        <w:tc>
          <w:tcPr>
            <w:tcW w:w="794" w:type="pct"/>
            <w:vMerge w:val="continue"/>
            <w:tcBorders>
              <w:top w:val="nil"/>
              <w:left w:val="nil"/>
              <w:bottom w:val="nil"/>
              <w:right w:val="nil"/>
            </w:tcBorders>
            <w:shd w:val="clear" w:color="auto" w:fill="auto"/>
            <w:noWrap/>
            <w:vAlign w:val="center"/>
          </w:tcPr>
          <w:p w14:paraId="76CA4A45">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2B8AB3AF">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SomMot_6_R</w:t>
            </w:r>
          </w:p>
        </w:tc>
        <w:tc>
          <w:tcPr>
            <w:tcW w:w="518" w:type="pct"/>
            <w:tcBorders>
              <w:top w:val="nil"/>
              <w:left w:val="nil"/>
              <w:bottom w:val="nil"/>
              <w:right w:val="nil"/>
            </w:tcBorders>
            <w:shd w:val="clear" w:color="auto" w:fill="auto"/>
            <w:noWrap/>
            <w:vAlign w:val="center"/>
          </w:tcPr>
          <w:p w14:paraId="3046A1E1">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-3.25 </w:t>
            </w:r>
          </w:p>
        </w:tc>
        <w:tc>
          <w:tcPr>
            <w:tcW w:w="642" w:type="pct"/>
            <w:tcBorders>
              <w:top w:val="nil"/>
              <w:left w:val="nil"/>
              <w:bottom w:val="nil"/>
              <w:right w:val="nil"/>
            </w:tcBorders>
            <w:shd w:val="clear" w:color="auto" w:fill="auto"/>
            <w:noWrap/>
            <w:vAlign w:val="center"/>
          </w:tcPr>
          <w:p w14:paraId="6C7176BF">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0.003 </w:t>
            </w:r>
          </w:p>
        </w:tc>
      </w:tr>
      <w:tr w14:paraId="710C1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54AFD973">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w:t>
            </w:r>
          </w:p>
        </w:tc>
        <w:tc>
          <w:tcPr>
            <w:tcW w:w="794" w:type="pct"/>
            <w:vMerge w:val="continue"/>
            <w:tcBorders>
              <w:top w:val="nil"/>
              <w:left w:val="nil"/>
              <w:bottom w:val="nil"/>
              <w:right w:val="nil"/>
            </w:tcBorders>
            <w:shd w:val="clear" w:color="auto" w:fill="auto"/>
            <w:noWrap/>
            <w:vAlign w:val="center"/>
          </w:tcPr>
          <w:p w14:paraId="4D8B4383">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7B7A5835">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SomMot_7_R</w:t>
            </w:r>
          </w:p>
        </w:tc>
        <w:tc>
          <w:tcPr>
            <w:tcW w:w="518" w:type="pct"/>
            <w:tcBorders>
              <w:top w:val="nil"/>
              <w:left w:val="nil"/>
              <w:bottom w:val="nil"/>
              <w:right w:val="nil"/>
            </w:tcBorders>
            <w:shd w:val="clear" w:color="auto" w:fill="auto"/>
            <w:noWrap/>
            <w:vAlign w:val="center"/>
          </w:tcPr>
          <w:p w14:paraId="5FB5D645">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-2.50 </w:t>
            </w:r>
          </w:p>
        </w:tc>
        <w:tc>
          <w:tcPr>
            <w:tcW w:w="642" w:type="pct"/>
            <w:tcBorders>
              <w:top w:val="nil"/>
              <w:left w:val="nil"/>
              <w:bottom w:val="nil"/>
              <w:right w:val="nil"/>
            </w:tcBorders>
            <w:shd w:val="clear" w:color="auto" w:fill="auto"/>
            <w:noWrap/>
            <w:vAlign w:val="center"/>
          </w:tcPr>
          <w:p w14:paraId="237B692C">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0.02 </w:t>
            </w:r>
          </w:p>
        </w:tc>
      </w:tr>
      <w:tr w14:paraId="7BC03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69A36656">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w:t>
            </w:r>
          </w:p>
        </w:tc>
        <w:tc>
          <w:tcPr>
            <w:tcW w:w="794" w:type="pct"/>
            <w:vMerge w:val="continue"/>
            <w:tcBorders>
              <w:top w:val="nil"/>
              <w:left w:val="nil"/>
              <w:bottom w:val="nil"/>
              <w:right w:val="nil"/>
            </w:tcBorders>
            <w:shd w:val="clear" w:color="auto" w:fill="auto"/>
            <w:noWrap/>
            <w:vAlign w:val="center"/>
          </w:tcPr>
          <w:p w14:paraId="387D6248">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290C7B39">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SomMot_8_R</w:t>
            </w:r>
          </w:p>
        </w:tc>
        <w:tc>
          <w:tcPr>
            <w:tcW w:w="518" w:type="pct"/>
            <w:tcBorders>
              <w:top w:val="nil"/>
              <w:left w:val="nil"/>
              <w:bottom w:val="nil"/>
              <w:right w:val="nil"/>
            </w:tcBorders>
            <w:shd w:val="clear" w:color="auto" w:fill="auto"/>
            <w:noWrap/>
            <w:vAlign w:val="center"/>
          </w:tcPr>
          <w:p w14:paraId="21238094">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-2.90 </w:t>
            </w:r>
          </w:p>
        </w:tc>
        <w:tc>
          <w:tcPr>
            <w:tcW w:w="642" w:type="pct"/>
            <w:tcBorders>
              <w:top w:val="nil"/>
              <w:left w:val="nil"/>
              <w:bottom w:val="nil"/>
              <w:right w:val="nil"/>
            </w:tcBorders>
            <w:shd w:val="clear" w:color="auto" w:fill="auto"/>
            <w:noWrap/>
            <w:vAlign w:val="center"/>
          </w:tcPr>
          <w:p w14:paraId="0BC43BAC">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0.009 </w:t>
            </w:r>
          </w:p>
        </w:tc>
      </w:tr>
      <w:tr w14:paraId="620F5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0EB20A01">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52</w:t>
            </w:r>
          </w:p>
        </w:tc>
        <w:tc>
          <w:tcPr>
            <w:tcW w:w="794" w:type="pct"/>
            <w:vMerge w:val="restart"/>
            <w:tcBorders>
              <w:top w:val="nil"/>
              <w:left w:val="nil"/>
              <w:bottom w:val="nil"/>
              <w:right w:val="nil"/>
            </w:tcBorders>
            <w:shd w:val="clear" w:color="auto" w:fill="auto"/>
            <w:noWrap/>
            <w:vAlign w:val="center"/>
          </w:tcPr>
          <w:p w14:paraId="7B641575">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VIS</w:t>
            </w:r>
          </w:p>
        </w:tc>
        <w:tc>
          <w:tcPr>
            <w:tcW w:w="2493" w:type="pct"/>
            <w:tcBorders>
              <w:top w:val="nil"/>
              <w:left w:val="nil"/>
              <w:bottom w:val="nil"/>
              <w:right w:val="nil"/>
            </w:tcBorders>
            <w:shd w:val="clear" w:color="auto" w:fill="auto"/>
            <w:noWrap/>
            <w:vAlign w:val="center"/>
          </w:tcPr>
          <w:p w14:paraId="40276C54">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Vis_1_L</w:t>
            </w:r>
          </w:p>
        </w:tc>
        <w:tc>
          <w:tcPr>
            <w:tcW w:w="518" w:type="pct"/>
            <w:tcBorders>
              <w:top w:val="nil"/>
              <w:left w:val="nil"/>
              <w:bottom w:val="nil"/>
              <w:right w:val="nil"/>
            </w:tcBorders>
            <w:shd w:val="clear" w:color="auto" w:fill="auto"/>
            <w:noWrap/>
            <w:vAlign w:val="center"/>
          </w:tcPr>
          <w:p w14:paraId="29629DE5">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 xml:space="preserve">4.83 </w:t>
            </w:r>
          </w:p>
        </w:tc>
        <w:tc>
          <w:tcPr>
            <w:tcW w:w="642" w:type="pct"/>
            <w:tcBorders>
              <w:top w:val="nil"/>
              <w:left w:val="nil"/>
              <w:bottom w:val="nil"/>
              <w:right w:val="nil"/>
            </w:tcBorders>
            <w:shd w:val="clear" w:color="auto" w:fill="auto"/>
            <w:noWrap/>
            <w:vAlign w:val="center"/>
          </w:tcPr>
          <w:p w14:paraId="60C2BBAD">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&lt;0.001</w:t>
            </w:r>
          </w:p>
        </w:tc>
      </w:tr>
      <w:tr w14:paraId="0B5D0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23D2D8B8">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w:t>
            </w:r>
          </w:p>
        </w:tc>
        <w:tc>
          <w:tcPr>
            <w:tcW w:w="794" w:type="pct"/>
            <w:vMerge w:val="continue"/>
            <w:tcBorders>
              <w:top w:val="nil"/>
              <w:left w:val="nil"/>
              <w:bottom w:val="nil"/>
              <w:right w:val="nil"/>
            </w:tcBorders>
            <w:shd w:val="clear" w:color="auto" w:fill="auto"/>
            <w:noWrap/>
            <w:vAlign w:val="center"/>
          </w:tcPr>
          <w:p w14:paraId="210833BE">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4B5FC0BD">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Vis_1_R</w:t>
            </w:r>
          </w:p>
        </w:tc>
        <w:tc>
          <w:tcPr>
            <w:tcW w:w="518" w:type="pct"/>
            <w:tcBorders>
              <w:top w:val="nil"/>
              <w:left w:val="nil"/>
              <w:bottom w:val="nil"/>
              <w:right w:val="nil"/>
            </w:tcBorders>
            <w:shd w:val="clear" w:color="auto" w:fill="auto"/>
            <w:noWrap/>
            <w:vAlign w:val="center"/>
          </w:tcPr>
          <w:p w14:paraId="7360BEA2">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4.37 </w:t>
            </w:r>
          </w:p>
        </w:tc>
        <w:tc>
          <w:tcPr>
            <w:tcW w:w="642" w:type="pct"/>
            <w:tcBorders>
              <w:top w:val="nil"/>
              <w:left w:val="nil"/>
              <w:bottom w:val="nil"/>
              <w:right w:val="nil"/>
            </w:tcBorders>
            <w:shd w:val="clear" w:color="auto" w:fill="auto"/>
            <w:noWrap/>
            <w:vAlign w:val="center"/>
          </w:tcPr>
          <w:p w14:paraId="0B5D1D10">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1CAB7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7D38050E">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54</w:t>
            </w:r>
          </w:p>
        </w:tc>
        <w:tc>
          <w:tcPr>
            <w:tcW w:w="794" w:type="pct"/>
            <w:vMerge w:val="continue"/>
            <w:tcBorders>
              <w:top w:val="nil"/>
              <w:left w:val="nil"/>
              <w:bottom w:val="nil"/>
              <w:right w:val="nil"/>
            </w:tcBorders>
            <w:shd w:val="clear" w:color="auto" w:fill="auto"/>
            <w:noWrap/>
            <w:vAlign w:val="center"/>
          </w:tcPr>
          <w:p w14:paraId="20A6FEC0">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0D80C51D">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Vis_3_L</w:t>
            </w:r>
          </w:p>
        </w:tc>
        <w:tc>
          <w:tcPr>
            <w:tcW w:w="518" w:type="pct"/>
            <w:tcBorders>
              <w:top w:val="nil"/>
              <w:left w:val="nil"/>
              <w:bottom w:val="nil"/>
              <w:right w:val="nil"/>
            </w:tcBorders>
            <w:shd w:val="clear" w:color="auto" w:fill="auto"/>
            <w:noWrap/>
            <w:vAlign w:val="center"/>
          </w:tcPr>
          <w:p w14:paraId="4D133B76">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3.76 </w:t>
            </w:r>
          </w:p>
        </w:tc>
        <w:tc>
          <w:tcPr>
            <w:tcW w:w="642" w:type="pct"/>
            <w:tcBorders>
              <w:top w:val="nil"/>
              <w:left w:val="nil"/>
              <w:bottom w:val="nil"/>
              <w:right w:val="nil"/>
            </w:tcBorders>
            <w:shd w:val="clear" w:color="auto" w:fill="auto"/>
            <w:noWrap/>
            <w:vAlign w:val="center"/>
          </w:tcPr>
          <w:p w14:paraId="4E135BDA">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46D33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550" w:type="pct"/>
            <w:tcBorders>
              <w:top w:val="nil"/>
              <w:left w:val="nil"/>
              <w:bottom w:val="nil"/>
              <w:right w:val="nil"/>
            </w:tcBorders>
            <w:shd w:val="clear" w:color="auto" w:fill="auto"/>
            <w:noWrap/>
            <w:vAlign w:val="center"/>
          </w:tcPr>
          <w:p w14:paraId="21160D7F">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w:t>
            </w:r>
          </w:p>
        </w:tc>
        <w:tc>
          <w:tcPr>
            <w:tcW w:w="794" w:type="pct"/>
            <w:vMerge w:val="continue"/>
            <w:tcBorders>
              <w:top w:val="nil"/>
              <w:left w:val="nil"/>
              <w:bottom w:val="nil"/>
              <w:right w:val="nil"/>
            </w:tcBorders>
            <w:shd w:val="clear" w:color="auto" w:fill="auto"/>
            <w:noWrap/>
            <w:vAlign w:val="center"/>
          </w:tcPr>
          <w:p w14:paraId="7E916662">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nil"/>
              <w:right w:val="nil"/>
            </w:tcBorders>
            <w:shd w:val="clear" w:color="auto" w:fill="auto"/>
            <w:noWrap/>
            <w:vAlign w:val="center"/>
          </w:tcPr>
          <w:p w14:paraId="6A4A7476">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Vis_6_L</w:t>
            </w:r>
          </w:p>
        </w:tc>
        <w:tc>
          <w:tcPr>
            <w:tcW w:w="518" w:type="pct"/>
            <w:tcBorders>
              <w:top w:val="nil"/>
              <w:left w:val="nil"/>
              <w:bottom w:val="nil"/>
              <w:right w:val="nil"/>
            </w:tcBorders>
            <w:shd w:val="clear" w:color="auto" w:fill="auto"/>
            <w:noWrap/>
            <w:vAlign w:val="center"/>
          </w:tcPr>
          <w:p w14:paraId="3672CBF2">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3.14 </w:t>
            </w:r>
          </w:p>
        </w:tc>
        <w:tc>
          <w:tcPr>
            <w:tcW w:w="642" w:type="pct"/>
            <w:tcBorders>
              <w:top w:val="nil"/>
              <w:left w:val="nil"/>
              <w:bottom w:val="nil"/>
              <w:right w:val="nil"/>
            </w:tcBorders>
            <w:shd w:val="clear" w:color="auto" w:fill="auto"/>
            <w:noWrap/>
            <w:vAlign w:val="center"/>
          </w:tcPr>
          <w:p w14:paraId="32A798D4">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0.005 </w:t>
            </w:r>
          </w:p>
        </w:tc>
      </w:tr>
      <w:tr w14:paraId="47732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550" w:type="pct"/>
            <w:tcBorders>
              <w:top w:val="nil"/>
              <w:left w:val="nil"/>
              <w:bottom w:val="single" w:color="auto" w:sz="4" w:space="0"/>
              <w:right w:val="nil"/>
            </w:tcBorders>
            <w:shd w:val="clear" w:color="auto" w:fill="auto"/>
            <w:noWrap/>
            <w:vAlign w:val="center"/>
          </w:tcPr>
          <w:p w14:paraId="21DE2751">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w:t>
            </w:r>
          </w:p>
        </w:tc>
        <w:tc>
          <w:tcPr>
            <w:tcW w:w="794" w:type="pct"/>
            <w:vMerge w:val="continue"/>
            <w:tcBorders>
              <w:top w:val="nil"/>
              <w:left w:val="nil"/>
              <w:bottom w:val="single" w:color="auto" w:sz="4" w:space="0"/>
              <w:right w:val="nil"/>
            </w:tcBorders>
            <w:shd w:val="clear" w:color="auto" w:fill="auto"/>
            <w:noWrap/>
            <w:vAlign w:val="center"/>
          </w:tcPr>
          <w:p w14:paraId="72563604">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rPr>
                <w:rFonts w:hint="default" w:ascii="Times New Roman" w:hAnsi="Times New Roman" w:eastAsia="宋体" w:cs="Times New Roman"/>
                <w:i w:val="0"/>
                <w:iCs w:val="0"/>
                <w:color w:val="000000"/>
                <w:sz w:val="21"/>
                <w:szCs w:val="21"/>
                <w:u w:val="none"/>
              </w:rPr>
            </w:pPr>
          </w:p>
        </w:tc>
        <w:tc>
          <w:tcPr>
            <w:tcW w:w="2493" w:type="pct"/>
            <w:tcBorders>
              <w:top w:val="nil"/>
              <w:left w:val="nil"/>
              <w:bottom w:val="single" w:color="auto" w:sz="4" w:space="0"/>
              <w:right w:val="nil"/>
            </w:tcBorders>
            <w:shd w:val="clear" w:color="auto" w:fill="auto"/>
            <w:noWrap/>
            <w:vAlign w:val="center"/>
          </w:tcPr>
          <w:p w14:paraId="0E1A1592">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Vis_6_R</w:t>
            </w:r>
          </w:p>
        </w:tc>
        <w:tc>
          <w:tcPr>
            <w:tcW w:w="518" w:type="pct"/>
            <w:tcBorders>
              <w:top w:val="nil"/>
              <w:left w:val="nil"/>
              <w:bottom w:val="single" w:color="auto" w:sz="4" w:space="0"/>
              <w:right w:val="nil"/>
            </w:tcBorders>
            <w:shd w:val="clear" w:color="auto" w:fill="auto"/>
            <w:noWrap/>
            <w:vAlign w:val="center"/>
          </w:tcPr>
          <w:p w14:paraId="7AA4025D">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2.65 </w:t>
            </w:r>
          </w:p>
        </w:tc>
        <w:tc>
          <w:tcPr>
            <w:tcW w:w="642" w:type="pct"/>
            <w:tcBorders>
              <w:top w:val="nil"/>
              <w:left w:val="nil"/>
              <w:bottom w:val="single" w:color="auto" w:sz="4" w:space="0"/>
              <w:right w:val="nil"/>
            </w:tcBorders>
            <w:shd w:val="clear" w:color="auto" w:fill="auto"/>
            <w:noWrap/>
            <w:vAlign w:val="center"/>
          </w:tcPr>
          <w:p w14:paraId="1FBE4E5A">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0.02 </w:t>
            </w:r>
          </w:p>
        </w:tc>
      </w:tr>
    </w:tbl>
    <w:p w14:paraId="4D0F2C3F">
      <w:pPr>
        <w:keepNext w:val="0"/>
        <w:keepLines w:val="0"/>
        <w:pageBreakBefore w:val="0"/>
        <w:widowControl w:val="0"/>
        <w:numPr>
          <w:ilvl w:val="0"/>
          <w:numId w:val="0"/>
        </w:numPr>
        <w:kinsoku/>
        <w:wordWrap/>
        <w:overflowPunct/>
        <w:topLinePunct w:val="0"/>
        <w:autoSpaceDE/>
        <w:autoSpaceDN/>
        <w:bidi w:val="0"/>
        <w:adjustRightInd/>
        <w:snapToGrid/>
        <w:spacing w:line="288" w:lineRule="auto"/>
        <w:textAlignment w:val="auto"/>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Bold entries indicate the ROI with the largest absolute Z-value within each network (peak abnormal node). All p-values are FDR-corrected.</w:t>
      </w:r>
    </w:p>
    <w:p w14:paraId="42CAB3DC">
      <w:pPr>
        <w:keepNext w:val="0"/>
        <w:keepLines w:val="0"/>
        <w:pageBreakBefore w:val="0"/>
        <w:widowControl w:val="0"/>
        <w:numPr>
          <w:ilvl w:val="0"/>
          <w:numId w:val="0"/>
        </w:numPr>
        <w:kinsoku/>
        <w:wordWrap/>
        <w:overflowPunct/>
        <w:topLinePunct w:val="0"/>
        <w:autoSpaceDE/>
        <w:autoSpaceDN/>
        <w:bidi w:val="0"/>
        <w:adjustRightInd/>
        <w:snapToGrid/>
        <w:spacing w:line="288" w:lineRule="auto"/>
        <w:textAlignment w:val="auto"/>
        <w:rPr>
          <w:rFonts w:hint="default" w:ascii="Times New Roman" w:hAnsi="Times New Roman" w:eastAsia="宋体" w:cs="Times New Roman"/>
          <w:b/>
          <w:bCs/>
          <w:sz w:val="22"/>
          <w:szCs w:val="22"/>
          <w:lang w:val="en-US" w:eastAsia="zh-CN"/>
        </w:rPr>
      </w:pPr>
      <w:r>
        <w:rPr>
          <w:rFonts w:hint="default" w:ascii="Times New Roman" w:hAnsi="Times New Roman" w:eastAsia="宋体" w:cs="Times New Roman"/>
          <w:sz w:val="22"/>
          <w:szCs w:val="22"/>
          <w:lang w:val="en-US" w:eastAsia="zh-CN"/>
        </w:rPr>
        <w:t>Abbreviations. CON: control network; DMN: default mode network; DAN: dorsal attention network; LIM: limbic network; SAL: salience/ventral attention network; SOM: somatomotor network; VIS: visual network.</w:t>
      </w:r>
    </w:p>
    <w:p w14:paraId="28EAAE2F">
      <w:pPr>
        <w:rPr>
          <w:rFonts w:hint="default" w:ascii="Times New Roman" w:hAnsi="Times New Roman" w:cs="Times New Roman"/>
          <w:sz w:val="22"/>
          <w:szCs w:val="22"/>
        </w:rPr>
      </w:pPr>
      <w:r>
        <w:rPr>
          <w:rFonts w:hint="default" w:ascii="Times New Roman" w:hAnsi="Times New Roman" w:cs="Times New Roman"/>
          <w:sz w:val="22"/>
          <w:szCs w:val="22"/>
        </w:rPr>
        <w:br w:type="page"/>
      </w:r>
    </w:p>
    <w:p w14:paraId="7EA898D1">
      <w:pPr>
        <w:keepNext w:val="0"/>
        <w:keepLines w:val="0"/>
        <w:pageBreakBefore w:val="0"/>
        <w:widowControl w:val="0"/>
        <w:numPr>
          <w:ilvl w:val="0"/>
          <w:numId w:val="0"/>
        </w:numPr>
        <w:kinsoku/>
        <w:wordWrap/>
        <w:overflowPunct/>
        <w:topLinePunct w:val="0"/>
        <w:autoSpaceDE/>
        <w:autoSpaceDN/>
        <w:bidi w:val="0"/>
        <w:adjustRightInd/>
        <w:snapToGrid/>
        <w:spacing w:line="288" w:lineRule="auto"/>
        <w:textAlignment w:val="auto"/>
        <w:rPr>
          <w:rFonts w:hint="default" w:ascii="Times New Roman" w:hAnsi="Times New Roman" w:eastAsia="宋体" w:cs="Times New Roman"/>
          <w:b/>
          <w:bCs/>
          <w:sz w:val="22"/>
          <w:szCs w:val="22"/>
          <w:lang w:val="en-US" w:eastAsia="zh-CN"/>
        </w:rPr>
      </w:pPr>
      <w:r>
        <w:rPr>
          <w:rFonts w:hint="default" w:ascii="Times New Roman" w:hAnsi="Times New Roman" w:eastAsia="宋体" w:cs="Times New Roman"/>
          <w:b/>
          <w:bCs/>
          <w:sz w:val="22"/>
          <w:szCs w:val="22"/>
          <w:lang w:val="en-US" w:eastAsia="zh-CN"/>
        </w:rPr>
        <w:t>Table S2. Effects of theta-tACS on remaining microstate temporal parameters and transition probabilities.</w:t>
      </w:r>
    </w:p>
    <w:tbl>
      <w:tblPr>
        <w:tblStyle w:val="4"/>
        <w:tblW w:w="4860" w:type="pct"/>
        <w:tblInd w:w="12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149"/>
        <w:gridCol w:w="1818"/>
        <w:gridCol w:w="1811"/>
        <w:gridCol w:w="2505"/>
      </w:tblGrid>
      <w:tr w14:paraId="2857E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1297" w:type="pct"/>
            <w:tcBorders>
              <w:top w:val="single" w:color="000000" w:sz="4" w:space="0"/>
              <w:left w:val="nil"/>
              <w:bottom w:val="single" w:color="000000" w:sz="4" w:space="0"/>
              <w:right w:val="nil"/>
            </w:tcBorders>
            <w:shd w:val="clear" w:color="auto" w:fill="auto"/>
            <w:vAlign w:val="center"/>
          </w:tcPr>
          <w:p w14:paraId="2555316A">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Variable</w:t>
            </w:r>
          </w:p>
        </w:tc>
        <w:tc>
          <w:tcPr>
            <w:tcW w:w="1097" w:type="pct"/>
            <w:tcBorders>
              <w:top w:val="single" w:color="000000" w:sz="4" w:space="0"/>
              <w:left w:val="nil"/>
              <w:bottom w:val="single" w:color="000000" w:sz="4" w:space="0"/>
              <w:right w:val="nil"/>
            </w:tcBorders>
            <w:shd w:val="clear" w:color="auto" w:fill="auto"/>
            <w:vAlign w:val="center"/>
          </w:tcPr>
          <w:p w14:paraId="3FA4A658">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Active(</w:t>
            </w:r>
            <w:r>
              <w:rPr>
                <w:rFonts w:hint="default" w:ascii="Times New Roman" w:hAnsi="Times New Roman" w:eastAsia="宋体" w:cs="Times New Roman"/>
                <w:b/>
                <w:bCs/>
                <w:i/>
                <w:iCs/>
                <w:color w:val="000000"/>
                <w:kern w:val="0"/>
                <w:sz w:val="21"/>
                <w:szCs w:val="21"/>
                <w:u w:val="none"/>
                <w:lang w:val="en-US" w:eastAsia="zh-CN" w:bidi="ar"/>
              </w:rPr>
              <w:t xml:space="preserve">n </w:t>
            </w:r>
            <w:r>
              <w:rPr>
                <w:rFonts w:hint="default" w:ascii="Times New Roman" w:hAnsi="Times New Roman" w:eastAsia="宋体" w:cs="Times New Roman"/>
                <w:b/>
                <w:bCs/>
                <w:i w:val="0"/>
                <w:iCs w:val="0"/>
                <w:color w:val="000000"/>
                <w:kern w:val="0"/>
                <w:sz w:val="21"/>
                <w:szCs w:val="21"/>
                <w:u w:val="none"/>
                <w:lang w:val="en-US" w:eastAsia="zh-CN" w:bidi="ar"/>
              </w:rPr>
              <w:t>= 26)</w:t>
            </w:r>
            <w:r>
              <w:rPr>
                <w:rFonts w:hint="default" w:ascii="Times New Roman" w:hAnsi="Times New Roman" w:eastAsia="宋体" w:cs="Times New Roman"/>
                <w:b/>
                <w:bCs/>
                <w:i w:val="0"/>
                <w:iCs w:val="0"/>
                <w:color w:val="000000"/>
                <w:kern w:val="0"/>
                <w:sz w:val="21"/>
                <w:szCs w:val="21"/>
                <w:u w:val="none"/>
                <w:lang w:val="en-US" w:eastAsia="zh-CN" w:bidi="ar"/>
              </w:rPr>
              <w:br w:type="textWrapping"/>
            </w:r>
            <w:r>
              <w:rPr>
                <w:rFonts w:hint="default" w:ascii="Times New Roman" w:hAnsi="Times New Roman" w:eastAsia="宋体" w:cs="Times New Roman"/>
                <w:b/>
                <w:bCs/>
                <w:i w:val="0"/>
                <w:iCs w:val="0"/>
                <w:color w:val="000000"/>
                <w:kern w:val="0"/>
                <w:sz w:val="21"/>
                <w:szCs w:val="21"/>
                <w:u w:val="none"/>
                <w:lang w:val="en-US" w:eastAsia="zh-CN" w:bidi="ar"/>
              </w:rPr>
              <w:t>pre vs. post</w:t>
            </w:r>
          </w:p>
        </w:tc>
        <w:tc>
          <w:tcPr>
            <w:tcW w:w="1093" w:type="pct"/>
            <w:tcBorders>
              <w:top w:val="single" w:color="000000" w:sz="4" w:space="0"/>
              <w:left w:val="nil"/>
              <w:bottom w:val="single" w:color="000000" w:sz="4" w:space="0"/>
              <w:right w:val="nil"/>
            </w:tcBorders>
            <w:shd w:val="clear" w:color="auto" w:fill="auto"/>
            <w:vAlign w:val="center"/>
          </w:tcPr>
          <w:p w14:paraId="6B1DE171">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Sham (</w:t>
            </w:r>
            <w:r>
              <w:rPr>
                <w:rFonts w:hint="default" w:ascii="Times New Roman" w:hAnsi="Times New Roman" w:eastAsia="宋体" w:cs="Times New Roman"/>
                <w:b/>
                <w:bCs/>
                <w:i/>
                <w:iCs/>
                <w:color w:val="000000"/>
                <w:kern w:val="0"/>
                <w:sz w:val="21"/>
                <w:szCs w:val="21"/>
                <w:u w:val="none"/>
                <w:lang w:val="en-US" w:eastAsia="zh-CN" w:bidi="ar"/>
              </w:rPr>
              <w:t xml:space="preserve">n </w:t>
            </w:r>
            <w:r>
              <w:rPr>
                <w:rFonts w:hint="default" w:ascii="Times New Roman" w:hAnsi="Times New Roman" w:eastAsia="宋体" w:cs="Times New Roman"/>
                <w:b/>
                <w:bCs/>
                <w:i w:val="0"/>
                <w:iCs w:val="0"/>
                <w:color w:val="000000"/>
                <w:kern w:val="0"/>
                <w:sz w:val="21"/>
                <w:szCs w:val="21"/>
                <w:u w:val="none"/>
                <w:lang w:val="en-US" w:eastAsia="zh-CN" w:bidi="ar"/>
              </w:rPr>
              <w:t>= 21)</w:t>
            </w:r>
            <w:r>
              <w:rPr>
                <w:rFonts w:hint="default" w:ascii="Times New Roman" w:hAnsi="Times New Roman" w:eastAsia="宋体" w:cs="Times New Roman"/>
                <w:b/>
                <w:bCs/>
                <w:i w:val="0"/>
                <w:iCs w:val="0"/>
                <w:color w:val="000000"/>
                <w:kern w:val="0"/>
                <w:sz w:val="21"/>
                <w:szCs w:val="21"/>
                <w:u w:val="none"/>
                <w:lang w:val="en-US" w:eastAsia="zh-CN" w:bidi="ar"/>
              </w:rPr>
              <w:br w:type="textWrapping"/>
            </w:r>
            <w:r>
              <w:rPr>
                <w:rFonts w:hint="default" w:ascii="Times New Roman" w:hAnsi="Times New Roman" w:eastAsia="宋体" w:cs="Times New Roman"/>
                <w:b/>
                <w:bCs/>
                <w:i w:val="0"/>
                <w:iCs w:val="0"/>
                <w:color w:val="000000"/>
                <w:kern w:val="0"/>
                <w:sz w:val="21"/>
                <w:szCs w:val="21"/>
                <w:u w:val="none"/>
                <w:lang w:val="en-US" w:eastAsia="zh-CN" w:bidi="ar"/>
              </w:rPr>
              <w:t>pre vs. post</w:t>
            </w:r>
          </w:p>
        </w:tc>
        <w:tc>
          <w:tcPr>
            <w:tcW w:w="1511" w:type="pct"/>
            <w:tcBorders>
              <w:top w:val="single" w:color="000000" w:sz="4" w:space="0"/>
              <w:left w:val="nil"/>
              <w:bottom w:val="single" w:color="000000" w:sz="4" w:space="0"/>
              <w:right w:val="nil"/>
            </w:tcBorders>
            <w:shd w:val="clear" w:color="auto" w:fill="auto"/>
            <w:vAlign w:val="center"/>
          </w:tcPr>
          <w:p w14:paraId="2B6B00BC">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w:t>
            </w:r>
            <w:r>
              <w:rPr>
                <w:rStyle w:val="6"/>
                <w:rFonts w:hint="default" w:ascii="Times New Roman" w:hAnsi="Times New Roman" w:eastAsia="宋体" w:cs="Times New Roman"/>
                <w:sz w:val="21"/>
                <w:szCs w:val="21"/>
                <w:lang w:val="en-US" w:eastAsia="zh-CN" w:bidi="ar"/>
              </w:rPr>
              <w:t xml:space="preserve"> Active vs </w:t>
            </w:r>
            <w:r>
              <w:rPr>
                <w:rStyle w:val="7"/>
                <w:rFonts w:hint="default" w:ascii="Times New Roman" w:hAnsi="Times New Roman" w:cs="Times New Roman"/>
                <w:sz w:val="21"/>
                <w:szCs w:val="21"/>
                <w:lang w:val="en-US" w:eastAsia="zh-CN" w:bidi="ar"/>
              </w:rPr>
              <w:t>△</w:t>
            </w:r>
            <w:r>
              <w:rPr>
                <w:rStyle w:val="6"/>
                <w:rFonts w:hint="default" w:ascii="Times New Roman" w:hAnsi="Times New Roman" w:eastAsia="宋体" w:cs="Times New Roman"/>
                <w:sz w:val="21"/>
                <w:szCs w:val="21"/>
                <w:lang w:val="en-US" w:eastAsia="zh-CN" w:bidi="ar"/>
              </w:rPr>
              <w:t xml:space="preserve"> Sham</w:t>
            </w:r>
          </w:p>
        </w:tc>
      </w:tr>
      <w:tr w14:paraId="6A725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97" w:type="pct"/>
            <w:tcBorders>
              <w:top w:val="nil"/>
              <w:left w:val="nil"/>
              <w:bottom w:val="nil"/>
              <w:right w:val="nil"/>
            </w:tcBorders>
            <w:shd w:val="clear" w:color="auto" w:fill="auto"/>
            <w:vAlign w:val="center"/>
          </w:tcPr>
          <w:p w14:paraId="72BEAC9F">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Duration_MSA</w:t>
            </w:r>
          </w:p>
        </w:tc>
        <w:tc>
          <w:tcPr>
            <w:tcW w:w="1097" w:type="pct"/>
            <w:tcBorders>
              <w:top w:val="nil"/>
              <w:left w:val="nil"/>
              <w:bottom w:val="nil"/>
              <w:right w:val="nil"/>
            </w:tcBorders>
            <w:shd w:val="clear" w:color="auto" w:fill="auto"/>
            <w:noWrap/>
            <w:vAlign w:val="center"/>
          </w:tcPr>
          <w:p w14:paraId="21E13EEF">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0.22;</w:t>
            </w:r>
          </w:p>
          <w:p w14:paraId="70356E4A">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 = -1.89</w:t>
            </w:r>
          </w:p>
        </w:tc>
        <w:tc>
          <w:tcPr>
            <w:tcW w:w="1093" w:type="pct"/>
            <w:tcBorders>
              <w:top w:val="nil"/>
              <w:left w:val="nil"/>
              <w:bottom w:val="nil"/>
              <w:right w:val="nil"/>
            </w:tcBorders>
            <w:shd w:val="clear" w:color="auto" w:fill="auto"/>
            <w:noWrap/>
            <w:vAlign w:val="center"/>
          </w:tcPr>
          <w:p w14:paraId="5B5248BB">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0.91;</w:t>
            </w:r>
          </w:p>
          <w:p w14:paraId="41EEAB70">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Z = 0.23</w:t>
            </w:r>
          </w:p>
        </w:tc>
        <w:tc>
          <w:tcPr>
            <w:tcW w:w="1511" w:type="pct"/>
            <w:tcBorders>
              <w:top w:val="nil"/>
              <w:left w:val="nil"/>
              <w:bottom w:val="nil"/>
              <w:right w:val="nil"/>
            </w:tcBorders>
            <w:shd w:val="clear" w:color="auto" w:fill="auto"/>
            <w:noWrap/>
            <w:vAlign w:val="center"/>
          </w:tcPr>
          <w:p w14:paraId="42806C55">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0.32;</w:t>
            </w:r>
          </w:p>
          <w:p w14:paraId="34D2B5EF">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Z = 1.48</w:t>
            </w:r>
          </w:p>
        </w:tc>
      </w:tr>
      <w:tr w14:paraId="50162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97" w:type="pct"/>
            <w:tcBorders>
              <w:top w:val="nil"/>
              <w:left w:val="nil"/>
              <w:bottom w:val="nil"/>
              <w:right w:val="nil"/>
            </w:tcBorders>
            <w:shd w:val="clear" w:color="auto" w:fill="auto"/>
            <w:vAlign w:val="center"/>
          </w:tcPr>
          <w:p w14:paraId="25A33797">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Coverage_MSA</w:t>
            </w:r>
          </w:p>
        </w:tc>
        <w:tc>
          <w:tcPr>
            <w:tcW w:w="1097" w:type="pct"/>
            <w:tcBorders>
              <w:top w:val="nil"/>
              <w:left w:val="nil"/>
              <w:bottom w:val="nil"/>
              <w:right w:val="nil"/>
            </w:tcBorders>
            <w:shd w:val="clear" w:color="auto" w:fill="auto"/>
            <w:noWrap/>
            <w:vAlign w:val="center"/>
          </w:tcPr>
          <w:p w14:paraId="26E712AC">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0.22;</w:t>
            </w:r>
          </w:p>
          <w:p w14:paraId="3DE486B9">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Z = -1.77</w:t>
            </w:r>
          </w:p>
        </w:tc>
        <w:tc>
          <w:tcPr>
            <w:tcW w:w="1093" w:type="pct"/>
            <w:tcBorders>
              <w:top w:val="nil"/>
              <w:left w:val="nil"/>
              <w:bottom w:val="nil"/>
              <w:right w:val="nil"/>
            </w:tcBorders>
            <w:shd w:val="clear" w:color="auto" w:fill="auto"/>
            <w:noWrap/>
            <w:vAlign w:val="center"/>
          </w:tcPr>
          <w:p w14:paraId="5AC47FD0">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0.69;</w:t>
            </w:r>
          </w:p>
          <w:p w14:paraId="00DC6FB4">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Z = 0.76</w:t>
            </w:r>
          </w:p>
        </w:tc>
        <w:tc>
          <w:tcPr>
            <w:tcW w:w="1511" w:type="pct"/>
            <w:tcBorders>
              <w:top w:val="nil"/>
              <w:left w:val="nil"/>
              <w:bottom w:val="nil"/>
              <w:right w:val="nil"/>
            </w:tcBorders>
            <w:shd w:val="clear" w:color="auto" w:fill="auto"/>
            <w:noWrap/>
            <w:vAlign w:val="center"/>
          </w:tcPr>
          <w:p w14:paraId="454D3ABE">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0.22;</w:t>
            </w:r>
          </w:p>
          <w:p w14:paraId="696FCA20">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 = 1.88</w:t>
            </w:r>
          </w:p>
        </w:tc>
      </w:tr>
      <w:tr w14:paraId="7BD75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97" w:type="pct"/>
            <w:tcBorders>
              <w:top w:val="nil"/>
              <w:left w:val="nil"/>
              <w:bottom w:val="nil"/>
              <w:right w:val="nil"/>
            </w:tcBorders>
            <w:shd w:val="clear" w:color="auto" w:fill="auto"/>
            <w:vAlign w:val="center"/>
          </w:tcPr>
          <w:p w14:paraId="0866F2CE">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Occurrence_MSA</w:t>
            </w:r>
          </w:p>
        </w:tc>
        <w:tc>
          <w:tcPr>
            <w:tcW w:w="1097" w:type="pct"/>
            <w:tcBorders>
              <w:top w:val="nil"/>
              <w:left w:val="nil"/>
              <w:bottom w:val="nil"/>
              <w:right w:val="nil"/>
            </w:tcBorders>
            <w:shd w:val="clear" w:color="auto" w:fill="auto"/>
            <w:noWrap/>
            <w:vAlign w:val="center"/>
          </w:tcPr>
          <w:p w14:paraId="6BEC2927">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0.22;</w:t>
            </w:r>
          </w:p>
          <w:p w14:paraId="779C2EEA">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 = -1.94</w:t>
            </w:r>
          </w:p>
        </w:tc>
        <w:tc>
          <w:tcPr>
            <w:tcW w:w="1093" w:type="pct"/>
            <w:tcBorders>
              <w:top w:val="nil"/>
              <w:left w:val="nil"/>
              <w:bottom w:val="nil"/>
              <w:right w:val="nil"/>
            </w:tcBorders>
            <w:shd w:val="clear" w:color="auto" w:fill="auto"/>
            <w:noWrap/>
            <w:vAlign w:val="center"/>
          </w:tcPr>
          <w:p w14:paraId="6D07B596">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0.69;</w:t>
            </w:r>
          </w:p>
          <w:p w14:paraId="0C7501FA">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 = 0.99</w:t>
            </w:r>
          </w:p>
        </w:tc>
        <w:tc>
          <w:tcPr>
            <w:tcW w:w="1511" w:type="pct"/>
            <w:tcBorders>
              <w:top w:val="nil"/>
              <w:left w:val="nil"/>
              <w:bottom w:val="nil"/>
              <w:right w:val="nil"/>
            </w:tcBorders>
            <w:shd w:val="clear" w:color="auto" w:fill="auto"/>
            <w:noWrap/>
            <w:vAlign w:val="center"/>
          </w:tcPr>
          <w:p w14:paraId="3553D652">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0.24;</w:t>
            </w:r>
          </w:p>
          <w:p w14:paraId="391D6C03">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 = 1.73</w:t>
            </w:r>
          </w:p>
        </w:tc>
      </w:tr>
      <w:tr w14:paraId="557CF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97" w:type="pct"/>
            <w:tcBorders>
              <w:top w:val="nil"/>
              <w:left w:val="nil"/>
              <w:bottom w:val="nil"/>
              <w:right w:val="nil"/>
            </w:tcBorders>
            <w:shd w:val="clear" w:color="auto" w:fill="auto"/>
            <w:vAlign w:val="center"/>
          </w:tcPr>
          <w:p w14:paraId="4DF108B9">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Duration_MSB</w:t>
            </w:r>
          </w:p>
        </w:tc>
        <w:tc>
          <w:tcPr>
            <w:tcW w:w="1097" w:type="pct"/>
            <w:tcBorders>
              <w:top w:val="nil"/>
              <w:left w:val="nil"/>
              <w:bottom w:val="nil"/>
              <w:right w:val="nil"/>
            </w:tcBorders>
            <w:shd w:val="clear" w:color="auto" w:fill="auto"/>
            <w:noWrap/>
            <w:vAlign w:val="center"/>
          </w:tcPr>
          <w:p w14:paraId="4E2E2D2E">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0.44;</w:t>
            </w:r>
          </w:p>
          <w:p w14:paraId="5801FC3C">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 = 1.28</w:t>
            </w:r>
          </w:p>
        </w:tc>
        <w:tc>
          <w:tcPr>
            <w:tcW w:w="1093" w:type="pct"/>
            <w:tcBorders>
              <w:top w:val="nil"/>
              <w:left w:val="nil"/>
              <w:bottom w:val="nil"/>
              <w:right w:val="nil"/>
            </w:tcBorders>
            <w:shd w:val="clear" w:color="auto" w:fill="auto"/>
            <w:noWrap/>
            <w:vAlign w:val="center"/>
          </w:tcPr>
          <w:p w14:paraId="011308D6">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0.69;</w:t>
            </w:r>
          </w:p>
          <w:p w14:paraId="6EAEF9B9">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 = -1.58</w:t>
            </w:r>
          </w:p>
        </w:tc>
        <w:tc>
          <w:tcPr>
            <w:tcW w:w="1511" w:type="pct"/>
            <w:tcBorders>
              <w:top w:val="nil"/>
              <w:left w:val="nil"/>
              <w:bottom w:val="nil"/>
              <w:right w:val="nil"/>
            </w:tcBorders>
            <w:shd w:val="clear" w:color="auto" w:fill="auto"/>
            <w:noWrap/>
            <w:vAlign w:val="center"/>
          </w:tcPr>
          <w:p w14:paraId="0E8BB9D5">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0.22;</w:t>
            </w:r>
          </w:p>
          <w:p w14:paraId="7AF1E42E">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Z = -1.93</w:t>
            </w:r>
          </w:p>
        </w:tc>
      </w:tr>
      <w:tr w14:paraId="1A52D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97" w:type="pct"/>
            <w:tcBorders>
              <w:top w:val="nil"/>
              <w:left w:val="nil"/>
              <w:bottom w:val="nil"/>
              <w:right w:val="nil"/>
            </w:tcBorders>
            <w:shd w:val="clear" w:color="auto" w:fill="auto"/>
            <w:vAlign w:val="center"/>
          </w:tcPr>
          <w:p w14:paraId="58DD59FA">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Duration_MSC</w:t>
            </w:r>
          </w:p>
        </w:tc>
        <w:tc>
          <w:tcPr>
            <w:tcW w:w="1097" w:type="pct"/>
            <w:tcBorders>
              <w:top w:val="nil"/>
              <w:left w:val="nil"/>
              <w:bottom w:val="nil"/>
              <w:right w:val="nil"/>
            </w:tcBorders>
            <w:shd w:val="clear" w:color="auto" w:fill="auto"/>
            <w:noWrap/>
            <w:vAlign w:val="center"/>
          </w:tcPr>
          <w:p w14:paraId="773C5245">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0.59;</w:t>
            </w:r>
          </w:p>
          <w:p w14:paraId="3026385A">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Z = 0.60</w:t>
            </w:r>
          </w:p>
        </w:tc>
        <w:tc>
          <w:tcPr>
            <w:tcW w:w="1093" w:type="pct"/>
            <w:tcBorders>
              <w:top w:val="nil"/>
              <w:left w:val="nil"/>
              <w:bottom w:val="nil"/>
              <w:right w:val="nil"/>
            </w:tcBorders>
            <w:shd w:val="clear" w:color="auto" w:fill="auto"/>
            <w:noWrap/>
            <w:vAlign w:val="center"/>
          </w:tcPr>
          <w:p w14:paraId="48EF9214">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0.69;</w:t>
            </w:r>
          </w:p>
          <w:p w14:paraId="22CB96E9">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 = -0.64</w:t>
            </w:r>
          </w:p>
        </w:tc>
        <w:tc>
          <w:tcPr>
            <w:tcW w:w="1511" w:type="pct"/>
            <w:tcBorders>
              <w:top w:val="nil"/>
              <w:left w:val="nil"/>
              <w:bottom w:val="nil"/>
              <w:right w:val="nil"/>
            </w:tcBorders>
            <w:shd w:val="clear" w:color="auto" w:fill="auto"/>
            <w:noWrap/>
            <w:vAlign w:val="center"/>
          </w:tcPr>
          <w:p w14:paraId="29E5BC5D">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0.42;</w:t>
            </w:r>
          </w:p>
          <w:p w14:paraId="742E32BC">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Z = -0.90</w:t>
            </w:r>
          </w:p>
        </w:tc>
      </w:tr>
      <w:tr w14:paraId="7F2EE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97" w:type="pct"/>
            <w:tcBorders>
              <w:top w:val="nil"/>
              <w:left w:val="nil"/>
              <w:bottom w:val="nil"/>
              <w:right w:val="nil"/>
            </w:tcBorders>
            <w:shd w:val="clear" w:color="auto" w:fill="auto"/>
            <w:vAlign w:val="center"/>
          </w:tcPr>
          <w:p w14:paraId="2B241053">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Coverage_MSC</w:t>
            </w:r>
          </w:p>
        </w:tc>
        <w:tc>
          <w:tcPr>
            <w:tcW w:w="1097" w:type="pct"/>
            <w:tcBorders>
              <w:top w:val="nil"/>
              <w:left w:val="nil"/>
              <w:bottom w:val="nil"/>
              <w:right w:val="nil"/>
            </w:tcBorders>
            <w:shd w:val="clear" w:color="auto" w:fill="auto"/>
            <w:noWrap/>
            <w:vAlign w:val="center"/>
          </w:tcPr>
          <w:p w14:paraId="1AD276C5">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0.48;</w:t>
            </w:r>
          </w:p>
          <w:p w14:paraId="2E7CED0F">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 = 0.95</w:t>
            </w:r>
          </w:p>
        </w:tc>
        <w:tc>
          <w:tcPr>
            <w:tcW w:w="1093" w:type="pct"/>
            <w:tcBorders>
              <w:top w:val="nil"/>
              <w:left w:val="nil"/>
              <w:bottom w:val="nil"/>
              <w:right w:val="nil"/>
            </w:tcBorders>
            <w:shd w:val="clear" w:color="auto" w:fill="auto"/>
            <w:noWrap/>
            <w:vAlign w:val="center"/>
          </w:tcPr>
          <w:p w14:paraId="720CE127">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0.69;</w:t>
            </w:r>
          </w:p>
          <w:p w14:paraId="2D702AF5">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Z = -0.96</w:t>
            </w:r>
          </w:p>
        </w:tc>
        <w:tc>
          <w:tcPr>
            <w:tcW w:w="1511" w:type="pct"/>
            <w:tcBorders>
              <w:top w:val="nil"/>
              <w:left w:val="nil"/>
              <w:bottom w:val="nil"/>
              <w:right w:val="nil"/>
            </w:tcBorders>
            <w:shd w:val="clear" w:color="auto" w:fill="auto"/>
            <w:noWrap/>
            <w:vAlign w:val="center"/>
          </w:tcPr>
          <w:p w14:paraId="3247B76B">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0.32;</w:t>
            </w:r>
          </w:p>
          <w:p w14:paraId="217F72CE">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 = -1.13</w:t>
            </w:r>
          </w:p>
        </w:tc>
      </w:tr>
      <w:tr w14:paraId="44FCA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97" w:type="pct"/>
            <w:tcBorders>
              <w:top w:val="nil"/>
              <w:left w:val="nil"/>
              <w:bottom w:val="nil"/>
              <w:right w:val="nil"/>
            </w:tcBorders>
            <w:shd w:val="clear" w:color="auto" w:fill="auto"/>
            <w:vAlign w:val="center"/>
          </w:tcPr>
          <w:p w14:paraId="46571066">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Occurrence_MSC</w:t>
            </w:r>
          </w:p>
        </w:tc>
        <w:tc>
          <w:tcPr>
            <w:tcW w:w="1097" w:type="pct"/>
            <w:tcBorders>
              <w:top w:val="nil"/>
              <w:left w:val="nil"/>
              <w:bottom w:val="nil"/>
              <w:right w:val="nil"/>
            </w:tcBorders>
            <w:shd w:val="clear" w:color="auto" w:fill="auto"/>
            <w:noWrap/>
            <w:vAlign w:val="center"/>
          </w:tcPr>
          <w:p w14:paraId="19BE3C66">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0.49;</w:t>
            </w:r>
          </w:p>
          <w:p w14:paraId="05D0DE8C">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 = 1.00</w:t>
            </w:r>
          </w:p>
        </w:tc>
        <w:tc>
          <w:tcPr>
            <w:tcW w:w="1093" w:type="pct"/>
            <w:tcBorders>
              <w:top w:val="nil"/>
              <w:left w:val="nil"/>
              <w:bottom w:val="nil"/>
              <w:right w:val="nil"/>
            </w:tcBorders>
            <w:shd w:val="clear" w:color="auto" w:fill="auto"/>
            <w:noWrap/>
            <w:vAlign w:val="center"/>
          </w:tcPr>
          <w:p w14:paraId="1888E714">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0.69;</w:t>
            </w:r>
          </w:p>
          <w:p w14:paraId="433A4DE0">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Z = 0.75</w:t>
            </w:r>
          </w:p>
        </w:tc>
        <w:tc>
          <w:tcPr>
            <w:tcW w:w="1511" w:type="pct"/>
            <w:tcBorders>
              <w:top w:val="nil"/>
              <w:left w:val="nil"/>
              <w:bottom w:val="nil"/>
              <w:right w:val="nil"/>
            </w:tcBorders>
            <w:shd w:val="clear" w:color="auto" w:fill="auto"/>
            <w:noWrap/>
            <w:vAlign w:val="center"/>
          </w:tcPr>
          <w:p w14:paraId="2EBCABF9">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0.32;</w:t>
            </w:r>
          </w:p>
          <w:p w14:paraId="29F622FE">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Z = -1.16</w:t>
            </w:r>
          </w:p>
        </w:tc>
      </w:tr>
      <w:tr w14:paraId="3773B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97" w:type="pct"/>
            <w:tcBorders>
              <w:top w:val="nil"/>
              <w:left w:val="nil"/>
              <w:bottom w:val="nil"/>
              <w:right w:val="nil"/>
            </w:tcBorders>
            <w:shd w:val="clear" w:color="auto" w:fill="auto"/>
            <w:vAlign w:val="center"/>
          </w:tcPr>
          <w:p w14:paraId="37B83F26">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Duration_MSD</w:t>
            </w:r>
          </w:p>
        </w:tc>
        <w:tc>
          <w:tcPr>
            <w:tcW w:w="1097" w:type="pct"/>
            <w:tcBorders>
              <w:top w:val="nil"/>
              <w:left w:val="nil"/>
              <w:bottom w:val="nil"/>
              <w:right w:val="nil"/>
            </w:tcBorders>
            <w:shd w:val="clear" w:color="auto" w:fill="auto"/>
            <w:noWrap/>
            <w:vAlign w:val="center"/>
          </w:tcPr>
          <w:p w14:paraId="70B45E53">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0.49;</w:t>
            </w:r>
          </w:p>
          <w:p w14:paraId="548596A4">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Z = -1.16</w:t>
            </w:r>
          </w:p>
        </w:tc>
        <w:tc>
          <w:tcPr>
            <w:tcW w:w="1093" w:type="pct"/>
            <w:tcBorders>
              <w:top w:val="nil"/>
              <w:left w:val="nil"/>
              <w:bottom w:val="nil"/>
              <w:right w:val="nil"/>
            </w:tcBorders>
            <w:shd w:val="clear" w:color="auto" w:fill="auto"/>
            <w:noWrap/>
            <w:vAlign w:val="center"/>
          </w:tcPr>
          <w:p w14:paraId="3DA685B5">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0.93;</w:t>
            </w:r>
          </w:p>
          <w:p w14:paraId="0BA04F2D">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Z = 0.09</w:t>
            </w:r>
          </w:p>
        </w:tc>
        <w:tc>
          <w:tcPr>
            <w:tcW w:w="1511" w:type="pct"/>
            <w:tcBorders>
              <w:top w:val="nil"/>
              <w:left w:val="nil"/>
              <w:bottom w:val="nil"/>
              <w:right w:val="nil"/>
            </w:tcBorders>
            <w:shd w:val="clear" w:color="auto" w:fill="auto"/>
            <w:noWrap/>
            <w:vAlign w:val="center"/>
          </w:tcPr>
          <w:p w14:paraId="4F5597AC">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0.42;</w:t>
            </w:r>
          </w:p>
          <w:p w14:paraId="7035C9BC">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Z = 0.88</w:t>
            </w:r>
          </w:p>
        </w:tc>
      </w:tr>
      <w:tr w14:paraId="0675B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97" w:type="pct"/>
            <w:tcBorders>
              <w:top w:val="nil"/>
              <w:left w:val="nil"/>
              <w:bottom w:val="nil"/>
              <w:right w:val="nil"/>
            </w:tcBorders>
            <w:shd w:val="clear" w:color="auto" w:fill="auto"/>
            <w:vAlign w:val="center"/>
          </w:tcPr>
          <w:p w14:paraId="720D949D">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Coverage_MSD</w:t>
            </w:r>
          </w:p>
        </w:tc>
        <w:tc>
          <w:tcPr>
            <w:tcW w:w="1097" w:type="pct"/>
            <w:tcBorders>
              <w:top w:val="nil"/>
              <w:left w:val="nil"/>
              <w:bottom w:val="nil"/>
              <w:right w:val="nil"/>
            </w:tcBorders>
            <w:shd w:val="clear" w:color="auto" w:fill="auto"/>
            <w:noWrap/>
            <w:vAlign w:val="center"/>
          </w:tcPr>
          <w:p w14:paraId="68C2BA7A">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0.49;</w:t>
            </w:r>
          </w:p>
          <w:p w14:paraId="54D2D3D8">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 = -1.00</w:t>
            </w:r>
          </w:p>
        </w:tc>
        <w:tc>
          <w:tcPr>
            <w:tcW w:w="1093" w:type="pct"/>
            <w:tcBorders>
              <w:top w:val="nil"/>
              <w:left w:val="nil"/>
              <w:bottom w:val="nil"/>
              <w:right w:val="nil"/>
            </w:tcBorders>
            <w:shd w:val="clear" w:color="auto" w:fill="auto"/>
            <w:noWrap/>
            <w:vAlign w:val="center"/>
          </w:tcPr>
          <w:p w14:paraId="657A9395">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0.69;</w:t>
            </w:r>
          </w:p>
          <w:p w14:paraId="6B697D9E">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Z = 0.75</w:t>
            </w:r>
          </w:p>
        </w:tc>
        <w:tc>
          <w:tcPr>
            <w:tcW w:w="1511" w:type="pct"/>
            <w:tcBorders>
              <w:top w:val="nil"/>
              <w:left w:val="nil"/>
              <w:bottom w:val="nil"/>
              <w:right w:val="nil"/>
            </w:tcBorders>
            <w:shd w:val="clear" w:color="auto" w:fill="auto"/>
            <w:noWrap/>
            <w:vAlign w:val="center"/>
          </w:tcPr>
          <w:p w14:paraId="7AD443BC">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0.32;</w:t>
            </w:r>
          </w:p>
          <w:p w14:paraId="771C417A">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 = 1.24</w:t>
            </w:r>
          </w:p>
        </w:tc>
      </w:tr>
      <w:tr w14:paraId="21083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97" w:type="pct"/>
            <w:tcBorders>
              <w:top w:val="nil"/>
              <w:left w:val="nil"/>
              <w:bottom w:val="nil"/>
              <w:right w:val="nil"/>
            </w:tcBorders>
            <w:shd w:val="clear" w:color="auto" w:fill="auto"/>
            <w:vAlign w:val="center"/>
          </w:tcPr>
          <w:p w14:paraId="2681FE81">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Occurrence_MSD</w:t>
            </w:r>
          </w:p>
        </w:tc>
        <w:tc>
          <w:tcPr>
            <w:tcW w:w="1097" w:type="pct"/>
            <w:tcBorders>
              <w:top w:val="nil"/>
              <w:left w:val="nil"/>
              <w:bottom w:val="nil"/>
              <w:right w:val="nil"/>
            </w:tcBorders>
            <w:shd w:val="clear" w:color="auto" w:fill="auto"/>
            <w:noWrap/>
            <w:vAlign w:val="center"/>
          </w:tcPr>
          <w:p w14:paraId="1E079792">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p=0.49;</w:t>
            </w:r>
          </w:p>
          <w:p w14:paraId="58C9E1C2">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 = -0.90</w:t>
            </w:r>
          </w:p>
        </w:tc>
        <w:tc>
          <w:tcPr>
            <w:tcW w:w="1093" w:type="pct"/>
            <w:tcBorders>
              <w:top w:val="nil"/>
              <w:left w:val="nil"/>
              <w:bottom w:val="nil"/>
              <w:right w:val="nil"/>
            </w:tcBorders>
            <w:shd w:val="clear" w:color="auto" w:fill="auto"/>
            <w:noWrap/>
            <w:vAlign w:val="center"/>
          </w:tcPr>
          <w:p w14:paraId="11768536">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p=0.69;</w:t>
            </w:r>
          </w:p>
          <w:p w14:paraId="292B3699">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 = 1.13</w:t>
            </w:r>
          </w:p>
        </w:tc>
        <w:tc>
          <w:tcPr>
            <w:tcW w:w="1511" w:type="pct"/>
            <w:tcBorders>
              <w:top w:val="nil"/>
              <w:left w:val="nil"/>
              <w:bottom w:val="nil"/>
              <w:right w:val="nil"/>
            </w:tcBorders>
            <w:shd w:val="clear" w:color="auto" w:fill="auto"/>
            <w:noWrap/>
            <w:vAlign w:val="center"/>
          </w:tcPr>
          <w:p w14:paraId="3B614C6E">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p=0.32;</w:t>
            </w:r>
          </w:p>
          <w:p w14:paraId="2D640704">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Z = 1.33</w:t>
            </w:r>
          </w:p>
        </w:tc>
      </w:tr>
      <w:tr w14:paraId="032F8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97" w:type="pct"/>
            <w:tcBorders>
              <w:top w:val="nil"/>
              <w:left w:val="nil"/>
              <w:bottom w:val="nil"/>
              <w:right w:val="nil"/>
            </w:tcBorders>
            <w:shd w:val="clear" w:color="auto" w:fill="auto"/>
            <w:vAlign w:val="center"/>
          </w:tcPr>
          <w:p w14:paraId="4EC728C3">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TP_MSA_to_MSB</w:t>
            </w:r>
          </w:p>
        </w:tc>
        <w:tc>
          <w:tcPr>
            <w:tcW w:w="1097" w:type="pct"/>
            <w:tcBorders>
              <w:top w:val="nil"/>
              <w:left w:val="nil"/>
              <w:bottom w:val="nil"/>
              <w:right w:val="nil"/>
            </w:tcBorders>
            <w:shd w:val="clear" w:color="auto" w:fill="auto"/>
            <w:noWrap/>
            <w:vAlign w:val="center"/>
          </w:tcPr>
          <w:p w14:paraId="21B08C4C">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0.49;</w:t>
            </w:r>
          </w:p>
          <w:p w14:paraId="7AF2C58F">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 -1.10</w:t>
            </w:r>
          </w:p>
        </w:tc>
        <w:tc>
          <w:tcPr>
            <w:tcW w:w="1093" w:type="pct"/>
            <w:tcBorders>
              <w:top w:val="nil"/>
              <w:left w:val="nil"/>
              <w:bottom w:val="nil"/>
              <w:right w:val="nil"/>
            </w:tcBorders>
            <w:shd w:val="clear" w:color="auto" w:fill="auto"/>
            <w:noWrap/>
            <w:vAlign w:val="center"/>
          </w:tcPr>
          <w:p w14:paraId="78437A7B">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0.69;</w:t>
            </w:r>
          </w:p>
          <w:p w14:paraId="0EB735CC">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Z=0.92</w:t>
            </w:r>
          </w:p>
        </w:tc>
        <w:tc>
          <w:tcPr>
            <w:tcW w:w="1511" w:type="pct"/>
            <w:tcBorders>
              <w:top w:val="nil"/>
              <w:left w:val="nil"/>
              <w:bottom w:val="nil"/>
              <w:right w:val="nil"/>
            </w:tcBorders>
            <w:shd w:val="clear" w:color="auto" w:fill="auto"/>
            <w:noWrap/>
            <w:vAlign w:val="center"/>
          </w:tcPr>
          <w:p w14:paraId="278F8F3F">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0.32;</w:t>
            </w:r>
          </w:p>
          <w:p w14:paraId="0C6BCA32">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Z=1.33</w:t>
            </w:r>
          </w:p>
        </w:tc>
      </w:tr>
      <w:tr w14:paraId="5CD1D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97" w:type="pct"/>
            <w:tcBorders>
              <w:top w:val="nil"/>
              <w:left w:val="nil"/>
              <w:bottom w:val="nil"/>
              <w:right w:val="nil"/>
            </w:tcBorders>
            <w:shd w:val="clear" w:color="auto" w:fill="auto"/>
            <w:vAlign w:val="center"/>
          </w:tcPr>
          <w:p w14:paraId="1233B56D">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TP_MSA_to_MSC</w:t>
            </w:r>
          </w:p>
        </w:tc>
        <w:tc>
          <w:tcPr>
            <w:tcW w:w="1097" w:type="pct"/>
            <w:tcBorders>
              <w:top w:val="nil"/>
              <w:left w:val="nil"/>
              <w:bottom w:val="nil"/>
              <w:right w:val="nil"/>
            </w:tcBorders>
            <w:shd w:val="clear" w:color="auto" w:fill="auto"/>
            <w:noWrap/>
            <w:vAlign w:val="center"/>
          </w:tcPr>
          <w:p w14:paraId="3171F5C2">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0.22;</w:t>
            </w:r>
          </w:p>
          <w:p w14:paraId="47321751">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Z = -1.77</w:t>
            </w:r>
          </w:p>
        </w:tc>
        <w:tc>
          <w:tcPr>
            <w:tcW w:w="1093" w:type="pct"/>
            <w:tcBorders>
              <w:top w:val="nil"/>
              <w:left w:val="nil"/>
              <w:bottom w:val="nil"/>
              <w:right w:val="nil"/>
            </w:tcBorders>
            <w:shd w:val="clear" w:color="auto" w:fill="auto"/>
            <w:noWrap/>
            <w:vAlign w:val="center"/>
          </w:tcPr>
          <w:p w14:paraId="08C7D519">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0.87;</w:t>
            </w:r>
          </w:p>
          <w:p w14:paraId="5E448254">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 = 0.33</w:t>
            </w:r>
          </w:p>
        </w:tc>
        <w:tc>
          <w:tcPr>
            <w:tcW w:w="1511" w:type="pct"/>
            <w:tcBorders>
              <w:top w:val="nil"/>
              <w:left w:val="nil"/>
              <w:bottom w:val="nil"/>
              <w:right w:val="nil"/>
            </w:tcBorders>
            <w:shd w:val="clear" w:color="auto" w:fill="auto"/>
            <w:noWrap/>
            <w:vAlign w:val="center"/>
          </w:tcPr>
          <w:p w14:paraId="1A83B28F">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0.32;</w:t>
            </w:r>
          </w:p>
          <w:p w14:paraId="0B7245BF">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Z = 1.46</w:t>
            </w:r>
          </w:p>
        </w:tc>
      </w:tr>
      <w:tr w14:paraId="746D5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97" w:type="pct"/>
            <w:tcBorders>
              <w:top w:val="nil"/>
              <w:left w:val="nil"/>
              <w:bottom w:val="nil"/>
              <w:right w:val="nil"/>
            </w:tcBorders>
            <w:shd w:val="clear" w:color="auto" w:fill="auto"/>
            <w:vAlign w:val="center"/>
          </w:tcPr>
          <w:p w14:paraId="69652219">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TP_MSA_to_MSD</w:t>
            </w:r>
          </w:p>
        </w:tc>
        <w:tc>
          <w:tcPr>
            <w:tcW w:w="1097" w:type="pct"/>
            <w:tcBorders>
              <w:top w:val="nil"/>
              <w:left w:val="nil"/>
              <w:bottom w:val="nil"/>
              <w:right w:val="nil"/>
            </w:tcBorders>
            <w:shd w:val="clear" w:color="auto" w:fill="auto"/>
            <w:noWrap/>
            <w:vAlign w:val="center"/>
          </w:tcPr>
          <w:p w14:paraId="32DCAAE4">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lang w:val="en-US" w:eastAsia="zh-CN" w:bidi="ar"/>
              </w:rPr>
            </w:pPr>
            <w:r>
              <w:rPr>
                <w:rFonts w:hint="default" w:ascii="Times New Roman" w:hAnsi="Times New Roman" w:eastAsia="宋体" w:cs="Times New Roman"/>
                <w:b/>
                <w:bCs/>
                <w:i/>
                <w:iCs/>
                <w:color w:val="000000"/>
                <w:kern w:val="0"/>
                <w:sz w:val="21"/>
                <w:szCs w:val="21"/>
                <w:u w:val="none"/>
                <w:lang w:val="en-US" w:eastAsia="zh-CN" w:bidi="ar"/>
              </w:rPr>
              <w:t>p</w:t>
            </w:r>
            <w:r>
              <w:rPr>
                <w:rFonts w:hint="default" w:ascii="Times New Roman" w:hAnsi="Times New Roman" w:eastAsia="宋体" w:cs="Times New Roman"/>
                <w:b/>
                <w:bCs/>
                <w:i w:val="0"/>
                <w:iCs w:val="0"/>
                <w:color w:val="000000"/>
                <w:kern w:val="0"/>
                <w:sz w:val="21"/>
                <w:szCs w:val="21"/>
                <w:u w:val="none"/>
                <w:lang w:val="en-US" w:eastAsia="zh-CN" w:bidi="ar"/>
              </w:rPr>
              <w:t xml:space="preserve"> = 0.01;</w:t>
            </w:r>
          </w:p>
          <w:p w14:paraId="7FFDF6EF">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Z = -3.54</w:t>
            </w:r>
          </w:p>
        </w:tc>
        <w:tc>
          <w:tcPr>
            <w:tcW w:w="1093" w:type="pct"/>
            <w:tcBorders>
              <w:top w:val="nil"/>
              <w:left w:val="nil"/>
              <w:bottom w:val="nil"/>
              <w:right w:val="nil"/>
            </w:tcBorders>
            <w:shd w:val="clear" w:color="auto" w:fill="auto"/>
            <w:noWrap/>
            <w:vAlign w:val="center"/>
          </w:tcPr>
          <w:p w14:paraId="39C46AB2">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0.69;</w:t>
            </w:r>
          </w:p>
          <w:p w14:paraId="7C51AD5E">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Z = 1.48</w:t>
            </w:r>
          </w:p>
        </w:tc>
        <w:tc>
          <w:tcPr>
            <w:tcW w:w="1511" w:type="pct"/>
            <w:tcBorders>
              <w:top w:val="nil"/>
              <w:left w:val="nil"/>
              <w:bottom w:val="nil"/>
              <w:right w:val="nil"/>
            </w:tcBorders>
            <w:shd w:val="clear" w:color="auto" w:fill="auto"/>
            <w:noWrap/>
            <w:vAlign w:val="center"/>
          </w:tcPr>
          <w:p w14:paraId="75516BA9">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lang w:val="en-US" w:eastAsia="zh-CN" w:bidi="ar"/>
              </w:rPr>
            </w:pPr>
            <w:r>
              <w:rPr>
                <w:rFonts w:hint="default" w:ascii="Times New Roman" w:hAnsi="Times New Roman" w:eastAsia="宋体" w:cs="Times New Roman"/>
                <w:b/>
                <w:bCs/>
                <w:i/>
                <w:iCs/>
                <w:color w:val="000000"/>
                <w:kern w:val="0"/>
                <w:sz w:val="21"/>
                <w:szCs w:val="21"/>
                <w:u w:val="none"/>
                <w:lang w:val="en-US" w:eastAsia="zh-CN" w:bidi="ar"/>
              </w:rPr>
              <w:t>p</w:t>
            </w:r>
            <w:r>
              <w:rPr>
                <w:rFonts w:hint="default" w:ascii="Times New Roman" w:hAnsi="Times New Roman" w:eastAsia="宋体" w:cs="Times New Roman"/>
                <w:b/>
                <w:bCs/>
                <w:i w:val="0"/>
                <w:iCs w:val="0"/>
                <w:color w:val="000000"/>
                <w:kern w:val="0"/>
                <w:sz w:val="21"/>
                <w:szCs w:val="21"/>
                <w:u w:val="none"/>
                <w:lang w:val="en-US" w:eastAsia="zh-CN" w:bidi="ar"/>
              </w:rPr>
              <w:t xml:space="preserve"> = 0.02;</w:t>
            </w:r>
          </w:p>
          <w:p w14:paraId="0F07AE44">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b/>
                <w:bCs/>
                <w:i w:val="0"/>
                <w:iCs w:val="0"/>
                <w:color w:val="000000"/>
                <w:kern w:val="0"/>
                <w:sz w:val="21"/>
                <w:szCs w:val="21"/>
                <w:u w:val="none"/>
                <w:lang w:val="en-US" w:eastAsia="zh-CN" w:bidi="ar"/>
              </w:rPr>
              <w:t>Z = 3.47</w:t>
            </w:r>
          </w:p>
        </w:tc>
      </w:tr>
      <w:tr w14:paraId="6A2B0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97" w:type="pct"/>
            <w:tcBorders>
              <w:top w:val="nil"/>
              <w:left w:val="nil"/>
              <w:bottom w:val="nil"/>
              <w:right w:val="nil"/>
            </w:tcBorders>
            <w:shd w:val="clear" w:color="auto" w:fill="auto"/>
            <w:vAlign w:val="center"/>
          </w:tcPr>
          <w:p w14:paraId="30D2F204">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TP_MSB_to_MSA</w:t>
            </w:r>
          </w:p>
        </w:tc>
        <w:tc>
          <w:tcPr>
            <w:tcW w:w="1097" w:type="pct"/>
            <w:tcBorders>
              <w:top w:val="nil"/>
              <w:left w:val="nil"/>
              <w:bottom w:val="nil"/>
              <w:right w:val="nil"/>
            </w:tcBorders>
            <w:shd w:val="clear" w:color="auto" w:fill="auto"/>
            <w:noWrap/>
            <w:vAlign w:val="center"/>
          </w:tcPr>
          <w:p w14:paraId="27625982">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0.22;</w:t>
            </w:r>
          </w:p>
          <w:p w14:paraId="5E27D46A">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Z = 1.77</w:t>
            </w:r>
          </w:p>
        </w:tc>
        <w:tc>
          <w:tcPr>
            <w:tcW w:w="1093" w:type="pct"/>
            <w:tcBorders>
              <w:top w:val="nil"/>
              <w:left w:val="nil"/>
              <w:bottom w:val="nil"/>
              <w:right w:val="nil"/>
            </w:tcBorders>
            <w:shd w:val="clear" w:color="auto" w:fill="auto"/>
            <w:noWrap/>
            <w:vAlign w:val="center"/>
          </w:tcPr>
          <w:p w14:paraId="4986A8F5">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0.86;</w:t>
            </w:r>
          </w:p>
          <w:p w14:paraId="3DAB069B">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 = -0.40</w:t>
            </w:r>
          </w:p>
        </w:tc>
        <w:tc>
          <w:tcPr>
            <w:tcW w:w="1511" w:type="pct"/>
            <w:tcBorders>
              <w:top w:val="nil"/>
              <w:left w:val="nil"/>
              <w:bottom w:val="nil"/>
              <w:right w:val="nil"/>
            </w:tcBorders>
            <w:shd w:val="clear" w:color="auto" w:fill="auto"/>
            <w:noWrap/>
            <w:vAlign w:val="center"/>
          </w:tcPr>
          <w:p w14:paraId="26C4E547">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0.22;</w:t>
            </w:r>
          </w:p>
          <w:p w14:paraId="6EC4A435">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 = -1.84</w:t>
            </w:r>
          </w:p>
        </w:tc>
      </w:tr>
      <w:tr w14:paraId="78112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97" w:type="pct"/>
            <w:tcBorders>
              <w:top w:val="nil"/>
              <w:left w:val="nil"/>
              <w:bottom w:val="nil"/>
              <w:right w:val="nil"/>
            </w:tcBorders>
            <w:shd w:val="clear" w:color="auto" w:fill="auto"/>
            <w:vAlign w:val="center"/>
          </w:tcPr>
          <w:p w14:paraId="4DDFEA73">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TP_MSC_to_MSA</w:t>
            </w:r>
          </w:p>
        </w:tc>
        <w:tc>
          <w:tcPr>
            <w:tcW w:w="1097" w:type="pct"/>
            <w:tcBorders>
              <w:top w:val="nil"/>
              <w:left w:val="nil"/>
              <w:bottom w:val="nil"/>
              <w:right w:val="nil"/>
            </w:tcBorders>
            <w:shd w:val="clear" w:color="auto" w:fill="auto"/>
            <w:noWrap/>
            <w:vAlign w:val="center"/>
          </w:tcPr>
          <w:p w14:paraId="1FE3245D">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0.59;</w:t>
            </w:r>
          </w:p>
          <w:p w14:paraId="1ED0FCA0">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Z = -0.55</w:t>
            </w:r>
          </w:p>
        </w:tc>
        <w:tc>
          <w:tcPr>
            <w:tcW w:w="1093" w:type="pct"/>
            <w:tcBorders>
              <w:top w:val="nil"/>
              <w:left w:val="nil"/>
              <w:bottom w:val="nil"/>
              <w:right w:val="nil"/>
            </w:tcBorders>
            <w:shd w:val="clear" w:color="auto" w:fill="auto"/>
            <w:noWrap/>
            <w:vAlign w:val="center"/>
          </w:tcPr>
          <w:p w14:paraId="74563D52">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0.93;</w:t>
            </w:r>
          </w:p>
          <w:p w14:paraId="02383723">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 = -0.12</w:t>
            </w:r>
          </w:p>
        </w:tc>
        <w:tc>
          <w:tcPr>
            <w:tcW w:w="1511" w:type="pct"/>
            <w:tcBorders>
              <w:top w:val="nil"/>
              <w:left w:val="nil"/>
              <w:bottom w:val="nil"/>
              <w:right w:val="nil"/>
            </w:tcBorders>
            <w:shd w:val="clear" w:color="auto" w:fill="auto"/>
            <w:noWrap/>
            <w:vAlign w:val="center"/>
          </w:tcPr>
          <w:p w14:paraId="5C9C82E1">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0.90;</w:t>
            </w:r>
          </w:p>
          <w:p w14:paraId="5B73E2FC">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Z = 0.13</w:t>
            </w:r>
          </w:p>
        </w:tc>
      </w:tr>
      <w:tr w14:paraId="287EA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97" w:type="pct"/>
            <w:tcBorders>
              <w:top w:val="nil"/>
              <w:left w:val="nil"/>
              <w:bottom w:val="nil"/>
              <w:right w:val="nil"/>
            </w:tcBorders>
            <w:shd w:val="clear" w:color="auto" w:fill="auto"/>
            <w:vAlign w:val="center"/>
          </w:tcPr>
          <w:p w14:paraId="6199F2B0">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TP_MSC_to_MSB</w:t>
            </w:r>
          </w:p>
        </w:tc>
        <w:tc>
          <w:tcPr>
            <w:tcW w:w="1097" w:type="pct"/>
            <w:tcBorders>
              <w:top w:val="nil"/>
              <w:left w:val="nil"/>
              <w:bottom w:val="nil"/>
              <w:right w:val="nil"/>
            </w:tcBorders>
            <w:shd w:val="clear" w:color="auto" w:fill="auto"/>
            <w:noWrap/>
            <w:vAlign w:val="center"/>
          </w:tcPr>
          <w:p w14:paraId="0BCF7F00">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0.22;</w:t>
            </w:r>
          </w:p>
          <w:p w14:paraId="51184CB9">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 = 1.99</w:t>
            </w:r>
          </w:p>
        </w:tc>
        <w:tc>
          <w:tcPr>
            <w:tcW w:w="1093" w:type="pct"/>
            <w:tcBorders>
              <w:top w:val="nil"/>
              <w:left w:val="nil"/>
              <w:bottom w:val="nil"/>
              <w:right w:val="nil"/>
            </w:tcBorders>
            <w:shd w:val="clear" w:color="auto" w:fill="auto"/>
            <w:noWrap/>
            <w:vAlign w:val="center"/>
          </w:tcPr>
          <w:p w14:paraId="5043A41C">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0.60;</w:t>
            </w:r>
          </w:p>
          <w:p w14:paraId="5181F49F">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 = -2.17</w:t>
            </w:r>
          </w:p>
        </w:tc>
        <w:tc>
          <w:tcPr>
            <w:tcW w:w="1511" w:type="pct"/>
            <w:tcBorders>
              <w:top w:val="nil"/>
              <w:left w:val="nil"/>
              <w:bottom w:val="nil"/>
              <w:right w:val="nil"/>
            </w:tcBorders>
            <w:shd w:val="clear" w:color="auto" w:fill="auto"/>
            <w:noWrap/>
            <w:vAlign w:val="center"/>
          </w:tcPr>
          <w:p w14:paraId="23B98669">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1"/>
                <w:szCs w:val="21"/>
                <w:u w:val="none"/>
                <w:lang w:val="en-US" w:eastAsia="zh-CN" w:bidi="ar"/>
              </w:rPr>
            </w:pPr>
            <w:r>
              <w:rPr>
                <w:rFonts w:hint="default" w:ascii="Times New Roman" w:hAnsi="Times New Roman" w:eastAsia="宋体" w:cs="Times New Roman"/>
                <w:b/>
                <w:bCs/>
                <w:i/>
                <w:iCs/>
                <w:color w:val="000000"/>
                <w:kern w:val="0"/>
                <w:sz w:val="21"/>
                <w:szCs w:val="21"/>
                <w:u w:val="none"/>
                <w:lang w:val="en-US" w:eastAsia="zh-CN" w:bidi="ar"/>
              </w:rPr>
              <w:t>p</w:t>
            </w:r>
            <w:r>
              <w:rPr>
                <w:rFonts w:hint="default" w:ascii="Times New Roman" w:hAnsi="Times New Roman" w:eastAsia="宋体" w:cs="Times New Roman"/>
                <w:b/>
                <w:bCs/>
                <w:i w:val="0"/>
                <w:iCs w:val="0"/>
                <w:color w:val="000000"/>
                <w:kern w:val="0"/>
                <w:sz w:val="21"/>
                <w:szCs w:val="21"/>
                <w:u w:val="none"/>
                <w:lang w:val="en-US" w:eastAsia="zh-CN" w:bidi="ar"/>
              </w:rPr>
              <w:t xml:space="preserve"> = 0.02;</w:t>
            </w:r>
          </w:p>
          <w:p w14:paraId="335660CE">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Z = -3.06</w:t>
            </w:r>
          </w:p>
        </w:tc>
      </w:tr>
      <w:tr w14:paraId="5C1E9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97" w:type="pct"/>
            <w:tcBorders>
              <w:top w:val="nil"/>
              <w:left w:val="nil"/>
              <w:bottom w:val="nil"/>
              <w:right w:val="nil"/>
            </w:tcBorders>
            <w:shd w:val="clear" w:color="auto" w:fill="auto"/>
            <w:vAlign w:val="center"/>
          </w:tcPr>
          <w:p w14:paraId="3E61C28E">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TP_MSC_to_MSD</w:t>
            </w:r>
          </w:p>
        </w:tc>
        <w:tc>
          <w:tcPr>
            <w:tcW w:w="1097" w:type="pct"/>
            <w:tcBorders>
              <w:top w:val="nil"/>
              <w:left w:val="nil"/>
              <w:bottom w:val="nil"/>
              <w:right w:val="nil"/>
            </w:tcBorders>
            <w:shd w:val="clear" w:color="auto" w:fill="auto"/>
            <w:noWrap/>
            <w:vAlign w:val="center"/>
          </w:tcPr>
          <w:p w14:paraId="5B023604">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0.51;</w:t>
            </w:r>
          </w:p>
          <w:p w14:paraId="53339E1E">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Z = 0.83</w:t>
            </w:r>
          </w:p>
        </w:tc>
        <w:tc>
          <w:tcPr>
            <w:tcW w:w="1093" w:type="pct"/>
            <w:tcBorders>
              <w:top w:val="nil"/>
              <w:left w:val="nil"/>
              <w:bottom w:val="nil"/>
              <w:right w:val="nil"/>
            </w:tcBorders>
            <w:shd w:val="clear" w:color="auto" w:fill="auto"/>
            <w:noWrap/>
            <w:vAlign w:val="center"/>
          </w:tcPr>
          <w:p w14:paraId="6EB0B735">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0.69;</w:t>
            </w:r>
          </w:p>
          <w:p w14:paraId="77896D47">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 = -0.99</w:t>
            </w:r>
          </w:p>
        </w:tc>
        <w:tc>
          <w:tcPr>
            <w:tcW w:w="1511" w:type="pct"/>
            <w:tcBorders>
              <w:top w:val="nil"/>
              <w:left w:val="nil"/>
              <w:bottom w:val="nil"/>
              <w:right w:val="nil"/>
            </w:tcBorders>
            <w:shd w:val="clear" w:color="auto" w:fill="auto"/>
            <w:noWrap/>
            <w:vAlign w:val="center"/>
          </w:tcPr>
          <w:p w14:paraId="399E2727">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0.32;</w:t>
            </w:r>
          </w:p>
          <w:p w14:paraId="5FF1EC37">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Z = -1.20</w:t>
            </w:r>
          </w:p>
        </w:tc>
      </w:tr>
      <w:tr w14:paraId="7F66B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97" w:type="pct"/>
            <w:tcBorders>
              <w:top w:val="nil"/>
              <w:left w:val="nil"/>
              <w:bottom w:val="nil"/>
              <w:right w:val="nil"/>
            </w:tcBorders>
            <w:shd w:val="clear" w:color="auto" w:fill="auto"/>
            <w:vAlign w:val="center"/>
          </w:tcPr>
          <w:p w14:paraId="530C90DF">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TP_MSD_to_MSA</w:t>
            </w:r>
          </w:p>
        </w:tc>
        <w:tc>
          <w:tcPr>
            <w:tcW w:w="1097" w:type="pct"/>
            <w:tcBorders>
              <w:top w:val="nil"/>
              <w:left w:val="nil"/>
              <w:bottom w:val="nil"/>
              <w:right w:val="nil"/>
            </w:tcBorders>
            <w:shd w:val="clear" w:color="auto" w:fill="auto"/>
            <w:noWrap/>
            <w:vAlign w:val="center"/>
          </w:tcPr>
          <w:p w14:paraId="644E02CA">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0.24;</w:t>
            </w:r>
          </w:p>
          <w:p w14:paraId="2D65F65E">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 = -1.66</w:t>
            </w:r>
          </w:p>
        </w:tc>
        <w:tc>
          <w:tcPr>
            <w:tcW w:w="1093" w:type="pct"/>
            <w:tcBorders>
              <w:top w:val="nil"/>
              <w:left w:val="nil"/>
              <w:bottom w:val="nil"/>
              <w:right w:val="nil"/>
            </w:tcBorders>
            <w:shd w:val="clear" w:color="auto" w:fill="auto"/>
            <w:noWrap/>
            <w:vAlign w:val="center"/>
          </w:tcPr>
          <w:p w14:paraId="75224F73">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0.69;</w:t>
            </w:r>
          </w:p>
          <w:p w14:paraId="1A788627">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Z = 0.82</w:t>
            </w:r>
          </w:p>
        </w:tc>
        <w:tc>
          <w:tcPr>
            <w:tcW w:w="1511" w:type="pct"/>
            <w:tcBorders>
              <w:top w:val="nil"/>
              <w:left w:val="nil"/>
              <w:bottom w:val="nil"/>
              <w:right w:val="nil"/>
            </w:tcBorders>
            <w:shd w:val="clear" w:color="auto" w:fill="auto"/>
            <w:noWrap/>
            <w:vAlign w:val="center"/>
          </w:tcPr>
          <w:p w14:paraId="30BB8AA5">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0.22;</w:t>
            </w:r>
          </w:p>
          <w:p w14:paraId="68145CF8">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 = 1.88</w:t>
            </w:r>
          </w:p>
        </w:tc>
      </w:tr>
      <w:tr w14:paraId="04322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97" w:type="pct"/>
            <w:tcBorders>
              <w:top w:val="nil"/>
              <w:left w:val="nil"/>
              <w:bottom w:val="nil"/>
              <w:right w:val="nil"/>
            </w:tcBorders>
            <w:shd w:val="clear" w:color="auto" w:fill="auto"/>
            <w:vAlign w:val="center"/>
          </w:tcPr>
          <w:p w14:paraId="34E219B9">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TP_MSD_to_MSB</w:t>
            </w:r>
          </w:p>
        </w:tc>
        <w:tc>
          <w:tcPr>
            <w:tcW w:w="1097" w:type="pct"/>
            <w:tcBorders>
              <w:top w:val="nil"/>
              <w:left w:val="nil"/>
              <w:bottom w:val="nil"/>
              <w:right w:val="nil"/>
            </w:tcBorders>
            <w:shd w:val="clear" w:color="auto" w:fill="auto"/>
            <w:noWrap/>
            <w:vAlign w:val="center"/>
          </w:tcPr>
          <w:p w14:paraId="23FA3384">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0.59;</w:t>
            </w:r>
          </w:p>
          <w:p w14:paraId="1AB57C58">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Z = -0.55</w:t>
            </w:r>
          </w:p>
        </w:tc>
        <w:tc>
          <w:tcPr>
            <w:tcW w:w="1093" w:type="pct"/>
            <w:tcBorders>
              <w:top w:val="nil"/>
              <w:left w:val="nil"/>
              <w:bottom w:val="nil"/>
              <w:right w:val="nil"/>
            </w:tcBorders>
            <w:shd w:val="clear" w:color="auto" w:fill="auto"/>
            <w:noWrap/>
            <w:vAlign w:val="center"/>
          </w:tcPr>
          <w:p w14:paraId="6E83D5D4">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0.69;</w:t>
            </w:r>
          </w:p>
          <w:p w14:paraId="1C5D4630">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 = 1.44</w:t>
            </w:r>
          </w:p>
        </w:tc>
        <w:tc>
          <w:tcPr>
            <w:tcW w:w="1511" w:type="pct"/>
            <w:tcBorders>
              <w:top w:val="nil"/>
              <w:left w:val="nil"/>
              <w:bottom w:val="nil"/>
              <w:right w:val="nil"/>
            </w:tcBorders>
            <w:shd w:val="clear" w:color="auto" w:fill="auto"/>
            <w:noWrap/>
            <w:vAlign w:val="center"/>
          </w:tcPr>
          <w:p w14:paraId="2FE3F7E6">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0.32;</w:t>
            </w:r>
          </w:p>
          <w:p w14:paraId="22BF972D">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Z = 1.20</w:t>
            </w:r>
          </w:p>
        </w:tc>
      </w:tr>
      <w:tr w14:paraId="7D805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297" w:type="pct"/>
            <w:tcBorders>
              <w:top w:val="nil"/>
              <w:left w:val="nil"/>
              <w:bottom w:val="single" w:color="000000" w:sz="4" w:space="0"/>
              <w:right w:val="nil"/>
            </w:tcBorders>
            <w:shd w:val="clear" w:color="auto" w:fill="auto"/>
            <w:vAlign w:val="center"/>
          </w:tcPr>
          <w:p w14:paraId="64FD76A2">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TP_MSD_to_MSC</w:t>
            </w:r>
          </w:p>
        </w:tc>
        <w:tc>
          <w:tcPr>
            <w:tcW w:w="1097" w:type="pct"/>
            <w:tcBorders>
              <w:top w:val="nil"/>
              <w:left w:val="nil"/>
              <w:bottom w:val="single" w:color="000000" w:sz="4" w:space="0"/>
              <w:right w:val="nil"/>
            </w:tcBorders>
            <w:shd w:val="clear" w:color="auto" w:fill="auto"/>
            <w:noWrap/>
            <w:vAlign w:val="center"/>
          </w:tcPr>
          <w:p w14:paraId="140BD6CA">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0.52;</w:t>
            </w:r>
          </w:p>
          <w:p w14:paraId="3959C1F5">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Z =  -0.78</w:t>
            </w:r>
          </w:p>
        </w:tc>
        <w:tc>
          <w:tcPr>
            <w:tcW w:w="1093" w:type="pct"/>
            <w:tcBorders>
              <w:top w:val="nil"/>
              <w:left w:val="nil"/>
              <w:bottom w:val="single" w:color="000000" w:sz="4" w:space="0"/>
              <w:right w:val="nil"/>
            </w:tcBorders>
            <w:shd w:val="clear" w:color="auto" w:fill="auto"/>
            <w:noWrap/>
            <w:vAlign w:val="center"/>
          </w:tcPr>
          <w:p w14:paraId="43F7115E">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0.69;</w:t>
            </w:r>
          </w:p>
          <w:p w14:paraId="5E8294A0">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 = 0.64</w:t>
            </w:r>
          </w:p>
        </w:tc>
        <w:tc>
          <w:tcPr>
            <w:tcW w:w="1511" w:type="pct"/>
            <w:tcBorders>
              <w:top w:val="nil"/>
              <w:left w:val="nil"/>
              <w:bottom w:val="single" w:color="000000" w:sz="4" w:space="0"/>
              <w:right w:val="nil"/>
            </w:tcBorders>
            <w:shd w:val="clear" w:color="auto" w:fill="auto"/>
            <w:noWrap/>
            <w:vAlign w:val="center"/>
          </w:tcPr>
          <w:p w14:paraId="0EBC29EC">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iCs/>
                <w:color w:val="000000"/>
                <w:kern w:val="0"/>
                <w:sz w:val="21"/>
                <w:szCs w:val="21"/>
                <w:u w:val="none"/>
                <w:lang w:val="en-US" w:eastAsia="zh-CN" w:bidi="ar"/>
              </w:rPr>
              <w:t>p</w:t>
            </w:r>
            <w:r>
              <w:rPr>
                <w:rFonts w:hint="default" w:ascii="Times New Roman" w:hAnsi="Times New Roman" w:eastAsia="宋体" w:cs="Times New Roman"/>
                <w:i w:val="0"/>
                <w:iCs w:val="0"/>
                <w:color w:val="000000"/>
                <w:kern w:val="0"/>
                <w:sz w:val="21"/>
                <w:szCs w:val="21"/>
                <w:u w:val="none"/>
                <w:lang w:val="en-US" w:eastAsia="zh-CN" w:bidi="ar"/>
              </w:rPr>
              <w:t xml:space="preserve"> = 0.45;</w:t>
            </w:r>
          </w:p>
          <w:p w14:paraId="69913667">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 = 0.79</w:t>
            </w:r>
          </w:p>
        </w:tc>
      </w:tr>
    </w:tbl>
    <w:p w14:paraId="20700B8C">
      <w:pPr>
        <w:numPr>
          <w:ilvl w:val="0"/>
          <w:numId w:val="0"/>
        </w:numPr>
        <w:bidi w:val="0"/>
        <w:spacing w:line="360" w:lineRule="auto"/>
        <w:rPr>
          <w:rFonts w:hint="default" w:eastAsia="宋体"/>
          <w:sz w:val="21"/>
          <w:szCs w:val="21"/>
          <w:lang w:val="en-US" w:eastAsia="zh-CN"/>
        </w:rPr>
      </w:pPr>
      <w:r>
        <w:rPr>
          <w:rFonts w:hint="default" w:eastAsia="宋体"/>
          <w:sz w:val="21"/>
          <w:szCs w:val="21"/>
          <w:lang w:val="en-US" w:eastAsia="zh-CN"/>
        </w:rPr>
        <w:t xml:space="preserve">Wilcoxon signed-rank tests were used to compare pre- and post-intervention values within each group; Mann–Whitney U tests were used to compare change scores (Δ = post − pre) between groups. </w:t>
      </w:r>
      <w:r>
        <w:rPr>
          <w:rFonts w:hint="eastAsia" w:eastAsia="宋体"/>
          <w:sz w:val="21"/>
          <w:szCs w:val="21"/>
          <w:lang w:val="en-US" w:eastAsia="zh-CN"/>
        </w:rPr>
        <w:t>T</w:t>
      </w:r>
      <w:r>
        <w:rPr>
          <w:rFonts w:hint="default" w:eastAsia="宋体"/>
          <w:sz w:val="21"/>
          <w:szCs w:val="21"/>
          <w:lang w:val="en-US" w:eastAsia="zh-CN"/>
        </w:rPr>
        <w:t>ransition probability</w:t>
      </w:r>
      <w:r>
        <w:rPr>
          <w:rFonts w:hint="eastAsia" w:eastAsia="宋体"/>
          <w:sz w:val="21"/>
          <w:szCs w:val="21"/>
          <w:lang w:val="en-US" w:eastAsia="zh-CN"/>
        </w:rPr>
        <w:t xml:space="preserve"> from </w:t>
      </w:r>
      <w:r>
        <w:rPr>
          <w:rFonts w:hint="default" w:eastAsia="宋体"/>
          <w:sz w:val="21"/>
          <w:szCs w:val="21"/>
          <w:lang w:val="en-US" w:eastAsia="zh-CN"/>
        </w:rPr>
        <w:t>MSA</w:t>
      </w:r>
      <w:r>
        <w:rPr>
          <w:rFonts w:hint="eastAsia" w:eastAsia="宋体"/>
          <w:sz w:val="21"/>
          <w:szCs w:val="21"/>
          <w:lang w:val="en-US" w:eastAsia="zh-CN"/>
        </w:rPr>
        <w:t xml:space="preserve"> to </w:t>
      </w:r>
      <w:r>
        <w:rPr>
          <w:rFonts w:hint="default" w:eastAsia="宋体"/>
          <w:sz w:val="21"/>
          <w:szCs w:val="21"/>
          <w:lang w:val="en-US" w:eastAsia="zh-CN"/>
        </w:rPr>
        <w:t>MSD was significantly reduced after the intervention in the active group (</w:t>
      </w:r>
      <w:r>
        <w:rPr>
          <w:rFonts w:hint="default" w:eastAsia="宋体"/>
          <w:i/>
          <w:iCs/>
          <w:sz w:val="21"/>
          <w:szCs w:val="21"/>
          <w:lang w:val="en-US" w:eastAsia="zh-CN"/>
        </w:rPr>
        <w:t>Z</w:t>
      </w:r>
      <w:r>
        <w:rPr>
          <w:rFonts w:hint="default" w:eastAsia="宋体"/>
          <w:sz w:val="21"/>
          <w:szCs w:val="21"/>
          <w:lang w:val="en-US" w:eastAsia="zh-CN"/>
        </w:rPr>
        <w:t xml:space="preserve"> = −3.54, </w:t>
      </w:r>
      <w:r>
        <w:rPr>
          <w:rFonts w:hint="default" w:eastAsia="宋体"/>
          <w:i/>
          <w:iCs/>
          <w:sz w:val="21"/>
          <w:szCs w:val="21"/>
          <w:lang w:val="en-US" w:eastAsia="zh-CN"/>
        </w:rPr>
        <w:t>p</w:t>
      </w:r>
      <w:r>
        <w:rPr>
          <w:rFonts w:hint="default" w:eastAsia="宋体"/>
          <w:sz w:val="21"/>
          <w:szCs w:val="21"/>
          <w:lang w:val="en-US" w:eastAsia="zh-CN"/>
        </w:rPr>
        <w:t xml:space="preserve"> = 0.01), with a significantly greater change than that observed in the sham group (</w:t>
      </w:r>
      <w:r>
        <w:rPr>
          <w:rFonts w:hint="default" w:eastAsia="宋体"/>
          <w:i/>
          <w:iCs/>
          <w:sz w:val="21"/>
          <w:szCs w:val="21"/>
          <w:lang w:val="en-US" w:eastAsia="zh-CN"/>
        </w:rPr>
        <w:t>Z</w:t>
      </w:r>
      <w:r>
        <w:rPr>
          <w:rFonts w:hint="default" w:eastAsia="宋体"/>
          <w:sz w:val="21"/>
          <w:szCs w:val="21"/>
          <w:lang w:val="en-US" w:eastAsia="zh-CN"/>
        </w:rPr>
        <w:t xml:space="preserve"> = 3.4</w:t>
      </w:r>
      <w:r>
        <w:rPr>
          <w:rFonts w:hint="eastAsia" w:eastAsia="宋体"/>
          <w:sz w:val="21"/>
          <w:szCs w:val="21"/>
          <w:lang w:val="en-US" w:eastAsia="zh-CN"/>
        </w:rPr>
        <w:t>7</w:t>
      </w:r>
      <w:r>
        <w:rPr>
          <w:rFonts w:hint="default" w:eastAsia="宋体"/>
          <w:sz w:val="21"/>
          <w:szCs w:val="21"/>
          <w:lang w:val="en-US" w:eastAsia="zh-CN"/>
        </w:rPr>
        <w:t xml:space="preserve">, </w:t>
      </w:r>
      <w:r>
        <w:rPr>
          <w:rFonts w:hint="default" w:eastAsia="宋体"/>
          <w:i/>
          <w:iCs/>
          <w:sz w:val="21"/>
          <w:szCs w:val="21"/>
          <w:lang w:val="en-US" w:eastAsia="zh-CN"/>
        </w:rPr>
        <w:t>p</w:t>
      </w:r>
      <w:r>
        <w:rPr>
          <w:rFonts w:hint="default" w:eastAsia="宋体"/>
          <w:sz w:val="21"/>
          <w:szCs w:val="21"/>
          <w:lang w:val="en-US" w:eastAsia="zh-CN"/>
        </w:rPr>
        <w:t xml:space="preserve"> = 0.02). </w:t>
      </w:r>
      <w:r>
        <w:rPr>
          <w:rFonts w:hint="eastAsia" w:eastAsia="宋体"/>
          <w:sz w:val="21"/>
          <w:szCs w:val="21"/>
          <w:lang w:val="en-US" w:eastAsia="zh-CN"/>
        </w:rPr>
        <w:t>T</w:t>
      </w:r>
      <w:r>
        <w:rPr>
          <w:rFonts w:hint="default" w:eastAsia="宋体"/>
          <w:sz w:val="21"/>
          <w:szCs w:val="21"/>
          <w:lang w:val="en-US" w:eastAsia="zh-CN"/>
        </w:rPr>
        <w:t xml:space="preserve">he change in transition probability </w:t>
      </w:r>
      <w:r>
        <w:rPr>
          <w:rFonts w:hint="eastAsia" w:eastAsia="宋体"/>
          <w:sz w:val="21"/>
          <w:szCs w:val="21"/>
          <w:lang w:val="en-US" w:eastAsia="zh-CN"/>
        </w:rPr>
        <w:t xml:space="preserve">from </w:t>
      </w:r>
      <w:r>
        <w:rPr>
          <w:rFonts w:hint="default" w:eastAsia="宋体"/>
          <w:sz w:val="21"/>
          <w:szCs w:val="21"/>
          <w:lang w:val="en-US" w:eastAsia="zh-CN"/>
        </w:rPr>
        <w:t>MS</w:t>
      </w:r>
      <w:r>
        <w:rPr>
          <w:rFonts w:hint="eastAsia" w:eastAsia="宋体"/>
          <w:sz w:val="21"/>
          <w:szCs w:val="21"/>
          <w:lang w:val="en-US" w:eastAsia="zh-CN"/>
        </w:rPr>
        <w:t xml:space="preserve">C to </w:t>
      </w:r>
      <w:r>
        <w:rPr>
          <w:rFonts w:hint="default" w:eastAsia="宋体"/>
          <w:sz w:val="21"/>
          <w:szCs w:val="21"/>
          <w:lang w:val="en-US" w:eastAsia="zh-CN"/>
        </w:rPr>
        <w:t>MS</w:t>
      </w:r>
      <w:r>
        <w:rPr>
          <w:rFonts w:hint="eastAsia" w:eastAsia="宋体"/>
          <w:sz w:val="21"/>
          <w:szCs w:val="21"/>
          <w:lang w:val="en-US" w:eastAsia="zh-CN"/>
        </w:rPr>
        <w:t xml:space="preserve">B </w:t>
      </w:r>
      <w:r>
        <w:rPr>
          <w:rFonts w:hint="default" w:eastAsia="宋体"/>
          <w:sz w:val="21"/>
          <w:szCs w:val="21"/>
          <w:lang w:val="en-US" w:eastAsia="zh-CN"/>
        </w:rPr>
        <w:t>differed significantly between groups (</w:t>
      </w:r>
      <w:r>
        <w:rPr>
          <w:rFonts w:hint="default" w:eastAsia="宋体"/>
          <w:i/>
          <w:iCs/>
          <w:sz w:val="21"/>
          <w:szCs w:val="21"/>
          <w:lang w:val="en-US" w:eastAsia="zh-CN"/>
        </w:rPr>
        <w:t>Z</w:t>
      </w:r>
      <w:r>
        <w:rPr>
          <w:rFonts w:hint="default" w:eastAsia="宋体"/>
          <w:sz w:val="21"/>
          <w:szCs w:val="21"/>
          <w:lang w:val="en-US" w:eastAsia="zh-CN"/>
        </w:rPr>
        <w:t xml:space="preserve"> = −3.06, </w:t>
      </w:r>
      <w:r>
        <w:rPr>
          <w:rFonts w:hint="default" w:eastAsia="宋体"/>
          <w:i/>
          <w:iCs/>
          <w:sz w:val="21"/>
          <w:szCs w:val="21"/>
          <w:lang w:val="en-US" w:eastAsia="zh-CN"/>
        </w:rPr>
        <w:t>p</w:t>
      </w:r>
      <w:r>
        <w:rPr>
          <w:rFonts w:hint="default" w:eastAsia="宋体"/>
          <w:sz w:val="21"/>
          <w:szCs w:val="21"/>
          <w:lang w:val="en-US" w:eastAsia="zh-CN"/>
        </w:rPr>
        <w:t xml:space="preserve"> = 0.02). TP, transition probability. Bold entries indicate statistically significant results (</w:t>
      </w:r>
      <w:r>
        <w:rPr>
          <w:rFonts w:hint="default" w:eastAsia="宋体"/>
          <w:i/>
          <w:iCs/>
          <w:sz w:val="21"/>
          <w:szCs w:val="21"/>
          <w:lang w:val="en-US" w:eastAsia="zh-CN"/>
        </w:rPr>
        <w:t>p</w:t>
      </w:r>
      <w:r>
        <w:rPr>
          <w:rFonts w:hint="default" w:eastAsia="宋体"/>
          <w:sz w:val="21"/>
          <w:szCs w:val="21"/>
          <w:lang w:val="en-US" w:eastAsia="zh-CN"/>
        </w:rPr>
        <w:t xml:space="preserve"> &lt; 0.05). All p-values are FDR-corrected.</w:t>
      </w:r>
    </w:p>
    <w:p w14:paraId="664113B2">
      <w:pPr>
        <w:rPr>
          <w:rFonts w:hint="default" w:ascii="Times New Roman" w:hAnsi="Times New Roman" w:cs="Times New Roman"/>
          <w:sz w:val="22"/>
          <w:szCs w:val="2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9EC57">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A21BDA">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FA21BDA">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5009F6"/>
    <w:rsid w:val="028440C8"/>
    <w:rsid w:val="115009F6"/>
    <w:rsid w:val="215A3984"/>
    <w:rsid w:val="22DC0A56"/>
    <w:rsid w:val="3182292D"/>
    <w:rsid w:val="381E7C8A"/>
    <w:rsid w:val="385972A2"/>
    <w:rsid w:val="3A066AE5"/>
    <w:rsid w:val="3E613AE9"/>
    <w:rsid w:val="3F454604"/>
    <w:rsid w:val="48295AA1"/>
    <w:rsid w:val="65744E84"/>
    <w:rsid w:val="68C52767"/>
    <w:rsid w:val="71897B7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imes New Roman" w:cs="Times New Roman"/>
      <w:sz w:val="24"/>
      <w:szCs w:val="24"/>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font11"/>
    <w:basedOn w:val="5"/>
    <w:qFormat/>
    <w:uiPriority w:val="0"/>
    <w:rPr>
      <w:rFonts w:hint="default" w:ascii="Times New Roman" w:hAnsi="Times New Roman" w:cs="Times New Roman"/>
      <w:b/>
      <w:bCs/>
      <w:color w:val="000000"/>
      <w:sz w:val="20"/>
      <w:szCs w:val="20"/>
      <w:u w:val="none"/>
    </w:rPr>
  </w:style>
  <w:style w:type="character" w:customStyle="1" w:styleId="7">
    <w:name w:val="font21"/>
    <w:basedOn w:val="5"/>
    <w:qFormat/>
    <w:uiPriority w:val="0"/>
    <w:rPr>
      <w:rFonts w:hint="eastAsia" w:ascii="宋体" w:hAnsi="宋体" w:eastAsia="宋体" w:cs="宋体"/>
      <w:b/>
      <w:bCs/>
      <w:color w:val="000000"/>
      <w:sz w:val="20"/>
      <w:szCs w:val="20"/>
      <w:u w:val="none"/>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tiff"/><Relationship Id="rId7" Type="http://schemas.openxmlformats.org/officeDocument/2006/relationships/image" Target="media/image3.tiff"/><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876</Words>
  <Characters>4923</Characters>
  <Lines>0</Lines>
  <Paragraphs>0</Paragraphs>
  <TotalTime>0</TotalTime>
  <ScaleCrop>false</ScaleCrop>
  <LinksUpToDate>false</LinksUpToDate>
  <CharactersWithSpaces>5709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2026-07-07T02:57:00Z</dcterms:created>
  <dc:creator>悬</dc:creator>
  <cp:lastModifiedBy>wuyanshui0643</cp:lastModifiedBy>
  <dcterms:modified xsi:type="dcterms:W3CDTF">2026-08-24T09:26:11Z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F2B2132A0D86451F82DF2AF66B0A5670_11</vt:lpwstr>
  </property>
  <property fmtid="{D5CDD505-2E9C-101B-9397-08002B2CF9AE}" pid="4" name="KSOTemplateDocerSaveRecord">
    <vt:lpwstr>eyJoZGlkIjoiYzg5MmUzZTY0NDIyMDUxMmQxZTUzNjQzZjM1NTdlNjkiLCJ1c2VySWQiOiIzMDU3MDgxNDIifQ==</vt:lpwstr>
  </property>
</Properties>
</file>