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BD1C" w14:textId="77777777" w:rsidR="00C23D27" w:rsidRPr="00C23D27" w:rsidRDefault="00C23D27" w:rsidP="00C84D34">
      <w:pPr>
        <w:pStyle w:val="ae"/>
        <w:spacing w:before="240" w:after="240"/>
        <w:ind w:leftChars="0" w:left="0"/>
        <w:rPr>
          <w:rFonts w:ascii="Times New Roman" w:eastAsiaTheme="minorEastAsia" w:hAnsi="Times New Roman" w:cs="Times New Roman"/>
          <w:b/>
          <w:bCs/>
          <w:color w:val="000000" w:themeColor="text1"/>
          <w:sz w:val="24"/>
          <w:szCs w:val="24"/>
        </w:rPr>
      </w:pPr>
      <w:r w:rsidRPr="00C23D27">
        <w:rPr>
          <w:rFonts w:ascii="Times New Roman" w:eastAsiaTheme="minorEastAsia" w:hAnsi="Times New Roman" w:cs="Times New Roman"/>
          <w:b/>
          <w:bCs/>
          <w:color w:val="000000" w:themeColor="text1"/>
          <w:sz w:val="24"/>
          <w:szCs w:val="24"/>
        </w:rPr>
        <w:t xml:space="preserve">Appendix </w:t>
      </w:r>
      <w:r w:rsidRPr="00C23D27">
        <w:rPr>
          <w:rFonts w:ascii="Times New Roman" w:eastAsiaTheme="minorEastAsia" w:hAnsi="Times New Roman" w:cs="Times New Roman"/>
          <w:b/>
          <w:bCs/>
          <w:color w:val="000000" w:themeColor="text1"/>
          <w:sz w:val="24"/>
          <w:szCs w:val="24"/>
        </w:rPr>
        <w:fldChar w:fldCharType="begin"/>
      </w:r>
      <w:r w:rsidRPr="00C23D27">
        <w:rPr>
          <w:rFonts w:ascii="Times New Roman" w:eastAsiaTheme="minorEastAsia" w:hAnsi="Times New Roman" w:cs="Times New Roman"/>
          <w:b/>
          <w:bCs/>
          <w:color w:val="000000" w:themeColor="text1"/>
          <w:sz w:val="24"/>
          <w:szCs w:val="24"/>
        </w:rPr>
        <w:instrText xml:space="preserve"> SEQ Appendix \* ARABIC </w:instrText>
      </w:r>
      <w:r w:rsidRPr="00C23D27">
        <w:rPr>
          <w:rFonts w:ascii="Times New Roman" w:eastAsiaTheme="minorEastAsia" w:hAnsi="Times New Roman" w:cs="Times New Roman"/>
          <w:b/>
          <w:bCs/>
          <w:color w:val="000000" w:themeColor="text1"/>
          <w:sz w:val="24"/>
          <w:szCs w:val="24"/>
        </w:rPr>
        <w:fldChar w:fldCharType="separate"/>
      </w:r>
      <w:r w:rsidRPr="00C23D27">
        <w:rPr>
          <w:rFonts w:ascii="Times New Roman" w:eastAsiaTheme="minorEastAsia" w:hAnsi="Times New Roman" w:cs="Times New Roman"/>
          <w:b/>
          <w:bCs/>
          <w:color w:val="000000" w:themeColor="text1"/>
          <w:sz w:val="24"/>
          <w:szCs w:val="24"/>
        </w:rPr>
        <w:t>1</w:t>
      </w:r>
      <w:r w:rsidRPr="00C23D27">
        <w:rPr>
          <w:rFonts w:ascii="Times New Roman" w:eastAsiaTheme="minorEastAsia" w:hAnsi="Times New Roman" w:cs="Times New Roman"/>
          <w:b/>
          <w:bCs/>
          <w:color w:val="000000" w:themeColor="text1"/>
          <w:sz w:val="24"/>
          <w:szCs w:val="24"/>
        </w:rPr>
        <w:fldChar w:fldCharType="end"/>
      </w:r>
      <w:r w:rsidRPr="00C23D27">
        <w:rPr>
          <w:rFonts w:ascii="Times New Roman" w:eastAsiaTheme="minorEastAsia" w:hAnsi="Times New Roman" w:cs="Times New Roman"/>
          <w:b/>
          <w:bCs/>
          <w:color w:val="000000" w:themeColor="text1"/>
          <w:sz w:val="24"/>
          <w:szCs w:val="24"/>
        </w:rPr>
        <w:t xml:space="preserve"> </w:t>
      </w:r>
      <w:r w:rsidRPr="00C23D27">
        <w:rPr>
          <w:rFonts w:ascii="Times New Roman" w:eastAsiaTheme="minorEastAsia" w:hAnsi="Times New Roman" w:cs="Times New Roman"/>
          <w:color w:val="000000" w:themeColor="text1"/>
          <w:sz w:val="24"/>
          <w:szCs w:val="24"/>
        </w:rPr>
        <w:t>Detailed description of the aquaculture system and husbandry procedures, including experimental setup, tank configuration, water quality control and feeding protocols.</w:t>
      </w:r>
    </w:p>
    <w:p w14:paraId="6CF875AA" w14:textId="0CFA418B" w:rsidR="00592EFA" w:rsidRPr="00C23D27" w:rsidRDefault="00592EFA" w:rsidP="00C84D34">
      <w:pPr>
        <w:spacing w:before="240" w:after="240" w:line="360" w:lineRule="auto"/>
        <w:rPr>
          <w:rFonts w:ascii="Times New Roman" w:hAnsi="Times New Roman" w:cs="Times New Roman"/>
          <w:sz w:val="24"/>
          <w:lang w:val="en-AU"/>
        </w:rPr>
      </w:pPr>
      <w:r w:rsidRPr="00C23D27">
        <w:rPr>
          <w:rFonts w:ascii="Times New Roman" w:hAnsi="Times New Roman" w:cs="Times New Roman"/>
          <w:sz w:val="24"/>
          <w:lang w:val="en-AU"/>
        </w:rPr>
        <w:t xml:space="preserve">Experimental salmon were from a commercial hatchery (Huon Aquaculture, Tasmania, Australia) and acclimated in 13000 L stock seawater tanks for 12 d with 15°C water temperature and 12 h light:12 h dark photoperiod. </w:t>
      </w:r>
      <w:r w:rsidR="00AD3F9B" w:rsidRPr="00AD3F9B">
        <w:rPr>
          <w:rFonts w:ascii="Times New Roman" w:hAnsi="Times New Roman" w:cs="Times New Roman"/>
          <w:sz w:val="24"/>
          <w:lang w:val="en-AU"/>
        </w:rPr>
        <w:t xml:space="preserve">After the acclimation period, fish were benchmarked by measuring body weight and fork length (FL), </w:t>
      </w:r>
      <w:r w:rsidR="00AD3F9B">
        <w:rPr>
          <w:rFonts w:ascii="Times New Roman" w:hAnsi="Times New Roman" w:cs="Times New Roman"/>
          <w:sz w:val="24"/>
          <w:lang w:val="en-AU"/>
        </w:rPr>
        <w:t>and t</w:t>
      </w:r>
      <w:r w:rsidRPr="00C23D27">
        <w:rPr>
          <w:rFonts w:ascii="Times New Roman" w:hAnsi="Times New Roman" w:cs="Times New Roman"/>
          <w:sz w:val="24"/>
          <w:lang w:val="en-AU"/>
        </w:rPr>
        <w:t>hen experimental salmon (mean ± SD 331 ± 7.38 g, 286 ± 2.71 mm; n = 85 tank</w:t>
      </w:r>
      <w:r w:rsidRPr="00AD3F9B">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were stocked in 12 x 2500 L circular tanks with recirculating aquaculture systems (RAS) supplied with seawater. Each tank operated on an independent recirculation system consisting of a protein skimmer, heat exchanger, swirl separator, biological filtration unit, and UV steriliser. Six tanks were fitted with supplementary variable-speed pumps (Davey </w:t>
      </w:r>
      <w:proofErr w:type="spellStart"/>
      <w:r w:rsidRPr="00C23D27">
        <w:rPr>
          <w:rFonts w:ascii="Times New Roman" w:hAnsi="Times New Roman" w:cs="Times New Roman"/>
          <w:sz w:val="24"/>
          <w:lang w:val="en-AU"/>
        </w:rPr>
        <w:t>Promaster</w:t>
      </w:r>
      <w:proofErr w:type="spellEnd"/>
      <w:r w:rsidRPr="00C23D27">
        <w:rPr>
          <w:rFonts w:ascii="Times New Roman" w:hAnsi="Times New Roman" w:cs="Times New Roman"/>
          <w:sz w:val="24"/>
          <w:lang w:val="en-AU"/>
        </w:rPr>
        <w:t xml:space="preserve"> VSD 200) connected to vertical pipes with multiple outlets positioned along the tank depth and oriented in the direction of water flow, enabling manual adjustment of water velocity. </w:t>
      </w:r>
    </w:p>
    <w:p w14:paraId="7DD89E75" w14:textId="5DA5B738" w:rsidR="00F4746E" w:rsidRDefault="002C1917" w:rsidP="00C84D34">
      <w:pPr>
        <w:spacing w:before="240" w:after="240" w:line="360" w:lineRule="auto"/>
        <w:ind w:leftChars="-5" w:left="-11"/>
        <w:rPr>
          <w:rFonts w:ascii="Times New Roman" w:hAnsi="Times New Roman" w:cs="Times New Roman"/>
          <w:sz w:val="24"/>
        </w:rPr>
      </w:pPr>
      <w:r w:rsidRPr="00C23D27">
        <w:rPr>
          <w:rFonts w:ascii="Times New Roman" w:hAnsi="Times New Roman" w:cs="Times New Roman"/>
          <w:sz w:val="24"/>
          <w:lang w:val="en-AU"/>
        </w:rPr>
        <w:t>At the start of the experiment, initial water temperature was 15°C and water temperature was increased by 0.5°C d</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until it reached 20°C for elevated temperature treatment groups, then maintained until the end of the experiment. Water temperature for control groups was maintained at 15°C during the experimental period. Water velocity was maintained at 0.22 m s</w:t>
      </w:r>
      <w:r w:rsidRPr="00C23D27">
        <w:rPr>
          <w:rFonts w:ascii="Times New Roman" w:hAnsi="Times New Roman" w:cs="Times New Roman"/>
          <w:sz w:val="24"/>
          <w:vertAlign w:val="superscript"/>
          <w:lang w:val="en-AU"/>
        </w:rPr>
        <w:t xml:space="preserve">-1 </w:t>
      </w:r>
      <w:r w:rsidRPr="00C23D27">
        <w:rPr>
          <w:rFonts w:ascii="Times New Roman" w:hAnsi="Times New Roman" w:cs="Times New Roman"/>
          <w:sz w:val="24"/>
          <w:lang w:val="en-AU"/>
        </w:rPr>
        <w:t>(0.63 - 0.46 body lengths s</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for untrained low water velocity (UNT) groups throughout the experiment. Initial water velocity was 0.22 m s</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and was steadily increased by 0.05 m s</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d</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over 5 d until reaching 0.45 m s</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(1.2 - 1.6 body lengths s</w:t>
      </w:r>
      <w:r w:rsidRPr="00C23D27">
        <w:rPr>
          <w:rFonts w:ascii="Times New Roman" w:hAnsi="Times New Roman" w:cs="Times New Roman"/>
          <w:sz w:val="24"/>
          <w:vertAlign w:val="superscript"/>
          <w:lang w:val="en-AU"/>
        </w:rPr>
        <w:t>-1</w:t>
      </w:r>
      <w:r w:rsidRPr="00C23D27">
        <w:rPr>
          <w:rFonts w:ascii="Times New Roman" w:hAnsi="Times New Roman" w:cs="Times New Roman"/>
          <w:sz w:val="24"/>
          <w:lang w:val="en-AU"/>
        </w:rPr>
        <w:t xml:space="preserve">) for trained moderate water velocity (TRN) treatment groups, then kept constant until the end of the experiment. </w:t>
      </w:r>
      <w:r w:rsidRPr="00C23D27">
        <w:rPr>
          <w:rFonts w:ascii="Times New Roman" w:hAnsi="Times New Roman" w:cs="Times New Roman"/>
          <w:sz w:val="24"/>
        </w:rPr>
        <w:t xml:space="preserve">A portable flowmeter (Handheld </w:t>
      </w:r>
      <w:proofErr w:type="spellStart"/>
      <w:r w:rsidRPr="00C23D27">
        <w:rPr>
          <w:rFonts w:ascii="Times New Roman" w:hAnsi="Times New Roman" w:cs="Times New Roman"/>
          <w:sz w:val="24"/>
        </w:rPr>
        <w:t>Flowtherm</w:t>
      </w:r>
      <w:proofErr w:type="spellEnd"/>
      <w:r w:rsidRPr="00C23D27">
        <w:rPr>
          <w:rFonts w:ascii="Times New Roman" w:hAnsi="Times New Roman" w:cs="Times New Roman"/>
          <w:sz w:val="24"/>
        </w:rPr>
        <w:t xml:space="preserve"> NT, </w:t>
      </w:r>
      <w:proofErr w:type="spellStart"/>
      <w:r w:rsidRPr="00C23D27">
        <w:rPr>
          <w:rFonts w:ascii="Times New Roman" w:hAnsi="Times New Roman" w:cs="Times New Roman"/>
          <w:sz w:val="24"/>
        </w:rPr>
        <w:t>Hontzsch</w:t>
      </w:r>
      <w:proofErr w:type="spellEnd"/>
      <w:r w:rsidRPr="00C23D27">
        <w:rPr>
          <w:rFonts w:ascii="Times New Roman" w:hAnsi="Times New Roman" w:cs="Times New Roman"/>
          <w:sz w:val="24"/>
        </w:rPr>
        <w:t xml:space="preserve">, Germany) was used to measure water velocity in each tank. To ensure measurement repeatability and </w:t>
      </w:r>
      <w:proofErr w:type="spellStart"/>
      <w:r w:rsidRPr="00C23D27">
        <w:rPr>
          <w:rFonts w:ascii="Times New Roman" w:hAnsi="Times New Roman" w:cs="Times New Roman"/>
          <w:sz w:val="24"/>
        </w:rPr>
        <w:t>minimise</w:t>
      </w:r>
      <w:proofErr w:type="spellEnd"/>
      <w:r w:rsidRPr="00C23D27">
        <w:rPr>
          <w:rFonts w:ascii="Times New Roman" w:hAnsi="Times New Roman" w:cs="Times New Roman"/>
          <w:sz w:val="24"/>
        </w:rPr>
        <w:t xml:space="preserve"> the influence of near-wall and surface turbulence, water velocity was consistently recorded at a fixed location, 40 cm from the tank wall and at a depth of 35 cm.</w:t>
      </w:r>
      <w:r w:rsidRPr="00C23D27">
        <w:rPr>
          <w:rFonts w:ascii="Times New Roman" w:hAnsi="Times New Roman" w:cs="Times New Roman"/>
          <w:sz w:val="24"/>
          <w:lang w:val="en-AU"/>
        </w:rPr>
        <w:t xml:space="preserve"> Water quality parameters </w:t>
      </w:r>
      <w:r w:rsidRPr="00C23D27">
        <w:rPr>
          <w:rFonts w:ascii="Times New Roman" w:hAnsi="Times New Roman" w:cs="Times New Roman"/>
          <w:sz w:val="24"/>
          <w:lang w:val="en-AU"/>
        </w:rPr>
        <w:lastRenderedPageBreak/>
        <w:t>were recorded (dissolved oxygen, 100 ± 5.1%; pH, 7.4 ± 0.4; salinity, 32.1 ± 1.73 ‰; NH</w:t>
      </w:r>
      <w:r w:rsidRPr="00C23D27">
        <w:rPr>
          <w:rFonts w:ascii="Times New Roman" w:hAnsi="Times New Roman" w:cs="Times New Roman"/>
          <w:sz w:val="24"/>
          <w:vertAlign w:val="subscript"/>
          <w:lang w:val="en-AU"/>
        </w:rPr>
        <w:t>3</w:t>
      </w:r>
      <w:r w:rsidRPr="00C23D27">
        <w:rPr>
          <w:rFonts w:ascii="Times New Roman" w:hAnsi="Times New Roman" w:cs="Times New Roman"/>
          <w:sz w:val="24"/>
          <w:lang w:val="en-AU"/>
        </w:rPr>
        <w:t>-N, 0.18 ± 0.06 ppm; NO</w:t>
      </w:r>
      <w:r w:rsidRPr="00C23D27">
        <w:rPr>
          <w:rFonts w:ascii="Times New Roman" w:hAnsi="Times New Roman" w:cs="Times New Roman"/>
          <w:sz w:val="24"/>
          <w:vertAlign w:val="subscript"/>
          <w:lang w:val="en-AU"/>
        </w:rPr>
        <w:t>2</w:t>
      </w:r>
      <w:r w:rsidRPr="00C23D27">
        <w:rPr>
          <w:rFonts w:ascii="Times New Roman" w:hAnsi="Times New Roman" w:cs="Times New Roman"/>
          <w:sz w:val="24"/>
          <w:lang w:val="en-AU"/>
        </w:rPr>
        <w:t>, 0.70 ± 0.23 ppm) and maintained daily throughout the experiment. Experimental salmon</w:t>
      </w:r>
      <w:r w:rsidRPr="00C23D27">
        <w:rPr>
          <w:rFonts w:ascii="Times New Roman" w:hAnsi="Times New Roman" w:cs="Times New Roman"/>
          <w:sz w:val="24"/>
        </w:rPr>
        <w:t xml:space="preserve"> were fed </w:t>
      </w:r>
      <w:r w:rsidR="00AD3F9B" w:rsidRPr="00AD3F9B">
        <w:rPr>
          <w:rFonts w:ascii="Times New Roman" w:hAnsi="Times New Roman" w:cs="Times New Roman"/>
          <w:sz w:val="24"/>
        </w:rPr>
        <w:t xml:space="preserve">ad libitum with </w:t>
      </w:r>
      <w:r w:rsidRPr="00C23D27">
        <w:rPr>
          <w:rFonts w:ascii="Times New Roman" w:hAnsi="Times New Roman" w:cs="Times New Roman"/>
          <w:sz w:val="24"/>
        </w:rPr>
        <w:t>a commercial diet (</w:t>
      </w:r>
      <w:proofErr w:type="spellStart"/>
      <w:r w:rsidRPr="00C23D27">
        <w:rPr>
          <w:rFonts w:ascii="Times New Roman" w:hAnsi="Times New Roman" w:cs="Times New Roman"/>
          <w:sz w:val="24"/>
        </w:rPr>
        <w:t>Optiline</w:t>
      </w:r>
      <w:proofErr w:type="spellEnd"/>
      <w:r w:rsidRPr="00C23D27">
        <w:rPr>
          <w:rFonts w:ascii="Times New Roman" w:hAnsi="Times New Roman" w:cs="Times New Roman"/>
          <w:sz w:val="24"/>
        </w:rPr>
        <w:t>, 5 and 8 mm, Skretting, Australia) via automatic feeders over 30 min meal</w:t>
      </w:r>
      <w:r w:rsidRPr="00C23D27">
        <w:rPr>
          <w:rFonts w:ascii="Times New Roman" w:hAnsi="Times New Roman" w:cs="Times New Roman"/>
          <w:sz w:val="24"/>
          <w:vertAlign w:val="superscript"/>
          <w:lang w:val="en-AU"/>
        </w:rPr>
        <w:t>-1</w:t>
      </w:r>
      <w:r w:rsidRPr="00C23D27">
        <w:rPr>
          <w:rFonts w:ascii="Times New Roman" w:hAnsi="Times New Roman" w:cs="Times New Roman"/>
          <w:sz w:val="24"/>
        </w:rPr>
        <w:t>, three times daily (</w:t>
      </w:r>
      <w:r w:rsidR="00B35CA3" w:rsidRPr="00B35CA3">
        <w:rPr>
          <w:rFonts w:ascii="Times New Roman" w:hAnsi="Times New Roman" w:cs="Times New Roman"/>
          <w:sz w:val="24"/>
        </w:rPr>
        <w:t>Table 1</w:t>
      </w:r>
      <w:r w:rsidRPr="00B35CA3">
        <w:rPr>
          <w:rFonts w:ascii="Times New Roman" w:hAnsi="Times New Roman" w:cs="Times New Roman"/>
          <w:sz w:val="24"/>
        </w:rPr>
        <w:t>)</w:t>
      </w:r>
      <w:r w:rsidRPr="00C23D27">
        <w:rPr>
          <w:rFonts w:ascii="Times New Roman" w:hAnsi="Times New Roman" w:cs="Times New Roman"/>
          <w:sz w:val="24"/>
        </w:rPr>
        <w:t xml:space="preserve">. A daily feed surplus of 10% was provided throughout the experimental period. Uneaten feed was collected from the outflow mesh by a technician within 15 min after feeding ceased, ensuring that feed availability did not exceed 45 min per meal. The recovered feed was dried overnight in an oven and weighed to determine daily feed intake. </w:t>
      </w:r>
    </w:p>
    <w:p w14:paraId="206FEAF1" w14:textId="3A808443" w:rsidR="00BF70A1" w:rsidRPr="00BF70A1" w:rsidRDefault="00BF70A1" w:rsidP="00C84D34">
      <w:pPr>
        <w:spacing w:before="240" w:after="240" w:line="360" w:lineRule="auto"/>
        <w:ind w:leftChars="-5" w:left="-11"/>
        <w:rPr>
          <w:rFonts w:ascii="Times New Roman" w:hAnsi="Times New Roman" w:cs="Times New Roman"/>
          <w:sz w:val="24"/>
          <w:lang w:val="en-AU"/>
        </w:rPr>
      </w:pPr>
      <w:r w:rsidRPr="00BF70A1">
        <w:rPr>
          <w:rFonts w:ascii="Times New Roman" w:hAnsi="Times New Roman" w:cs="Times New Roman"/>
          <w:sz w:val="24"/>
        </w:rPr>
        <w:t>All experimental salmon were netted from each tank and benchmarked at 0 d (</w:t>
      </w:r>
      <w:proofErr w:type="spellStart"/>
      <w:r w:rsidRPr="00BF70A1">
        <w:rPr>
          <w:rFonts w:ascii="Times New Roman" w:hAnsi="Times New Roman" w:cs="Times New Roman"/>
          <w:sz w:val="24"/>
        </w:rPr>
        <w:t>anesthetised</w:t>
      </w:r>
      <w:proofErr w:type="spellEnd"/>
      <w:r w:rsidRPr="00BF70A1">
        <w:rPr>
          <w:rFonts w:ascii="Times New Roman" w:hAnsi="Times New Roman" w:cs="Times New Roman"/>
          <w:sz w:val="24"/>
        </w:rPr>
        <w:t xml:space="preserve"> with 10 mg L</w:t>
      </w:r>
      <w:r w:rsidRPr="00C84D34">
        <w:rPr>
          <w:rFonts w:ascii="Times New Roman" w:hAnsi="Times New Roman" w:cs="Times New Roman"/>
          <w:sz w:val="24"/>
          <w:vertAlign w:val="superscript"/>
        </w:rPr>
        <w:t>-1</w:t>
      </w:r>
      <w:r w:rsidRPr="00BF70A1">
        <w:rPr>
          <w:rFonts w:ascii="Times New Roman" w:hAnsi="Times New Roman" w:cs="Times New Roman"/>
          <w:sz w:val="24"/>
        </w:rPr>
        <w:t xml:space="preserve"> Aqui-S) and sampled at 90 d (</w:t>
      </w:r>
      <w:proofErr w:type="spellStart"/>
      <w:r w:rsidRPr="00BF70A1">
        <w:rPr>
          <w:rFonts w:ascii="Times New Roman" w:hAnsi="Times New Roman" w:cs="Times New Roman"/>
          <w:sz w:val="24"/>
        </w:rPr>
        <w:t>euthanised</w:t>
      </w:r>
      <w:proofErr w:type="spellEnd"/>
      <w:r w:rsidRPr="00BF70A1">
        <w:rPr>
          <w:rFonts w:ascii="Times New Roman" w:hAnsi="Times New Roman" w:cs="Times New Roman"/>
          <w:sz w:val="24"/>
        </w:rPr>
        <w:t xml:space="preserve"> with 60 mg L</w:t>
      </w:r>
      <w:r w:rsidRPr="00C84D34">
        <w:rPr>
          <w:rFonts w:ascii="Times New Roman" w:hAnsi="Times New Roman" w:cs="Times New Roman"/>
          <w:sz w:val="24"/>
          <w:vertAlign w:val="superscript"/>
        </w:rPr>
        <w:t>-1</w:t>
      </w:r>
      <w:r w:rsidRPr="00BF70A1">
        <w:rPr>
          <w:rFonts w:ascii="Times New Roman" w:hAnsi="Times New Roman" w:cs="Times New Roman"/>
          <w:sz w:val="24"/>
        </w:rPr>
        <w:t xml:space="preserve"> Aqui-S) to measure body weight and </w:t>
      </w:r>
      <w:r w:rsidR="00AD3F9B">
        <w:rPr>
          <w:rFonts w:ascii="Times New Roman" w:hAnsi="Times New Roman" w:cs="Times New Roman"/>
          <w:sz w:val="24"/>
        </w:rPr>
        <w:t>FL,</w:t>
      </w:r>
      <w:r w:rsidRPr="00BF70A1">
        <w:rPr>
          <w:rFonts w:ascii="Times New Roman" w:hAnsi="Times New Roman" w:cs="Times New Roman"/>
          <w:sz w:val="24"/>
        </w:rPr>
        <w:t xml:space="preserve"> and calculate condition factor (K) as </w:t>
      </w:r>
      <w:r w:rsidR="00AD3F9B" w:rsidRPr="00BF70A1">
        <w:rPr>
          <w:rFonts w:ascii="Times New Roman" w:hAnsi="Times New Roman" w:cs="Times New Roman"/>
          <w:sz w:val="24"/>
        </w:rPr>
        <w:t xml:space="preserve">previously </w:t>
      </w:r>
      <w:r w:rsidRPr="00BF70A1">
        <w:rPr>
          <w:rFonts w:ascii="Times New Roman" w:hAnsi="Times New Roman" w:cs="Times New Roman"/>
          <w:sz w:val="24"/>
        </w:rPr>
        <w:t xml:space="preserve">described </w:t>
      </w:r>
      <w:r w:rsidR="00AD3F9B">
        <w:rPr>
          <w:rFonts w:ascii="Times New Roman" w:hAnsi="Times New Roman" w:cs="Times New Roman"/>
          <w:sz w:val="24"/>
        </w:rPr>
        <w:t>by</w:t>
      </w:r>
      <w:r w:rsidRPr="00BF70A1">
        <w:rPr>
          <w:rFonts w:ascii="Times New Roman" w:hAnsi="Times New Roman" w:cs="Times New Roman"/>
          <w:sz w:val="24"/>
        </w:rPr>
        <w:t xml:space="preserve"> </w:t>
      </w:r>
      <w:r w:rsidRPr="00BF70A1">
        <w:rPr>
          <w:rFonts w:ascii="Times New Roman" w:hAnsi="Times New Roman" w:cs="Times New Roman"/>
          <w:sz w:val="24"/>
        </w:rPr>
        <w:fldChar w:fldCharType="begin"/>
      </w:r>
      <w:r w:rsidR="00AD3F9B">
        <w:rPr>
          <w:rFonts w:ascii="Times New Roman" w:hAnsi="Times New Roman" w:cs="Times New Roman"/>
          <w:sz w:val="24"/>
        </w:rPr>
        <w:instrText xml:space="preserve"> ADDIN EN.CITE &lt;EndNote&gt;&lt;Cite AuthorYear="1"&gt;&lt;Author&gt;Foddai&lt;/Author&gt;&lt;Year&gt;2025&lt;/Year&gt;&lt;RecNum&gt;2606&lt;/RecNum&gt;&lt;DisplayText&gt;Foddai et al. (2025)&lt;/DisplayText&gt;&lt;record&gt;&lt;rec-number&gt;2606&lt;/rec-number&gt;&lt;foreign-keys&gt;&lt;key app="EN" db-id="0repvz0ve0stzledeerv9ev0xptafr2fxaxd" timestamp="1747888783" guid="889cb613-f914-47cc-b3c2-3e67c459a037"&gt;2606&lt;/key&gt;&lt;/foreign-keys&gt;&lt;ref-type name="Journal Article"&gt;17&lt;/ref-type&gt;&lt;contributors&gt;&lt;authors&gt;&lt;author&gt;Foddai, Marco&lt;/author&gt;&lt;author&gt;Carter, Chris G.&lt;/author&gt;&lt;author&gt;Wood, Andrew T.&lt;/author&gt;&lt;author&gt;Anderson, Kelli C.&lt;/author&gt;&lt;author&gt;Semmens, Jayson M.&lt;/author&gt;&lt;/authors&gt;&lt;/contributors&gt;&lt;titles&gt;&lt;title&gt;Response of Atlantic salmon to long-term sustained aerobic training at suboptimum elevated temperature: Cardiac anatomy, aerobic performance, and growth implications&lt;/title&gt;&lt;secondary-title&gt;Comparative Biochemistry and Physiology Part A: Molecular &amp;amp; Integrative Physiology&lt;/secondary-title&gt;&lt;/titles&gt;&lt;periodical&gt;&lt;full-title&gt;Comparative Biochemistry and Physiology Part A: Molecular &amp;amp; Integrative Physiology&lt;/full-title&gt;&lt;/periodical&gt;&lt;pages&gt;111874&lt;/pages&gt;&lt;volume&gt;306&lt;/volume&gt;&lt;dates&gt;&lt;year&gt;2025&lt;/year&gt;&lt;pub-dates&gt;&lt;date&gt;2025/08/01/&lt;/date&gt;&lt;/pub-dates&gt;&lt;/dates&gt;&lt;isbn&gt;1095-6433&lt;/isbn&gt;&lt;label&gt;#989&lt;/label&gt;&lt;urls&gt;&lt;related-urls&gt;&lt;url&gt;https://www.sciencedirect.com/science/article/pii/S1095643325000728&lt;/url&gt;&lt;/related-urls&gt;&lt;/urls&gt;&lt;electronic-resource-num&gt;https://doi.org/10.1016/j.cbpa.2025.111874&lt;/electronic-resource-num&gt;&lt;/record&gt;&lt;/Cite&gt;&lt;/EndNote&gt;</w:instrText>
      </w:r>
      <w:r w:rsidRPr="00BF70A1">
        <w:rPr>
          <w:rFonts w:ascii="Times New Roman" w:hAnsi="Times New Roman" w:cs="Times New Roman"/>
          <w:sz w:val="24"/>
        </w:rPr>
        <w:fldChar w:fldCharType="separate"/>
      </w:r>
      <w:r w:rsidR="00AD3F9B">
        <w:rPr>
          <w:rFonts w:ascii="Times New Roman" w:hAnsi="Times New Roman" w:cs="Times New Roman"/>
          <w:noProof/>
          <w:sz w:val="24"/>
        </w:rPr>
        <w:t>Foddai et al. (2025)</w:t>
      </w:r>
      <w:r w:rsidRPr="00BF70A1">
        <w:rPr>
          <w:rFonts w:ascii="Times New Roman" w:hAnsi="Times New Roman" w:cs="Times New Roman"/>
          <w:sz w:val="24"/>
        </w:rPr>
        <w:fldChar w:fldCharType="end"/>
      </w:r>
      <w:r w:rsidRPr="00BF70A1">
        <w:rPr>
          <w:rFonts w:ascii="Times New Roman" w:hAnsi="Times New Roman" w:cs="Times New Roman"/>
          <w:sz w:val="24"/>
        </w:rPr>
        <w:t>.</w:t>
      </w:r>
    </w:p>
    <w:p w14:paraId="13CADF93" w14:textId="77777777" w:rsidR="00C84D34" w:rsidRDefault="00C84D34">
      <w:pPr>
        <w:widowControl/>
        <w:rPr>
          <w:rFonts w:ascii="Times New Roman" w:hAnsi="Times New Roman" w:cs="Times New Roman"/>
          <w:b/>
          <w:bCs/>
          <w:color w:val="000000" w:themeColor="text1"/>
          <w:sz w:val="24"/>
          <w:lang w:val="en-AU"/>
          <w14:ligatures w14:val="none"/>
        </w:rPr>
      </w:pPr>
      <w:bookmarkStart w:id="0" w:name="_Toc206582518"/>
      <w:r>
        <w:rPr>
          <w:rFonts w:ascii="Times New Roman" w:hAnsi="Times New Roman" w:cs="Times New Roman"/>
          <w:b/>
          <w:bCs/>
          <w:color w:val="000000" w:themeColor="text1"/>
          <w:sz w:val="24"/>
        </w:rPr>
        <w:br w:type="page"/>
      </w:r>
    </w:p>
    <w:p w14:paraId="33AA9DBC" w14:textId="094E16BC" w:rsidR="0052506A" w:rsidRPr="0062472E" w:rsidRDefault="0052506A" w:rsidP="00C84D34">
      <w:pPr>
        <w:pStyle w:val="ae"/>
        <w:spacing w:beforeLines="150" w:before="468" w:after="240"/>
        <w:ind w:leftChars="0" w:left="0"/>
        <w:rPr>
          <w:rFonts w:ascii="Times New Roman" w:eastAsiaTheme="minorEastAsia" w:hAnsi="Times New Roman" w:cs="Times New Roman"/>
          <w:color w:val="000000" w:themeColor="text1"/>
          <w:sz w:val="24"/>
          <w:szCs w:val="24"/>
        </w:rPr>
      </w:pPr>
      <w:r w:rsidRPr="15830909">
        <w:rPr>
          <w:rFonts w:ascii="Times New Roman" w:eastAsiaTheme="minorEastAsia" w:hAnsi="Times New Roman" w:cs="Times New Roman"/>
          <w:b/>
          <w:bCs/>
          <w:color w:val="000000" w:themeColor="text1"/>
          <w:sz w:val="24"/>
          <w:szCs w:val="24"/>
        </w:rPr>
        <w:lastRenderedPageBreak/>
        <w:t xml:space="preserve">Table </w:t>
      </w:r>
      <w:r>
        <w:rPr>
          <w:rFonts w:ascii="Times New Roman" w:eastAsiaTheme="minorEastAsia" w:hAnsi="Times New Roman" w:cs="Times New Roman"/>
          <w:b/>
          <w:bCs/>
          <w:color w:val="000000" w:themeColor="text1"/>
          <w:sz w:val="24"/>
          <w:szCs w:val="24"/>
        </w:rPr>
        <w:t>1</w:t>
      </w:r>
      <w:r w:rsidRPr="15830909">
        <w:rPr>
          <w:rFonts w:ascii="Times New Roman" w:eastAsiaTheme="minorEastAsia" w:hAnsi="Times New Roman" w:cs="Times New Roman"/>
          <w:b/>
          <w:bCs/>
          <w:color w:val="000000" w:themeColor="text1"/>
          <w:sz w:val="24"/>
          <w:szCs w:val="24"/>
        </w:rPr>
        <w:t xml:space="preserve"> </w:t>
      </w:r>
      <w:r w:rsidRPr="15830909">
        <w:rPr>
          <w:rFonts w:ascii="Times New Roman" w:eastAsiaTheme="minorEastAsia" w:hAnsi="Times New Roman" w:cs="Times New Roman"/>
          <w:color w:val="000000" w:themeColor="text1"/>
          <w:sz w:val="24"/>
          <w:szCs w:val="24"/>
        </w:rPr>
        <w:t>Mean (± SE, n = 2, DW) chemical and mineral composition of the feed (</w:t>
      </w:r>
      <w:proofErr w:type="spellStart"/>
      <w:r w:rsidRPr="15830909">
        <w:rPr>
          <w:rFonts w:ascii="Times New Roman" w:eastAsiaTheme="minorEastAsia" w:hAnsi="Times New Roman" w:cs="Times New Roman"/>
          <w:color w:val="000000" w:themeColor="text1"/>
          <w:sz w:val="24"/>
          <w:szCs w:val="24"/>
        </w:rPr>
        <w:t>Optiline</w:t>
      </w:r>
      <w:proofErr w:type="spellEnd"/>
      <w:r w:rsidRPr="15830909">
        <w:rPr>
          <w:rFonts w:ascii="Times New Roman" w:eastAsiaTheme="minorEastAsia" w:hAnsi="Times New Roman" w:cs="Times New Roman"/>
          <w:color w:val="000000" w:themeColor="text1"/>
          <w:sz w:val="24"/>
          <w:szCs w:val="24"/>
        </w:rPr>
        <w:t xml:space="preserve"> 5 mm, Skretting, Australia).</w:t>
      </w:r>
      <w:bookmarkEnd w:id="0"/>
    </w:p>
    <w:tbl>
      <w:tblPr>
        <w:tblStyle w:val="af"/>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260"/>
      </w:tblGrid>
      <w:tr w:rsidR="0052506A" w:rsidRPr="0052506A" w14:paraId="1556945E" w14:textId="77777777" w:rsidTr="00927D57">
        <w:trPr>
          <w:trHeight w:val="397"/>
          <w:jc w:val="center"/>
        </w:trPr>
        <w:tc>
          <w:tcPr>
            <w:tcW w:w="3261" w:type="dxa"/>
            <w:tcBorders>
              <w:top w:val="single" w:sz="4" w:space="0" w:color="auto"/>
              <w:bottom w:val="single" w:sz="4" w:space="0" w:color="auto"/>
            </w:tcBorders>
            <w:vAlign w:val="center"/>
          </w:tcPr>
          <w:p w14:paraId="3372016D"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Chemicals</w:t>
            </w:r>
          </w:p>
        </w:tc>
        <w:tc>
          <w:tcPr>
            <w:tcW w:w="3260" w:type="dxa"/>
            <w:tcBorders>
              <w:top w:val="single" w:sz="4" w:space="0" w:color="auto"/>
              <w:bottom w:val="single" w:sz="4" w:space="0" w:color="auto"/>
            </w:tcBorders>
            <w:vAlign w:val="center"/>
          </w:tcPr>
          <w:p w14:paraId="37AD7B0E"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Concentration</w:t>
            </w:r>
          </w:p>
        </w:tc>
      </w:tr>
      <w:tr w:rsidR="0052506A" w:rsidRPr="0052506A" w14:paraId="2CC1D888" w14:textId="77777777" w:rsidTr="00927D57">
        <w:trPr>
          <w:trHeight w:val="397"/>
          <w:jc w:val="center"/>
        </w:trPr>
        <w:tc>
          <w:tcPr>
            <w:tcW w:w="3261" w:type="dxa"/>
            <w:vAlign w:val="center"/>
          </w:tcPr>
          <w:p w14:paraId="35868A2E"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Moisture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056FCAC0"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53.18 ± 1.93</w:t>
            </w:r>
          </w:p>
        </w:tc>
      </w:tr>
      <w:tr w:rsidR="0052506A" w:rsidRPr="0052506A" w14:paraId="1B4E8C70" w14:textId="77777777" w:rsidTr="00927D57">
        <w:trPr>
          <w:trHeight w:val="397"/>
          <w:jc w:val="center"/>
        </w:trPr>
        <w:tc>
          <w:tcPr>
            <w:tcW w:w="3261" w:type="dxa"/>
            <w:vAlign w:val="center"/>
          </w:tcPr>
          <w:p w14:paraId="239C9666"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Crude protein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 xml:space="preserve">) </w:t>
            </w:r>
          </w:p>
        </w:tc>
        <w:tc>
          <w:tcPr>
            <w:tcW w:w="3260" w:type="dxa"/>
            <w:vAlign w:val="center"/>
          </w:tcPr>
          <w:p w14:paraId="49429B59"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488.44 ± 0.41</w:t>
            </w:r>
          </w:p>
        </w:tc>
      </w:tr>
      <w:tr w:rsidR="0052506A" w:rsidRPr="0052506A" w14:paraId="5B178B59" w14:textId="77777777" w:rsidTr="00927D57">
        <w:trPr>
          <w:trHeight w:val="397"/>
          <w:jc w:val="center"/>
        </w:trPr>
        <w:tc>
          <w:tcPr>
            <w:tcW w:w="3261" w:type="dxa"/>
            <w:vAlign w:val="center"/>
          </w:tcPr>
          <w:p w14:paraId="2F6E55C4"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Total lipid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36DD1912"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294.72 ± 0.42</w:t>
            </w:r>
          </w:p>
        </w:tc>
      </w:tr>
      <w:tr w:rsidR="0052506A" w:rsidRPr="0052506A" w14:paraId="59060EE1" w14:textId="77777777" w:rsidTr="00927D57">
        <w:trPr>
          <w:trHeight w:val="397"/>
          <w:jc w:val="center"/>
        </w:trPr>
        <w:tc>
          <w:tcPr>
            <w:tcW w:w="3261" w:type="dxa"/>
            <w:vAlign w:val="center"/>
          </w:tcPr>
          <w:p w14:paraId="3149BDEF"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Ash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7508432D"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138.88 ± 5.17</w:t>
            </w:r>
          </w:p>
        </w:tc>
      </w:tr>
      <w:tr w:rsidR="0052506A" w:rsidRPr="0052506A" w14:paraId="0DD0ED50" w14:textId="77777777" w:rsidTr="00927D57">
        <w:trPr>
          <w:trHeight w:val="397"/>
          <w:jc w:val="center"/>
        </w:trPr>
        <w:tc>
          <w:tcPr>
            <w:tcW w:w="3261" w:type="dxa"/>
            <w:vAlign w:val="center"/>
          </w:tcPr>
          <w:p w14:paraId="5875BF67"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Gross energy (MJ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383CC150"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25.33 ± 0.03</w:t>
            </w:r>
          </w:p>
        </w:tc>
      </w:tr>
      <w:tr w:rsidR="0052506A" w:rsidRPr="0052506A" w14:paraId="12F7E546" w14:textId="77777777" w:rsidTr="00927D57">
        <w:trPr>
          <w:trHeight w:val="397"/>
          <w:jc w:val="center"/>
        </w:trPr>
        <w:tc>
          <w:tcPr>
            <w:tcW w:w="3261" w:type="dxa"/>
            <w:vAlign w:val="center"/>
          </w:tcPr>
          <w:p w14:paraId="232CC1F9"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Phosphorus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071A31DF"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10.08 ± 0.23</w:t>
            </w:r>
          </w:p>
        </w:tc>
      </w:tr>
      <w:tr w:rsidR="0052506A" w:rsidRPr="0052506A" w14:paraId="47477C36" w14:textId="77777777" w:rsidTr="00927D57">
        <w:trPr>
          <w:trHeight w:val="397"/>
          <w:jc w:val="center"/>
        </w:trPr>
        <w:tc>
          <w:tcPr>
            <w:tcW w:w="3261" w:type="dxa"/>
            <w:vAlign w:val="center"/>
          </w:tcPr>
          <w:p w14:paraId="4B2356D1"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Calcium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25C66618"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11.80 ± 0.21</w:t>
            </w:r>
          </w:p>
        </w:tc>
      </w:tr>
      <w:tr w:rsidR="0052506A" w:rsidRPr="0052506A" w14:paraId="01954AA3" w14:textId="77777777" w:rsidTr="00927D57">
        <w:trPr>
          <w:trHeight w:val="397"/>
          <w:jc w:val="center"/>
        </w:trPr>
        <w:tc>
          <w:tcPr>
            <w:tcW w:w="3261" w:type="dxa"/>
            <w:vAlign w:val="center"/>
          </w:tcPr>
          <w:p w14:paraId="1C750720"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Magnesium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509F127E"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0.73 ± 0.01</w:t>
            </w:r>
          </w:p>
        </w:tc>
      </w:tr>
      <w:tr w:rsidR="0052506A" w:rsidRPr="0052506A" w14:paraId="15DA48B8" w14:textId="77777777" w:rsidTr="00927D57">
        <w:trPr>
          <w:trHeight w:val="397"/>
          <w:jc w:val="center"/>
        </w:trPr>
        <w:tc>
          <w:tcPr>
            <w:tcW w:w="3261" w:type="dxa"/>
            <w:vAlign w:val="center"/>
          </w:tcPr>
          <w:p w14:paraId="575D010B"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Sodium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25FDD4D2"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1.74 ± 0.04</w:t>
            </w:r>
          </w:p>
        </w:tc>
      </w:tr>
      <w:tr w:rsidR="0052506A" w:rsidRPr="0052506A" w14:paraId="11919DF4" w14:textId="77777777" w:rsidTr="00927D57">
        <w:trPr>
          <w:trHeight w:val="397"/>
          <w:jc w:val="center"/>
        </w:trPr>
        <w:tc>
          <w:tcPr>
            <w:tcW w:w="3261" w:type="dxa"/>
            <w:vAlign w:val="center"/>
          </w:tcPr>
          <w:p w14:paraId="722478CF"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Potassium (g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7C3B7F5A"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4.16 ± 0.11</w:t>
            </w:r>
          </w:p>
        </w:tc>
      </w:tr>
      <w:tr w:rsidR="0052506A" w:rsidRPr="0052506A" w14:paraId="1E094FB7" w14:textId="77777777" w:rsidTr="00927D57">
        <w:trPr>
          <w:trHeight w:val="397"/>
          <w:jc w:val="center"/>
        </w:trPr>
        <w:tc>
          <w:tcPr>
            <w:tcW w:w="3261" w:type="dxa"/>
            <w:vAlign w:val="center"/>
          </w:tcPr>
          <w:p w14:paraId="1A654FAB"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Zinc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3BAE052C"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313.50 ± 8.84</w:t>
            </w:r>
          </w:p>
        </w:tc>
      </w:tr>
      <w:tr w:rsidR="0052506A" w:rsidRPr="0052506A" w14:paraId="57BF4499" w14:textId="77777777" w:rsidTr="00927D57">
        <w:trPr>
          <w:trHeight w:val="397"/>
          <w:jc w:val="center"/>
        </w:trPr>
        <w:tc>
          <w:tcPr>
            <w:tcW w:w="3261" w:type="dxa"/>
            <w:vAlign w:val="center"/>
          </w:tcPr>
          <w:p w14:paraId="6643D414"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Manganese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532BF0BC"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36.45 ± 2.30</w:t>
            </w:r>
          </w:p>
        </w:tc>
      </w:tr>
      <w:tr w:rsidR="0052506A" w:rsidRPr="0052506A" w14:paraId="2E96196B" w14:textId="77777777" w:rsidTr="00927D57">
        <w:trPr>
          <w:trHeight w:val="397"/>
          <w:jc w:val="center"/>
        </w:trPr>
        <w:tc>
          <w:tcPr>
            <w:tcW w:w="3261" w:type="dxa"/>
            <w:vAlign w:val="center"/>
          </w:tcPr>
          <w:p w14:paraId="5FB7756D"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Copper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1C20BA41"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15.69 ± 0.62</w:t>
            </w:r>
          </w:p>
        </w:tc>
      </w:tr>
      <w:tr w:rsidR="0052506A" w:rsidRPr="0052506A" w14:paraId="684F9F79" w14:textId="77777777" w:rsidTr="00927D57">
        <w:trPr>
          <w:trHeight w:val="397"/>
          <w:jc w:val="center"/>
        </w:trPr>
        <w:tc>
          <w:tcPr>
            <w:tcW w:w="3261" w:type="dxa"/>
            <w:vAlign w:val="center"/>
          </w:tcPr>
          <w:p w14:paraId="4F59F47D"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Iron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4905385A"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134.00 ± 4.95</w:t>
            </w:r>
          </w:p>
        </w:tc>
      </w:tr>
      <w:tr w:rsidR="0052506A" w:rsidRPr="0052506A" w14:paraId="5016B385" w14:textId="77777777" w:rsidTr="00927D57">
        <w:trPr>
          <w:trHeight w:val="397"/>
          <w:jc w:val="center"/>
        </w:trPr>
        <w:tc>
          <w:tcPr>
            <w:tcW w:w="3261" w:type="dxa"/>
            <w:vAlign w:val="center"/>
          </w:tcPr>
          <w:p w14:paraId="51A5C96F"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Selenium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602D976A"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1.40 ± 0.04</w:t>
            </w:r>
          </w:p>
        </w:tc>
      </w:tr>
      <w:tr w:rsidR="0052506A" w:rsidRPr="0052506A" w14:paraId="4F4C8494" w14:textId="77777777" w:rsidTr="00927D57">
        <w:trPr>
          <w:trHeight w:val="397"/>
          <w:jc w:val="center"/>
        </w:trPr>
        <w:tc>
          <w:tcPr>
            <w:tcW w:w="3261" w:type="dxa"/>
            <w:vAlign w:val="center"/>
          </w:tcPr>
          <w:p w14:paraId="11F1D261" w14:textId="77777777" w:rsidR="0052506A" w:rsidRPr="0052506A" w:rsidRDefault="0052506A" w:rsidP="00C84D34">
            <w:pPr>
              <w:tabs>
                <w:tab w:val="left" w:pos="0"/>
              </w:tabs>
              <w:ind w:left="105" w:hangingChars="50" w:hanging="105"/>
              <w:jc w:val="left"/>
              <w:rPr>
                <w:rFonts w:ascii="Times New Roman" w:hAnsi="Times New Roman" w:cs="Times New Roman"/>
                <w:szCs w:val="24"/>
                <w:lang w:val="en-AU"/>
              </w:rPr>
            </w:pPr>
            <w:r w:rsidRPr="0052506A">
              <w:rPr>
                <w:rFonts w:ascii="Times New Roman" w:hAnsi="Times New Roman" w:cs="Times New Roman"/>
                <w:szCs w:val="24"/>
                <w:lang w:val="en-AU"/>
              </w:rPr>
              <w:t>Sulphur (mg kg</w:t>
            </w:r>
            <w:r w:rsidRPr="0052506A">
              <w:rPr>
                <w:rFonts w:ascii="Times New Roman" w:hAnsi="Times New Roman" w:cs="Times New Roman"/>
                <w:szCs w:val="24"/>
                <w:vertAlign w:val="superscript"/>
                <w:lang w:val="en-AU"/>
              </w:rPr>
              <w:t>-1</w:t>
            </w:r>
            <w:r w:rsidRPr="0052506A">
              <w:rPr>
                <w:rFonts w:ascii="Times New Roman" w:hAnsi="Times New Roman" w:cs="Times New Roman"/>
                <w:szCs w:val="24"/>
                <w:lang w:val="en-AU"/>
              </w:rPr>
              <w:t>)</w:t>
            </w:r>
          </w:p>
        </w:tc>
        <w:tc>
          <w:tcPr>
            <w:tcW w:w="3260" w:type="dxa"/>
            <w:vAlign w:val="center"/>
          </w:tcPr>
          <w:p w14:paraId="05209DA5" w14:textId="77777777" w:rsidR="0052506A" w:rsidRPr="0052506A" w:rsidRDefault="0052506A" w:rsidP="00C84D34">
            <w:pPr>
              <w:tabs>
                <w:tab w:val="left" w:pos="0"/>
              </w:tabs>
              <w:ind w:leftChars="26" w:left="105" w:hangingChars="23" w:hanging="48"/>
              <w:jc w:val="left"/>
              <w:rPr>
                <w:rFonts w:ascii="Times New Roman" w:hAnsi="Times New Roman" w:cs="Times New Roman"/>
                <w:szCs w:val="24"/>
                <w:lang w:val="en-AU"/>
              </w:rPr>
            </w:pPr>
            <w:r w:rsidRPr="0052506A">
              <w:rPr>
                <w:rFonts w:ascii="Times New Roman" w:hAnsi="Times New Roman" w:cs="Times New Roman"/>
                <w:szCs w:val="24"/>
                <w:lang w:val="en-AU"/>
              </w:rPr>
              <w:t>5.38 ± 0.08</w:t>
            </w:r>
          </w:p>
        </w:tc>
      </w:tr>
    </w:tbl>
    <w:p w14:paraId="21D7EE12" w14:textId="77777777" w:rsidR="00AD3F9B" w:rsidRDefault="00AD3F9B" w:rsidP="00C84D34">
      <w:pPr>
        <w:spacing w:before="240" w:after="240" w:line="360" w:lineRule="auto"/>
      </w:pPr>
    </w:p>
    <w:p w14:paraId="49CF82B1" w14:textId="57FB09A7" w:rsidR="00AD3F9B" w:rsidRPr="00893794" w:rsidRDefault="00893794" w:rsidP="00C84D34">
      <w:pPr>
        <w:spacing w:before="240" w:after="240" w:line="360" w:lineRule="auto"/>
        <w:rPr>
          <w:rFonts w:ascii="Times New Roman" w:hAnsi="Times New Roman" w:cs="Times New Roman"/>
          <w:b/>
          <w:bCs/>
          <w:sz w:val="24"/>
          <w:lang w:val="en-AU"/>
        </w:rPr>
      </w:pPr>
      <w:r w:rsidRPr="00893794">
        <w:rPr>
          <w:rFonts w:ascii="Times New Roman" w:hAnsi="Times New Roman" w:cs="Times New Roman"/>
          <w:b/>
          <w:bCs/>
          <w:sz w:val="24"/>
          <w:lang w:val="en-AU"/>
        </w:rPr>
        <w:t>References</w:t>
      </w:r>
    </w:p>
    <w:p w14:paraId="3BF3FA26" w14:textId="41086BE0" w:rsidR="00AD3F9B" w:rsidRPr="00893794" w:rsidRDefault="00AD3F9B" w:rsidP="00AD3F9B">
      <w:pPr>
        <w:pStyle w:val="EndNoteBibliography"/>
        <w:rPr>
          <w:rFonts w:ascii="Times New Roman" w:eastAsiaTheme="minorEastAsia" w:hAnsi="Times New Roman" w:cs="Times New Roman"/>
          <w:sz w:val="24"/>
          <w:lang w:val="en-AU"/>
        </w:rPr>
      </w:pPr>
      <w:r w:rsidRPr="00893794">
        <w:rPr>
          <w:rFonts w:ascii="Times New Roman" w:eastAsiaTheme="minorEastAsia" w:hAnsi="Times New Roman" w:cs="Times New Roman"/>
          <w:sz w:val="24"/>
          <w:lang w:val="en-AU"/>
        </w:rPr>
        <w:fldChar w:fldCharType="begin"/>
      </w:r>
      <w:r w:rsidRPr="00893794">
        <w:rPr>
          <w:rFonts w:ascii="Times New Roman" w:eastAsiaTheme="minorEastAsia" w:hAnsi="Times New Roman" w:cs="Times New Roman"/>
          <w:sz w:val="24"/>
          <w:lang w:val="en-AU"/>
        </w:rPr>
        <w:instrText xml:space="preserve"> ADDIN EN.REFLIST </w:instrText>
      </w:r>
      <w:r w:rsidRPr="00893794">
        <w:rPr>
          <w:rFonts w:ascii="Times New Roman" w:eastAsiaTheme="minorEastAsia" w:hAnsi="Times New Roman" w:cs="Times New Roman"/>
          <w:sz w:val="24"/>
          <w:lang w:val="en-AU"/>
        </w:rPr>
        <w:fldChar w:fldCharType="separate"/>
      </w:r>
      <w:r w:rsidRPr="00893794">
        <w:rPr>
          <w:rFonts w:ascii="Times New Roman" w:eastAsiaTheme="minorEastAsia" w:hAnsi="Times New Roman" w:cs="Times New Roman"/>
          <w:sz w:val="24"/>
          <w:lang w:val="en-AU"/>
        </w:rPr>
        <w:t xml:space="preserve">Foddai M, Carter CG, Wood AT, Anderson KC, Semmens JM. 2025. Response of Atlantic salmon to long-term sustained aerobic training at suboptimum elevated temperature: Cardiac anatomy, aerobic performance, and growth implications. Comparative Biochemistry and Physiology Part A: Molecular &amp; Integrative Physiology. 306:111874. </w:t>
      </w:r>
      <w:hyperlink r:id="rId4" w:history="1">
        <w:r w:rsidRPr="00893794">
          <w:rPr>
            <w:rFonts w:ascii="Times New Roman" w:eastAsiaTheme="minorEastAsia" w:hAnsi="Times New Roman" w:cs="Times New Roman"/>
            <w:sz w:val="24"/>
            <w:lang w:val="en-AU"/>
          </w:rPr>
          <w:t>https://doi.org/10.1016/j.cbpa.2025.111874</w:t>
        </w:r>
      </w:hyperlink>
    </w:p>
    <w:p w14:paraId="4587001A" w14:textId="51015A59" w:rsidR="0052506A" w:rsidRDefault="00AD3F9B" w:rsidP="00C84D34">
      <w:pPr>
        <w:spacing w:before="240" w:after="240" w:line="360" w:lineRule="auto"/>
      </w:pPr>
      <w:r w:rsidRPr="00893794">
        <w:rPr>
          <w:rFonts w:ascii="Times New Roman" w:hAnsi="Times New Roman" w:cs="Times New Roman"/>
          <w:sz w:val="24"/>
          <w:lang w:val="en-AU"/>
        </w:rPr>
        <w:fldChar w:fldCharType="end"/>
      </w:r>
    </w:p>
    <w:sectPr w:rsidR="005250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tf-standard-cse&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epvz0ve0stzledeerv9ev0xptafr2fxaxd&quot;&gt;My EndNote Library&lt;record-ids&gt;&lt;item&gt;2606&lt;/item&gt;&lt;/record-ids&gt;&lt;/item&gt;&lt;/Libraries&gt;"/>
  </w:docVars>
  <w:rsids>
    <w:rsidRoot w:val="00B969F2"/>
    <w:rsid w:val="0000509C"/>
    <w:rsid w:val="00024AFE"/>
    <w:rsid w:val="00076571"/>
    <w:rsid w:val="00082CD8"/>
    <w:rsid w:val="000A07A4"/>
    <w:rsid w:val="000A6CFC"/>
    <w:rsid w:val="001100F5"/>
    <w:rsid w:val="001765B5"/>
    <w:rsid w:val="001A3ADE"/>
    <w:rsid w:val="001D2BC7"/>
    <w:rsid w:val="001F441E"/>
    <w:rsid w:val="001F4738"/>
    <w:rsid w:val="002077D8"/>
    <w:rsid w:val="00226959"/>
    <w:rsid w:val="00235257"/>
    <w:rsid w:val="002357CB"/>
    <w:rsid w:val="0024128A"/>
    <w:rsid w:val="00250EEF"/>
    <w:rsid w:val="00263AF4"/>
    <w:rsid w:val="00286C24"/>
    <w:rsid w:val="002913CB"/>
    <w:rsid w:val="002C1917"/>
    <w:rsid w:val="002D62D2"/>
    <w:rsid w:val="00307D86"/>
    <w:rsid w:val="00350718"/>
    <w:rsid w:val="00352174"/>
    <w:rsid w:val="00356E8C"/>
    <w:rsid w:val="0036525E"/>
    <w:rsid w:val="003665F9"/>
    <w:rsid w:val="00374F6A"/>
    <w:rsid w:val="00387B35"/>
    <w:rsid w:val="003C7EB6"/>
    <w:rsid w:val="003D55F8"/>
    <w:rsid w:val="003E5018"/>
    <w:rsid w:val="004029F0"/>
    <w:rsid w:val="004030F4"/>
    <w:rsid w:val="004133A6"/>
    <w:rsid w:val="004167CD"/>
    <w:rsid w:val="00423505"/>
    <w:rsid w:val="00431671"/>
    <w:rsid w:val="004708A2"/>
    <w:rsid w:val="00481713"/>
    <w:rsid w:val="004C0590"/>
    <w:rsid w:val="004C3EC3"/>
    <w:rsid w:val="004C6B23"/>
    <w:rsid w:val="004D36A1"/>
    <w:rsid w:val="004D375A"/>
    <w:rsid w:val="004F6DA5"/>
    <w:rsid w:val="00500E0D"/>
    <w:rsid w:val="00502637"/>
    <w:rsid w:val="0052506A"/>
    <w:rsid w:val="0054382F"/>
    <w:rsid w:val="00562203"/>
    <w:rsid w:val="005647FB"/>
    <w:rsid w:val="0059029E"/>
    <w:rsid w:val="00591161"/>
    <w:rsid w:val="00592EFA"/>
    <w:rsid w:val="005A0E35"/>
    <w:rsid w:val="005B3ED6"/>
    <w:rsid w:val="005C0FD4"/>
    <w:rsid w:val="005D2AD5"/>
    <w:rsid w:val="005D3BF8"/>
    <w:rsid w:val="005D6E1B"/>
    <w:rsid w:val="005E72B1"/>
    <w:rsid w:val="00623F55"/>
    <w:rsid w:val="00631390"/>
    <w:rsid w:val="006378E6"/>
    <w:rsid w:val="006473BD"/>
    <w:rsid w:val="006572BE"/>
    <w:rsid w:val="006916D5"/>
    <w:rsid w:val="006A2DE4"/>
    <w:rsid w:val="006B2128"/>
    <w:rsid w:val="006C56C5"/>
    <w:rsid w:val="006D7205"/>
    <w:rsid w:val="006E6C5A"/>
    <w:rsid w:val="007429D5"/>
    <w:rsid w:val="00743D84"/>
    <w:rsid w:val="00752FEF"/>
    <w:rsid w:val="00777E00"/>
    <w:rsid w:val="007967FB"/>
    <w:rsid w:val="007B071A"/>
    <w:rsid w:val="007B09D7"/>
    <w:rsid w:val="007B7A53"/>
    <w:rsid w:val="007C79AD"/>
    <w:rsid w:val="007E6A1A"/>
    <w:rsid w:val="00811C73"/>
    <w:rsid w:val="00834803"/>
    <w:rsid w:val="00847FEA"/>
    <w:rsid w:val="008560A8"/>
    <w:rsid w:val="008646C6"/>
    <w:rsid w:val="0086792C"/>
    <w:rsid w:val="00893794"/>
    <w:rsid w:val="008948F1"/>
    <w:rsid w:val="008B1121"/>
    <w:rsid w:val="008B11DF"/>
    <w:rsid w:val="008C3638"/>
    <w:rsid w:val="008C79C7"/>
    <w:rsid w:val="008D17F3"/>
    <w:rsid w:val="008F54A2"/>
    <w:rsid w:val="009057A7"/>
    <w:rsid w:val="00907429"/>
    <w:rsid w:val="00914159"/>
    <w:rsid w:val="00921E9A"/>
    <w:rsid w:val="00935A49"/>
    <w:rsid w:val="00976312"/>
    <w:rsid w:val="009963FA"/>
    <w:rsid w:val="009B2F28"/>
    <w:rsid w:val="009C4688"/>
    <w:rsid w:val="00A05DD1"/>
    <w:rsid w:val="00A10410"/>
    <w:rsid w:val="00A11BC6"/>
    <w:rsid w:val="00A2210D"/>
    <w:rsid w:val="00A27011"/>
    <w:rsid w:val="00A42DE9"/>
    <w:rsid w:val="00A444E1"/>
    <w:rsid w:val="00A57D4E"/>
    <w:rsid w:val="00A72256"/>
    <w:rsid w:val="00A85B75"/>
    <w:rsid w:val="00A964CE"/>
    <w:rsid w:val="00AA574D"/>
    <w:rsid w:val="00AD226E"/>
    <w:rsid w:val="00AD3F9B"/>
    <w:rsid w:val="00AD6706"/>
    <w:rsid w:val="00AE2787"/>
    <w:rsid w:val="00AE5A45"/>
    <w:rsid w:val="00AF7669"/>
    <w:rsid w:val="00B212C5"/>
    <w:rsid w:val="00B24420"/>
    <w:rsid w:val="00B35CA3"/>
    <w:rsid w:val="00B75FD6"/>
    <w:rsid w:val="00B77EDF"/>
    <w:rsid w:val="00B815D4"/>
    <w:rsid w:val="00B94F21"/>
    <w:rsid w:val="00B969F2"/>
    <w:rsid w:val="00BC17BE"/>
    <w:rsid w:val="00BE0687"/>
    <w:rsid w:val="00BF54DE"/>
    <w:rsid w:val="00BF70A1"/>
    <w:rsid w:val="00C07ACA"/>
    <w:rsid w:val="00C20714"/>
    <w:rsid w:val="00C23D27"/>
    <w:rsid w:val="00C26109"/>
    <w:rsid w:val="00C8100B"/>
    <w:rsid w:val="00C84D34"/>
    <w:rsid w:val="00C8614E"/>
    <w:rsid w:val="00CA2391"/>
    <w:rsid w:val="00CC706D"/>
    <w:rsid w:val="00CD25DD"/>
    <w:rsid w:val="00CD314A"/>
    <w:rsid w:val="00D2453E"/>
    <w:rsid w:val="00D263F5"/>
    <w:rsid w:val="00D55072"/>
    <w:rsid w:val="00D576D3"/>
    <w:rsid w:val="00D718E5"/>
    <w:rsid w:val="00D8128B"/>
    <w:rsid w:val="00D957EF"/>
    <w:rsid w:val="00D969DE"/>
    <w:rsid w:val="00D972E3"/>
    <w:rsid w:val="00DA05D4"/>
    <w:rsid w:val="00DA1D7F"/>
    <w:rsid w:val="00DD386B"/>
    <w:rsid w:val="00E10969"/>
    <w:rsid w:val="00E82287"/>
    <w:rsid w:val="00E95404"/>
    <w:rsid w:val="00EA5B0B"/>
    <w:rsid w:val="00EC59DE"/>
    <w:rsid w:val="00ED79A6"/>
    <w:rsid w:val="00EE4BBF"/>
    <w:rsid w:val="00F202C8"/>
    <w:rsid w:val="00F34C13"/>
    <w:rsid w:val="00F37625"/>
    <w:rsid w:val="00F4746E"/>
    <w:rsid w:val="00F565A7"/>
    <w:rsid w:val="00F67B79"/>
    <w:rsid w:val="00F74453"/>
    <w:rsid w:val="00F8133F"/>
    <w:rsid w:val="00F912C7"/>
    <w:rsid w:val="00FA075F"/>
    <w:rsid w:val="00FC0CB5"/>
    <w:rsid w:val="00FD18CD"/>
    <w:rsid w:val="00FF6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61C0B84"/>
  <w15:chartTrackingRefBased/>
  <w15:docId w15:val="{A86EC370-DC27-2C48-A73A-3CC136AD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969F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969F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969F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969F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969F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969F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969F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969F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969F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69F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969F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969F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969F2"/>
    <w:rPr>
      <w:rFonts w:cstheme="majorBidi"/>
      <w:color w:val="0F4761" w:themeColor="accent1" w:themeShade="BF"/>
      <w:sz w:val="28"/>
      <w:szCs w:val="28"/>
    </w:rPr>
  </w:style>
  <w:style w:type="character" w:customStyle="1" w:styleId="50">
    <w:name w:val="标题 5 字符"/>
    <w:basedOn w:val="a0"/>
    <w:link w:val="5"/>
    <w:uiPriority w:val="9"/>
    <w:semiHidden/>
    <w:rsid w:val="00B969F2"/>
    <w:rPr>
      <w:rFonts w:cstheme="majorBidi"/>
      <w:color w:val="0F4761" w:themeColor="accent1" w:themeShade="BF"/>
      <w:sz w:val="24"/>
    </w:rPr>
  </w:style>
  <w:style w:type="character" w:customStyle="1" w:styleId="60">
    <w:name w:val="标题 6 字符"/>
    <w:basedOn w:val="a0"/>
    <w:link w:val="6"/>
    <w:uiPriority w:val="9"/>
    <w:semiHidden/>
    <w:rsid w:val="00B969F2"/>
    <w:rPr>
      <w:rFonts w:cstheme="majorBidi"/>
      <w:b/>
      <w:bCs/>
      <w:color w:val="0F4761" w:themeColor="accent1" w:themeShade="BF"/>
    </w:rPr>
  </w:style>
  <w:style w:type="character" w:customStyle="1" w:styleId="70">
    <w:name w:val="标题 7 字符"/>
    <w:basedOn w:val="a0"/>
    <w:link w:val="7"/>
    <w:uiPriority w:val="9"/>
    <w:semiHidden/>
    <w:rsid w:val="00B969F2"/>
    <w:rPr>
      <w:rFonts w:cstheme="majorBidi"/>
      <w:b/>
      <w:bCs/>
      <w:color w:val="595959" w:themeColor="text1" w:themeTint="A6"/>
    </w:rPr>
  </w:style>
  <w:style w:type="character" w:customStyle="1" w:styleId="80">
    <w:name w:val="标题 8 字符"/>
    <w:basedOn w:val="a0"/>
    <w:link w:val="8"/>
    <w:uiPriority w:val="9"/>
    <w:semiHidden/>
    <w:rsid w:val="00B969F2"/>
    <w:rPr>
      <w:rFonts w:cstheme="majorBidi"/>
      <w:color w:val="595959" w:themeColor="text1" w:themeTint="A6"/>
    </w:rPr>
  </w:style>
  <w:style w:type="character" w:customStyle="1" w:styleId="90">
    <w:name w:val="标题 9 字符"/>
    <w:basedOn w:val="a0"/>
    <w:link w:val="9"/>
    <w:uiPriority w:val="9"/>
    <w:semiHidden/>
    <w:rsid w:val="00B969F2"/>
    <w:rPr>
      <w:rFonts w:eastAsiaTheme="majorEastAsia" w:cstheme="majorBidi"/>
      <w:color w:val="595959" w:themeColor="text1" w:themeTint="A6"/>
    </w:rPr>
  </w:style>
  <w:style w:type="paragraph" w:styleId="a3">
    <w:name w:val="Title"/>
    <w:basedOn w:val="a"/>
    <w:next w:val="a"/>
    <w:link w:val="a4"/>
    <w:uiPriority w:val="10"/>
    <w:qFormat/>
    <w:rsid w:val="00B969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969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9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969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9F2"/>
    <w:pPr>
      <w:spacing w:before="160"/>
      <w:jc w:val="center"/>
    </w:pPr>
    <w:rPr>
      <w:i/>
      <w:iCs/>
      <w:color w:val="404040" w:themeColor="text1" w:themeTint="BF"/>
    </w:rPr>
  </w:style>
  <w:style w:type="character" w:customStyle="1" w:styleId="a8">
    <w:name w:val="引用 字符"/>
    <w:basedOn w:val="a0"/>
    <w:link w:val="a7"/>
    <w:uiPriority w:val="29"/>
    <w:rsid w:val="00B969F2"/>
    <w:rPr>
      <w:i/>
      <w:iCs/>
      <w:color w:val="404040" w:themeColor="text1" w:themeTint="BF"/>
    </w:rPr>
  </w:style>
  <w:style w:type="paragraph" w:styleId="a9">
    <w:name w:val="List Paragraph"/>
    <w:basedOn w:val="a"/>
    <w:uiPriority w:val="34"/>
    <w:qFormat/>
    <w:rsid w:val="00B969F2"/>
    <w:pPr>
      <w:ind w:left="720"/>
      <w:contextualSpacing/>
    </w:pPr>
  </w:style>
  <w:style w:type="character" w:styleId="aa">
    <w:name w:val="Intense Emphasis"/>
    <w:basedOn w:val="a0"/>
    <w:uiPriority w:val="21"/>
    <w:qFormat/>
    <w:rsid w:val="00B969F2"/>
    <w:rPr>
      <w:i/>
      <w:iCs/>
      <w:color w:val="0F4761" w:themeColor="accent1" w:themeShade="BF"/>
    </w:rPr>
  </w:style>
  <w:style w:type="paragraph" w:styleId="ab">
    <w:name w:val="Intense Quote"/>
    <w:basedOn w:val="a"/>
    <w:next w:val="a"/>
    <w:link w:val="ac"/>
    <w:uiPriority w:val="30"/>
    <w:qFormat/>
    <w:rsid w:val="00B96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969F2"/>
    <w:rPr>
      <w:i/>
      <w:iCs/>
      <w:color w:val="0F4761" w:themeColor="accent1" w:themeShade="BF"/>
    </w:rPr>
  </w:style>
  <w:style w:type="character" w:styleId="ad">
    <w:name w:val="Intense Reference"/>
    <w:basedOn w:val="a0"/>
    <w:uiPriority w:val="32"/>
    <w:qFormat/>
    <w:rsid w:val="00B969F2"/>
    <w:rPr>
      <w:b/>
      <w:bCs/>
      <w:smallCaps/>
      <w:color w:val="0F4761" w:themeColor="accent1" w:themeShade="BF"/>
      <w:spacing w:val="5"/>
    </w:rPr>
  </w:style>
  <w:style w:type="paragraph" w:styleId="ae">
    <w:name w:val="caption"/>
    <w:basedOn w:val="a"/>
    <w:next w:val="a"/>
    <w:uiPriority w:val="35"/>
    <w:unhideWhenUsed/>
    <w:qFormat/>
    <w:rsid w:val="00C23D27"/>
    <w:pPr>
      <w:spacing w:before="160" w:line="360" w:lineRule="auto"/>
      <w:ind w:leftChars="300" w:left="300"/>
      <w:jc w:val="both"/>
    </w:pPr>
    <w:rPr>
      <w:rFonts w:asciiTheme="majorHAnsi" w:eastAsia="黑体" w:hAnsiTheme="majorHAnsi" w:cstheme="majorBidi"/>
      <w:sz w:val="20"/>
      <w:szCs w:val="20"/>
      <w:lang w:val="en-AU"/>
      <w14:ligatures w14:val="none"/>
    </w:rPr>
  </w:style>
  <w:style w:type="table" w:styleId="af">
    <w:name w:val="Table Grid"/>
    <w:basedOn w:val="a1"/>
    <w:uiPriority w:val="39"/>
    <w:rsid w:val="0052506A"/>
    <w:pPr>
      <w:widowControl w:val="0"/>
      <w:spacing w:after="0" w:line="240" w:lineRule="auto"/>
      <w:jc w:val="both"/>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4D375A"/>
    <w:rPr>
      <w:sz w:val="16"/>
      <w:szCs w:val="16"/>
    </w:rPr>
  </w:style>
  <w:style w:type="paragraph" w:styleId="af1">
    <w:name w:val="annotation text"/>
    <w:basedOn w:val="a"/>
    <w:link w:val="af2"/>
    <w:uiPriority w:val="99"/>
    <w:unhideWhenUsed/>
    <w:rsid w:val="004D375A"/>
    <w:pPr>
      <w:spacing w:before="160" w:line="240" w:lineRule="auto"/>
      <w:ind w:leftChars="300" w:left="300"/>
      <w:jc w:val="both"/>
    </w:pPr>
    <w:rPr>
      <w:rFonts w:ascii="Times New Roman" w:hAnsi="Times New Roman"/>
      <w:color w:val="000000" w:themeColor="text1"/>
      <w:sz w:val="20"/>
      <w:szCs w:val="20"/>
      <w14:ligatures w14:val="none"/>
    </w:rPr>
  </w:style>
  <w:style w:type="character" w:customStyle="1" w:styleId="af2">
    <w:name w:val="批注文字 字符"/>
    <w:basedOn w:val="a0"/>
    <w:link w:val="af1"/>
    <w:uiPriority w:val="99"/>
    <w:rsid w:val="004D375A"/>
    <w:rPr>
      <w:rFonts w:ascii="Times New Roman" w:hAnsi="Times New Roman"/>
      <w:color w:val="000000" w:themeColor="text1"/>
      <w:sz w:val="20"/>
      <w:szCs w:val="20"/>
      <w14:ligatures w14:val="none"/>
    </w:rPr>
  </w:style>
  <w:style w:type="paragraph" w:customStyle="1" w:styleId="EndNoteBibliographyTitle">
    <w:name w:val="EndNote Bibliography Title"/>
    <w:basedOn w:val="a"/>
    <w:link w:val="EndNoteBibliographyTitle0"/>
    <w:rsid w:val="00AD3F9B"/>
    <w:pPr>
      <w:spacing w:after="0"/>
      <w:jc w:val="center"/>
    </w:pPr>
    <w:rPr>
      <w:rFonts w:ascii="DengXian" w:eastAsia="DengXian" w:hAnsi="DengXian"/>
    </w:rPr>
  </w:style>
  <w:style w:type="character" w:customStyle="1" w:styleId="EndNoteBibliographyTitle0">
    <w:name w:val="EndNote Bibliography Title 字符"/>
    <w:basedOn w:val="a0"/>
    <w:link w:val="EndNoteBibliographyTitle"/>
    <w:rsid w:val="00AD3F9B"/>
    <w:rPr>
      <w:rFonts w:ascii="DengXian" w:eastAsia="DengXian" w:hAnsi="DengXian"/>
    </w:rPr>
  </w:style>
  <w:style w:type="paragraph" w:customStyle="1" w:styleId="EndNoteBibliography">
    <w:name w:val="EndNote Bibliography"/>
    <w:basedOn w:val="a"/>
    <w:link w:val="EndNoteBibliography0"/>
    <w:rsid w:val="00AD3F9B"/>
    <w:pPr>
      <w:spacing w:line="240" w:lineRule="auto"/>
    </w:pPr>
    <w:rPr>
      <w:rFonts w:ascii="DengXian" w:eastAsia="DengXian" w:hAnsi="DengXian"/>
    </w:rPr>
  </w:style>
  <w:style w:type="character" w:customStyle="1" w:styleId="EndNoteBibliography0">
    <w:name w:val="EndNote Bibliography 字符"/>
    <w:basedOn w:val="a0"/>
    <w:link w:val="EndNoteBibliography"/>
    <w:rsid w:val="00AD3F9B"/>
    <w:rPr>
      <w:rFonts w:ascii="DengXian" w:eastAsia="DengXian" w:hAnsi="DengXian"/>
    </w:rPr>
  </w:style>
  <w:style w:type="character" w:styleId="af3">
    <w:name w:val="Hyperlink"/>
    <w:basedOn w:val="a0"/>
    <w:uiPriority w:val="99"/>
    <w:unhideWhenUsed/>
    <w:rsid w:val="00AD3F9B"/>
    <w:rPr>
      <w:color w:val="467886" w:themeColor="hyperlink"/>
      <w:u w:val="single"/>
    </w:rPr>
  </w:style>
  <w:style w:type="character" w:styleId="af4">
    <w:name w:val="Unresolved Mention"/>
    <w:basedOn w:val="a0"/>
    <w:uiPriority w:val="99"/>
    <w:semiHidden/>
    <w:unhideWhenUsed/>
    <w:rsid w:val="00AD3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bpa.2025.111874"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864</Words>
  <Characters>4929</Characters>
  <Application>Microsoft Office Word</Application>
  <DocSecurity>0</DocSecurity>
  <Lines>41</Lines>
  <Paragraphs>11</Paragraphs>
  <ScaleCrop>false</ScaleCrop>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Zhan</dc:creator>
  <cp:keywords/>
  <dc:description/>
  <cp:lastModifiedBy>Xin Zhan</cp:lastModifiedBy>
  <cp:revision>14</cp:revision>
  <dcterms:created xsi:type="dcterms:W3CDTF">2026-03-30T02:09:00Z</dcterms:created>
  <dcterms:modified xsi:type="dcterms:W3CDTF">2026-06-14T11:12:00Z</dcterms:modified>
</cp:coreProperties>
</file>