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A2969">
      <w:pPr>
        <w:spacing w:after="120" w:line="240" w:lineRule="auto"/>
        <w:jc w:val="left"/>
      </w:pPr>
      <w:r>
        <w:rPr>
          <w:b/>
          <w:sz w:val="20"/>
        </w:rPr>
        <w:t>Supplementary Table S1 Sensitivity analyses using alternative time adjustment strategies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2326"/>
        <w:gridCol w:w="2326"/>
        <w:gridCol w:w="2326"/>
        <w:gridCol w:w="2326"/>
        <w:gridCol w:w="2326"/>
      </w:tblGrid>
      <w:tr w14:paraId="57D7A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D369E7">
            <w:pPr>
              <w:spacing w:line="240" w:lineRule="auto"/>
              <w:jc w:val="left"/>
            </w:pPr>
            <w:r>
              <w:rPr>
                <w:b/>
                <w:sz w:val="20"/>
              </w:rPr>
              <w:t>Outcome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A9284B5">
            <w:pPr>
              <w:spacing w:line="240" w:lineRule="auto"/>
              <w:jc w:val="left"/>
            </w:pPr>
            <w:r>
              <w:rPr>
                <w:b/>
                <w:sz w:val="20"/>
              </w:rPr>
              <w:t>Detection pattern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1F9D9AA">
            <w:pPr>
              <w:spacing w:line="240" w:lineRule="auto"/>
              <w:jc w:val="center"/>
            </w:pPr>
            <w:r>
              <w:rPr>
                <w:b/>
                <w:sz w:val="20"/>
              </w:rPr>
              <w:t>Year-adjusted model effect (95% CI)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20144A">
            <w:pPr>
              <w:spacing w:line="240" w:lineRule="auto"/>
              <w:jc w:val="center"/>
              <w:rPr>
                <w:i/>
                <w:iCs/>
              </w:rPr>
            </w:pPr>
            <w:r>
              <w:rPr>
                <w:b/>
                <w:i/>
                <w:iCs/>
                <w:sz w:val="20"/>
              </w:rPr>
              <w:t>P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EB74A4D">
            <w:pPr>
              <w:spacing w:line="240" w:lineRule="auto"/>
              <w:jc w:val="center"/>
            </w:pPr>
            <w:r>
              <w:rPr>
                <w:b/>
                <w:sz w:val="20"/>
              </w:rPr>
              <w:t>Post-NPI restricted model effect (95% CI)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8AA49A3">
            <w:pPr>
              <w:spacing w:line="240" w:lineRule="auto"/>
              <w:jc w:val="center"/>
              <w:rPr>
                <w:i/>
                <w:iCs/>
              </w:rPr>
            </w:pPr>
            <w:r>
              <w:rPr>
                <w:b/>
                <w:i/>
                <w:iCs/>
                <w:sz w:val="20"/>
              </w:rPr>
              <w:t>P</w:t>
            </w:r>
          </w:p>
        </w:tc>
      </w:tr>
      <w:tr w14:paraId="6BD9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47059D">
            <w:pPr>
              <w:spacing w:line="240" w:lineRule="auto"/>
              <w:jc w:val="left"/>
            </w:pPr>
            <w:r>
              <w:rPr>
                <w:sz w:val="20"/>
              </w:rPr>
              <w:t>Length of stay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AAF1301">
            <w:pPr>
              <w:spacing w:line="240" w:lineRule="auto"/>
              <w:jc w:val="left"/>
            </w:pPr>
            <w:r>
              <w:rPr>
                <w:sz w:val="20"/>
              </w:rPr>
              <w:t>+ bacteria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978E554">
            <w:pPr>
              <w:spacing w:line="240" w:lineRule="auto"/>
              <w:jc w:val="center"/>
            </w:pPr>
            <w:r>
              <w:rPr>
                <w:sz w:val="20"/>
              </w:rPr>
              <w:t>aMR 1.066 (1.042–1.090)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02AACB">
            <w:pPr>
              <w:spacing w:line="240" w:lineRule="auto"/>
              <w:jc w:val="center"/>
            </w:pPr>
            <w:r>
              <w:rPr>
                <w:sz w:val="20"/>
              </w:rPr>
              <w:t>&lt;0.001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75F216F">
            <w:pPr>
              <w:spacing w:line="240" w:lineRule="auto"/>
              <w:jc w:val="center"/>
            </w:pPr>
            <w:r>
              <w:rPr>
                <w:sz w:val="20"/>
              </w:rPr>
              <w:t>aMR 1.053 (1.029–1.077)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7928A8D">
            <w:pPr>
              <w:spacing w:line="240" w:lineRule="auto"/>
              <w:jc w:val="center"/>
            </w:pPr>
            <w:r>
              <w:rPr>
                <w:sz w:val="20"/>
              </w:rPr>
              <w:t>&lt;0.001</w:t>
            </w:r>
          </w:p>
        </w:tc>
      </w:tr>
      <w:tr w14:paraId="71E9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372875B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BBF8280">
            <w:pPr>
              <w:spacing w:line="240" w:lineRule="auto"/>
              <w:jc w:val="left"/>
            </w:pPr>
            <w:r>
              <w:rPr>
                <w:sz w:val="20"/>
              </w:rPr>
              <w:t>+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CFE5D89">
            <w:pPr>
              <w:spacing w:line="240" w:lineRule="auto"/>
              <w:jc w:val="center"/>
            </w:pPr>
            <w:r>
              <w:rPr>
                <w:sz w:val="20"/>
              </w:rPr>
              <w:t>aMR 0.987 (0.967–1.007)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557467B">
            <w:pPr>
              <w:spacing w:line="240" w:lineRule="auto"/>
              <w:jc w:val="center"/>
            </w:pPr>
            <w:r>
              <w:rPr>
                <w:sz w:val="20"/>
              </w:rPr>
              <w:t>0.207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037C44F">
            <w:pPr>
              <w:spacing w:line="240" w:lineRule="auto"/>
              <w:jc w:val="center"/>
            </w:pPr>
            <w:r>
              <w:rPr>
                <w:sz w:val="20"/>
              </w:rPr>
              <w:t>aMR 0.984 (0.963–1.005)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672EC8E">
            <w:pPr>
              <w:spacing w:line="240" w:lineRule="auto"/>
              <w:jc w:val="center"/>
            </w:pPr>
            <w:r>
              <w:rPr>
                <w:sz w:val="20"/>
              </w:rPr>
              <w:t>0.131</w:t>
            </w:r>
          </w:p>
        </w:tc>
      </w:tr>
      <w:tr w14:paraId="75EE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282187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9B07FD">
            <w:pPr>
              <w:spacing w:line="240" w:lineRule="auto"/>
              <w:jc w:val="left"/>
            </w:pPr>
            <w:r>
              <w:rPr>
                <w:sz w:val="20"/>
              </w:rPr>
              <w:t>+ bacteria and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8E6DD8">
            <w:pPr>
              <w:spacing w:line="240" w:lineRule="auto"/>
              <w:jc w:val="center"/>
            </w:pPr>
            <w:r>
              <w:rPr>
                <w:sz w:val="20"/>
              </w:rPr>
              <w:t>aMR 1.060 (1.032–1.088)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18D7C0">
            <w:pPr>
              <w:spacing w:line="240" w:lineRule="auto"/>
              <w:jc w:val="center"/>
            </w:pPr>
            <w:r>
              <w:rPr>
                <w:sz w:val="20"/>
              </w:rPr>
              <w:t>&lt;0.001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C19CA3F">
            <w:pPr>
              <w:spacing w:line="240" w:lineRule="auto"/>
              <w:jc w:val="center"/>
            </w:pPr>
            <w:r>
              <w:rPr>
                <w:sz w:val="20"/>
              </w:rPr>
              <w:t>aMR 1.046 (1.019–1.074)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470C981">
            <w:pPr>
              <w:spacing w:line="240" w:lineRule="auto"/>
              <w:jc w:val="center"/>
            </w:pPr>
            <w:r>
              <w:rPr>
                <w:sz w:val="20"/>
              </w:rPr>
              <w:t>&lt;0.001</w:t>
            </w:r>
          </w:p>
        </w:tc>
      </w:tr>
      <w:tr w14:paraId="27B0E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C3932CC">
            <w:pPr>
              <w:spacing w:line="240" w:lineRule="auto"/>
              <w:jc w:val="left"/>
            </w:pPr>
            <w:r>
              <w:rPr>
                <w:sz w:val="20"/>
              </w:rPr>
              <w:t>Pulmonary consolidation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95EA322">
            <w:pPr>
              <w:spacing w:line="240" w:lineRule="auto"/>
              <w:jc w:val="left"/>
            </w:pPr>
            <w:r>
              <w:rPr>
                <w:sz w:val="20"/>
              </w:rPr>
              <w:t>+ bacteria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A54643">
            <w:pPr>
              <w:spacing w:line="240" w:lineRule="auto"/>
              <w:jc w:val="center"/>
            </w:pPr>
            <w:r>
              <w:rPr>
                <w:sz w:val="20"/>
              </w:rPr>
              <w:t>aOR 1.154 (0.873–1.527)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5855C4B">
            <w:pPr>
              <w:spacing w:line="240" w:lineRule="auto"/>
              <w:jc w:val="center"/>
            </w:pPr>
            <w:r>
              <w:rPr>
                <w:sz w:val="20"/>
              </w:rPr>
              <w:t>0.314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328F12">
            <w:pPr>
              <w:spacing w:line="240" w:lineRule="auto"/>
              <w:jc w:val="center"/>
            </w:pPr>
            <w:r>
              <w:rPr>
                <w:sz w:val="20"/>
              </w:rPr>
              <w:t>aOR 1.227 (0.921–1.637)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6A79FF9">
            <w:pPr>
              <w:spacing w:line="240" w:lineRule="auto"/>
              <w:jc w:val="center"/>
            </w:pPr>
            <w:r>
              <w:rPr>
                <w:sz w:val="20"/>
              </w:rPr>
              <w:t>0.163</w:t>
            </w:r>
          </w:p>
        </w:tc>
      </w:tr>
      <w:tr w14:paraId="348E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6CDB37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3229C7C">
            <w:pPr>
              <w:spacing w:line="240" w:lineRule="auto"/>
              <w:jc w:val="left"/>
            </w:pPr>
            <w:r>
              <w:rPr>
                <w:sz w:val="20"/>
              </w:rPr>
              <w:t>+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1D9E9CF">
            <w:pPr>
              <w:spacing w:line="240" w:lineRule="auto"/>
              <w:jc w:val="center"/>
            </w:pPr>
            <w:r>
              <w:rPr>
                <w:sz w:val="20"/>
              </w:rPr>
              <w:t>aOR 0.988 (0.820–1.192)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FEB7CD9">
            <w:pPr>
              <w:spacing w:line="240" w:lineRule="auto"/>
              <w:jc w:val="center"/>
            </w:pPr>
            <w:r>
              <w:rPr>
                <w:sz w:val="20"/>
              </w:rPr>
              <w:t>0.902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2151B8">
            <w:pPr>
              <w:spacing w:line="240" w:lineRule="auto"/>
              <w:jc w:val="center"/>
            </w:pPr>
            <w:r>
              <w:rPr>
                <w:sz w:val="20"/>
              </w:rPr>
              <w:t>aOR 0.979 (0.808–1.186)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148E53A">
            <w:pPr>
              <w:spacing w:line="240" w:lineRule="auto"/>
              <w:jc w:val="center"/>
            </w:pPr>
            <w:r>
              <w:rPr>
                <w:sz w:val="20"/>
              </w:rPr>
              <w:t>0.830</w:t>
            </w:r>
          </w:p>
        </w:tc>
      </w:tr>
      <w:tr w14:paraId="4B409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BAA5D70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1CF733F">
            <w:pPr>
              <w:spacing w:line="240" w:lineRule="auto"/>
              <w:jc w:val="left"/>
            </w:pPr>
            <w:r>
              <w:rPr>
                <w:sz w:val="20"/>
              </w:rPr>
              <w:t>+ bacteria and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E84FE64">
            <w:pPr>
              <w:spacing w:line="240" w:lineRule="auto"/>
              <w:jc w:val="center"/>
            </w:pPr>
            <w:r>
              <w:rPr>
                <w:sz w:val="20"/>
              </w:rPr>
              <w:t>aOR 0.743 (0.527–1.049)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F203F9C">
            <w:pPr>
              <w:spacing w:line="240" w:lineRule="auto"/>
              <w:jc w:val="center"/>
            </w:pPr>
            <w:r>
              <w:rPr>
                <w:sz w:val="20"/>
              </w:rPr>
              <w:t>0.092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3351220">
            <w:pPr>
              <w:spacing w:line="240" w:lineRule="auto"/>
              <w:jc w:val="center"/>
            </w:pPr>
            <w:r>
              <w:rPr>
                <w:sz w:val="20"/>
              </w:rPr>
              <w:t>aOR 0.776 (0.547–1.099)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6050FEB">
            <w:pPr>
              <w:spacing w:line="240" w:lineRule="auto"/>
              <w:jc w:val="center"/>
            </w:pPr>
            <w:r>
              <w:rPr>
                <w:sz w:val="20"/>
              </w:rPr>
              <w:t>0.153</w:t>
            </w:r>
          </w:p>
        </w:tc>
      </w:tr>
      <w:tr w14:paraId="2FF31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EE8858">
            <w:pPr>
              <w:spacing w:line="240" w:lineRule="auto"/>
              <w:jc w:val="left"/>
            </w:pPr>
            <w:r>
              <w:rPr>
                <w:sz w:val="20"/>
              </w:rPr>
              <w:t>Pleural effusion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F13B90">
            <w:pPr>
              <w:spacing w:line="240" w:lineRule="auto"/>
              <w:jc w:val="left"/>
            </w:pPr>
            <w:r>
              <w:rPr>
                <w:sz w:val="20"/>
              </w:rPr>
              <w:t>+ bacteria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86C181">
            <w:pPr>
              <w:spacing w:line="240" w:lineRule="auto"/>
              <w:jc w:val="center"/>
            </w:pPr>
            <w:r>
              <w:rPr>
                <w:sz w:val="20"/>
              </w:rPr>
              <w:t>aOR 1.363 (0.780–2.381)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BA428F">
            <w:pPr>
              <w:spacing w:line="240" w:lineRule="auto"/>
              <w:jc w:val="center"/>
            </w:pPr>
            <w:r>
              <w:rPr>
                <w:sz w:val="20"/>
              </w:rPr>
              <w:t>0.277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9859D7">
            <w:pPr>
              <w:spacing w:line="240" w:lineRule="auto"/>
              <w:jc w:val="center"/>
            </w:pPr>
            <w:r>
              <w:rPr>
                <w:sz w:val="20"/>
              </w:rPr>
              <w:t>aOR 1.474 (0.798–2.723)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BBB6A8B">
            <w:pPr>
              <w:spacing w:line="240" w:lineRule="auto"/>
              <w:jc w:val="center"/>
            </w:pPr>
            <w:r>
              <w:rPr>
                <w:sz w:val="20"/>
              </w:rPr>
              <w:t>0.215</w:t>
            </w:r>
          </w:p>
        </w:tc>
      </w:tr>
      <w:tr w14:paraId="174F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CBAE5A3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908580F">
            <w:pPr>
              <w:spacing w:line="240" w:lineRule="auto"/>
              <w:jc w:val="left"/>
            </w:pPr>
            <w:r>
              <w:rPr>
                <w:sz w:val="20"/>
              </w:rPr>
              <w:t>+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02719FA">
            <w:pPr>
              <w:spacing w:line="240" w:lineRule="auto"/>
              <w:jc w:val="center"/>
            </w:pPr>
            <w:r>
              <w:rPr>
                <w:sz w:val="20"/>
              </w:rPr>
              <w:t>aOR 1.365 (0.763–2.441)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71C868D">
            <w:pPr>
              <w:spacing w:line="240" w:lineRule="auto"/>
              <w:jc w:val="center"/>
            </w:pPr>
            <w:r>
              <w:rPr>
                <w:sz w:val="20"/>
              </w:rPr>
              <w:t>0.295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C62BD4A">
            <w:pPr>
              <w:spacing w:line="240" w:lineRule="auto"/>
              <w:jc w:val="center"/>
            </w:pPr>
            <w:r>
              <w:rPr>
                <w:sz w:val="20"/>
              </w:rPr>
              <w:t>aOR 1.100 (0.584–2.074)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304B990">
            <w:pPr>
              <w:spacing w:line="240" w:lineRule="auto"/>
              <w:jc w:val="center"/>
            </w:pPr>
            <w:r>
              <w:rPr>
                <w:sz w:val="20"/>
              </w:rPr>
              <w:t>0.767</w:t>
            </w:r>
          </w:p>
        </w:tc>
      </w:tr>
      <w:tr w14:paraId="7884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ADB9FBB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8BCA43">
            <w:pPr>
              <w:spacing w:line="240" w:lineRule="auto"/>
              <w:jc w:val="left"/>
            </w:pPr>
            <w:r>
              <w:rPr>
                <w:sz w:val="20"/>
              </w:rPr>
              <w:t>+ bacteria and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BDB3399">
            <w:pPr>
              <w:spacing w:line="240" w:lineRule="auto"/>
              <w:jc w:val="center"/>
            </w:pPr>
            <w:r>
              <w:rPr>
                <w:sz w:val="20"/>
              </w:rPr>
              <w:t>aOR 0.305 (0.103–0.899)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3574474">
            <w:pPr>
              <w:spacing w:line="240" w:lineRule="auto"/>
              <w:jc w:val="center"/>
            </w:pPr>
            <w:r>
              <w:rPr>
                <w:sz w:val="20"/>
              </w:rPr>
              <w:t>0.031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EA081C">
            <w:pPr>
              <w:spacing w:line="240" w:lineRule="auto"/>
              <w:jc w:val="center"/>
            </w:pPr>
            <w:r>
              <w:rPr>
                <w:sz w:val="20"/>
              </w:rPr>
              <w:t>aOR 0.320 (0.106–0.964)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E45D837">
            <w:pPr>
              <w:spacing w:line="240" w:lineRule="auto"/>
              <w:jc w:val="center"/>
            </w:pPr>
            <w:r>
              <w:rPr>
                <w:sz w:val="20"/>
              </w:rPr>
              <w:t>0.043</w:t>
            </w:r>
          </w:p>
        </w:tc>
      </w:tr>
    </w:tbl>
    <w:p w14:paraId="0D18E4CC">
      <w:pPr>
        <w:spacing w:before="80" w:line="240" w:lineRule="auto"/>
      </w:pPr>
      <w:r>
        <w:rPr>
          <w:sz w:val="20"/>
        </w:rPr>
        <w:t xml:space="preserve">Both models use </w:t>
      </w:r>
      <w:r>
        <w:rPr>
          <w:i/>
          <w:iCs/>
          <w:sz w:val="20"/>
        </w:rPr>
        <w:t>M. pneumoniae</w:t>
      </w:r>
      <w:r>
        <w:rPr>
          <w:sz w:val="20"/>
        </w:rPr>
        <w:t xml:space="preserve"> alone as the reference category. The year-adjusted model includes all children with MPP (n=8,328) and adjusts for center, sex, age group, season, and calendar year. The post-NPI restricted model includes children admitted from January 8, 2023 through December 31, 2025 (n=7,716) and adjusts for center, sex, age group, season, and calendar year. aMR, adjusted mean ratio; aOR, adjusted odds ratio; CI, confidence interval; NPI, non-pharmaceutical intervention.</w:t>
      </w:r>
    </w:p>
    <w:p w14:paraId="0F0E1C96">
      <w:r>
        <w:br w:type="page"/>
      </w:r>
    </w:p>
    <w:p w14:paraId="2B6B5BFE">
      <w:pPr>
        <w:spacing w:after="120" w:line="240" w:lineRule="auto"/>
        <w:jc w:val="left"/>
      </w:pPr>
      <w:r>
        <w:rPr>
          <w:b/>
          <w:sz w:val="20"/>
        </w:rPr>
        <w:t>Supplementary Table S2 Center-stratified associations with hospital length of stay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2326"/>
        <w:gridCol w:w="2326"/>
        <w:gridCol w:w="2326"/>
        <w:gridCol w:w="2326"/>
        <w:gridCol w:w="2326"/>
      </w:tblGrid>
      <w:tr w14:paraId="292C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B4ED46">
            <w:pPr>
              <w:spacing w:line="240" w:lineRule="auto"/>
              <w:jc w:val="left"/>
            </w:pPr>
            <w:r>
              <w:rPr>
                <w:b/>
                <w:sz w:val="20"/>
              </w:rPr>
              <w:t>Center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7FF73A4">
            <w:pPr>
              <w:spacing w:line="240" w:lineRule="auto"/>
              <w:jc w:val="left"/>
            </w:pPr>
            <w:r>
              <w:rPr>
                <w:b/>
                <w:sz w:val="20"/>
              </w:rPr>
              <w:t>Detection pattern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E0432EC">
            <w:pPr>
              <w:spacing w:line="240" w:lineRule="auto"/>
              <w:jc w:val="center"/>
            </w:pPr>
            <w:r>
              <w:rPr>
                <w:b/>
                <w:sz w:val="20"/>
              </w:rPr>
              <w:t>NPI-stage-adjusted aMR (95% CI)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2224120">
            <w:pPr>
              <w:spacing w:line="240" w:lineRule="auto"/>
              <w:jc w:val="center"/>
              <w:rPr>
                <w:i/>
                <w:iCs/>
              </w:rPr>
            </w:pPr>
            <w:r>
              <w:rPr>
                <w:b/>
                <w:i/>
                <w:iCs/>
                <w:sz w:val="20"/>
              </w:rPr>
              <w:t>P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296E13">
            <w:pPr>
              <w:spacing w:line="240" w:lineRule="auto"/>
              <w:jc w:val="center"/>
            </w:pPr>
            <w:r>
              <w:rPr>
                <w:b/>
                <w:sz w:val="20"/>
              </w:rPr>
              <w:t>Year-adjusted aMR (95% CI)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B7095B5">
            <w:pPr>
              <w:spacing w:line="240" w:lineRule="auto"/>
              <w:jc w:val="center"/>
              <w:rPr>
                <w:i/>
                <w:iCs/>
              </w:rPr>
            </w:pPr>
            <w:r>
              <w:rPr>
                <w:b/>
                <w:i/>
                <w:iCs/>
                <w:sz w:val="20"/>
              </w:rPr>
              <w:t>P</w:t>
            </w:r>
          </w:p>
        </w:tc>
      </w:tr>
      <w:tr w14:paraId="0FBC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FC23FD4">
            <w:pPr>
              <w:spacing w:line="240" w:lineRule="auto"/>
              <w:jc w:val="left"/>
            </w:pPr>
            <w:r>
              <w:rPr>
                <w:sz w:val="20"/>
              </w:rPr>
              <w:t>Hospital A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1763CE">
            <w:pPr>
              <w:spacing w:line="240" w:lineRule="auto"/>
              <w:jc w:val="left"/>
            </w:pPr>
            <w:r>
              <w:rPr>
                <w:sz w:val="20"/>
              </w:rPr>
              <w:t>+ bacteria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5CD416">
            <w:pPr>
              <w:spacing w:line="240" w:lineRule="auto"/>
              <w:jc w:val="center"/>
            </w:pPr>
            <w:r>
              <w:rPr>
                <w:sz w:val="20"/>
              </w:rPr>
              <w:t>1.028 (0.934–1.130)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4152BD">
            <w:pPr>
              <w:spacing w:line="240" w:lineRule="auto"/>
              <w:jc w:val="center"/>
            </w:pPr>
            <w:r>
              <w:rPr>
                <w:sz w:val="20"/>
              </w:rPr>
              <w:t>0.577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101B84">
            <w:pPr>
              <w:spacing w:line="240" w:lineRule="auto"/>
              <w:jc w:val="center"/>
            </w:pPr>
            <w:r>
              <w:rPr>
                <w:sz w:val="20"/>
              </w:rPr>
              <w:t>1.026 (0.933–1.128)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FFC5E5B">
            <w:pPr>
              <w:spacing w:line="240" w:lineRule="auto"/>
              <w:jc w:val="center"/>
            </w:pPr>
            <w:r>
              <w:rPr>
                <w:sz w:val="20"/>
              </w:rPr>
              <w:t>0.597</w:t>
            </w:r>
          </w:p>
        </w:tc>
      </w:tr>
      <w:tr w14:paraId="4D47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1A3A28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35F5AF">
            <w:pPr>
              <w:spacing w:line="240" w:lineRule="auto"/>
              <w:jc w:val="left"/>
            </w:pPr>
            <w:r>
              <w:rPr>
                <w:sz w:val="20"/>
              </w:rPr>
              <w:t>+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71F1CA7">
            <w:pPr>
              <w:spacing w:line="240" w:lineRule="auto"/>
              <w:jc w:val="center"/>
            </w:pPr>
            <w:r>
              <w:rPr>
                <w:sz w:val="20"/>
              </w:rPr>
              <w:t>0.973 (0.947–0.999)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9B29F4">
            <w:pPr>
              <w:spacing w:line="240" w:lineRule="auto"/>
              <w:jc w:val="center"/>
            </w:pPr>
            <w:r>
              <w:rPr>
                <w:sz w:val="20"/>
              </w:rPr>
              <w:t>0.041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A55612">
            <w:pPr>
              <w:spacing w:line="240" w:lineRule="auto"/>
              <w:jc w:val="center"/>
            </w:pPr>
            <w:r>
              <w:rPr>
                <w:sz w:val="20"/>
              </w:rPr>
              <w:t>0.967 (0.942–0.993)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E3E7FA">
            <w:pPr>
              <w:spacing w:line="240" w:lineRule="auto"/>
              <w:jc w:val="center"/>
            </w:pPr>
            <w:r>
              <w:rPr>
                <w:sz w:val="20"/>
              </w:rPr>
              <w:t>0.013</w:t>
            </w:r>
          </w:p>
        </w:tc>
      </w:tr>
      <w:tr w14:paraId="491E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E1C72D9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46EB796">
            <w:pPr>
              <w:spacing w:line="240" w:lineRule="auto"/>
              <w:jc w:val="left"/>
            </w:pPr>
            <w:r>
              <w:rPr>
                <w:sz w:val="20"/>
              </w:rPr>
              <w:t>+ bacteria and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85DDA5">
            <w:pPr>
              <w:spacing w:line="240" w:lineRule="auto"/>
              <w:jc w:val="center"/>
            </w:pPr>
            <w:r>
              <w:rPr>
                <w:sz w:val="20"/>
              </w:rPr>
              <w:t>1.127 (1.047–1.213)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94C8D9">
            <w:pPr>
              <w:spacing w:line="240" w:lineRule="auto"/>
              <w:jc w:val="center"/>
            </w:pPr>
            <w:r>
              <w:rPr>
                <w:sz w:val="20"/>
              </w:rPr>
              <w:t>0.002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EA18BA">
            <w:pPr>
              <w:spacing w:line="240" w:lineRule="auto"/>
              <w:jc w:val="center"/>
            </w:pPr>
            <w:r>
              <w:rPr>
                <w:sz w:val="20"/>
              </w:rPr>
              <w:t>1.119 (1.040–1.204)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5C386FD">
            <w:pPr>
              <w:spacing w:line="240" w:lineRule="auto"/>
              <w:jc w:val="center"/>
            </w:pPr>
            <w:r>
              <w:rPr>
                <w:sz w:val="20"/>
              </w:rPr>
              <w:t>0.003</w:t>
            </w:r>
          </w:p>
        </w:tc>
      </w:tr>
      <w:tr w14:paraId="2F38E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0913DD4">
            <w:pPr>
              <w:spacing w:line="240" w:lineRule="auto"/>
              <w:jc w:val="left"/>
            </w:pPr>
            <w:r>
              <w:rPr>
                <w:sz w:val="20"/>
              </w:rPr>
              <w:t>Hospital B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FDB50C">
            <w:pPr>
              <w:spacing w:line="240" w:lineRule="auto"/>
              <w:jc w:val="left"/>
            </w:pPr>
            <w:r>
              <w:rPr>
                <w:sz w:val="20"/>
              </w:rPr>
              <w:t>+ bacteria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176EB0">
            <w:pPr>
              <w:spacing w:line="240" w:lineRule="auto"/>
              <w:jc w:val="center"/>
            </w:pPr>
            <w:r>
              <w:rPr>
                <w:sz w:val="20"/>
              </w:rPr>
              <w:t>1.064 (1.040–1.088)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BFE5443">
            <w:pPr>
              <w:spacing w:line="240" w:lineRule="auto"/>
              <w:jc w:val="center"/>
            </w:pPr>
            <w:r>
              <w:rPr>
                <w:sz w:val="20"/>
              </w:rPr>
              <w:t>&lt;0.001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6F39822">
            <w:pPr>
              <w:spacing w:line="240" w:lineRule="auto"/>
              <w:jc w:val="center"/>
            </w:pPr>
            <w:r>
              <w:rPr>
                <w:sz w:val="20"/>
              </w:rPr>
              <w:t>1.036 (1.013–1.060)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A202BB1">
            <w:pPr>
              <w:spacing w:line="240" w:lineRule="auto"/>
              <w:jc w:val="center"/>
            </w:pPr>
            <w:r>
              <w:rPr>
                <w:sz w:val="20"/>
              </w:rPr>
              <w:t>0.002</w:t>
            </w:r>
          </w:p>
        </w:tc>
      </w:tr>
      <w:tr w14:paraId="6DB66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4B2029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E1D9A9D">
            <w:pPr>
              <w:spacing w:line="240" w:lineRule="auto"/>
              <w:jc w:val="left"/>
            </w:pPr>
            <w:r>
              <w:rPr>
                <w:sz w:val="20"/>
              </w:rPr>
              <w:t>+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C14B14">
            <w:pPr>
              <w:spacing w:line="240" w:lineRule="auto"/>
              <w:jc w:val="center"/>
            </w:pPr>
            <w:r>
              <w:rPr>
                <w:sz w:val="20"/>
              </w:rPr>
              <w:t>1.017 (0.978–1.058)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26A3A7F">
            <w:pPr>
              <w:spacing w:line="240" w:lineRule="auto"/>
              <w:jc w:val="center"/>
            </w:pPr>
            <w:r>
              <w:rPr>
                <w:sz w:val="20"/>
              </w:rPr>
              <w:t>0.391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052FA46">
            <w:pPr>
              <w:spacing w:line="240" w:lineRule="auto"/>
              <w:jc w:val="center"/>
            </w:pPr>
            <w:r>
              <w:rPr>
                <w:sz w:val="20"/>
              </w:rPr>
              <w:t>1.013 (0.974–1.053)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A5804A2">
            <w:pPr>
              <w:spacing w:line="240" w:lineRule="auto"/>
              <w:jc w:val="center"/>
            </w:pPr>
            <w:r>
              <w:rPr>
                <w:sz w:val="20"/>
              </w:rPr>
              <w:t>0.528</w:t>
            </w:r>
          </w:p>
        </w:tc>
      </w:tr>
      <w:tr w14:paraId="12AC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A7FAEE5">
            <w:pPr>
              <w:spacing w:line="240" w:lineRule="auto"/>
              <w:jc w:val="left"/>
            </w:pP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654A1A">
            <w:pPr>
              <w:spacing w:line="240" w:lineRule="auto"/>
              <w:jc w:val="left"/>
            </w:pPr>
            <w:r>
              <w:rPr>
                <w:sz w:val="20"/>
              </w:rPr>
              <w:t>+ bacteria and viruses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D8A927">
            <w:pPr>
              <w:spacing w:line="240" w:lineRule="auto"/>
              <w:jc w:val="center"/>
            </w:pPr>
            <w:r>
              <w:rPr>
                <w:sz w:val="20"/>
              </w:rPr>
              <w:t>1.045 (1.018–1.073)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1DE119D">
            <w:pPr>
              <w:spacing w:line="240" w:lineRule="auto"/>
              <w:jc w:val="center"/>
            </w:pPr>
            <w:r>
              <w:rPr>
                <w:sz w:val="20"/>
              </w:rPr>
              <w:t>0.001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F5682B6">
            <w:pPr>
              <w:spacing w:line="240" w:lineRule="auto"/>
              <w:jc w:val="center"/>
            </w:pPr>
            <w:r>
              <w:rPr>
                <w:sz w:val="20"/>
              </w:rPr>
              <w:t>1.017 (0.990–1.045)</w:t>
            </w:r>
          </w:p>
        </w:tc>
        <w:tc>
          <w:tcPr>
            <w:tcW w:w="232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4E14F51">
            <w:pPr>
              <w:spacing w:line="240" w:lineRule="auto"/>
              <w:jc w:val="center"/>
            </w:pPr>
            <w:r>
              <w:rPr>
                <w:sz w:val="20"/>
              </w:rPr>
              <w:t>0.212</w:t>
            </w:r>
          </w:p>
        </w:tc>
      </w:tr>
    </w:tbl>
    <w:p w14:paraId="05EA52C4">
      <w:pPr>
        <w:spacing w:before="80" w:line="240" w:lineRule="auto"/>
      </w:pPr>
      <w:r>
        <w:rPr>
          <w:sz w:val="20"/>
        </w:rPr>
        <w:t xml:space="preserve">Within each center, </w:t>
      </w:r>
      <w:bookmarkStart w:id="0" w:name="_GoBack"/>
      <w:r>
        <w:rPr>
          <w:i/>
          <w:iCs/>
          <w:sz w:val="20"/>
        </w:rPr>
        <w:t>M. pneumoniae</w:t>
      </w:r>
      <w:bookmarkEnd w:id="0"/>
      <w:r>
        <w:rPr>
          <w:sz w:val="20"/>
        </w:rPr>
        <w:t xml:space="preserve"> alone is the reference category. The NPI-stage-adjusted model adjusts for sex, age group, season, and NPI stage; the year-adjusted model adjusts for sex, age group, season, and calendar year. In the full-sample interaction analyses, overall center-by-pattern P values were 0.023 and 0.011, respectively. aMR, adjusted mean ratio; CI, confidence interval; NPI, non-pharmaceutical intervention. These center-stratified analyses are exploratory.</w:t>
      </w:r>
    </w:p>
    <w:sectPr>
      <w:headerReference r:id="rId5" w:type="default"/>
      <w:pgSz w:w="16838" w:h="11906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8402E">
    <w:pPr>
      <w:pStyle w:val="25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6D24"/>
    <w:rsid w:val="0014044F"/>
    <w:rsid w:val="0015074B"/>
    <w:rsid w:val="0029639D"/>
    <w:rsid w:val="00326F90"/>
    <w:rsid w:val="008961E5"/>
    <w:rsid w:val="008E4902"/>
    <w:rsid w:val="00AA1D8D"/>
    <w:rsid w:val="00B47730"/>
    <w:rsid w:val="00CB0664"/>
    <w:rsid w:val="00DA2FF1"/>
    <w:rsid w:val="00FC693F"/>
    <w:rsid w:val="184E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  <w:jc w:val="both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2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342</Words>
  <Characters>2149</Characters>
  <Lines>119</Lines>
  <Paragraphs>109</Paragraphs>
  <TotalTime>7</TotalTime>
  <ScaleCrop>false</ScaleCrop>
  <LinksUpToDate>false</LinksUpToDate>
  <CharactersWithSpaces>2395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青岚</cp:lastModifiedBy>
  <dcterms:modified xsi:type="dcterms:W3CDTF">2026-08-14T13:58:15Z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eyJoZGlkIjoiOWIzZTVmYjJhNDRmY2MwMzM2ZWYxNDFkNTgwNTgyZWEiLCJ1c2VySWQiOiI1OTQ0NTQ1MzkifQ==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D081EC3A4F8648679112AA5204462232_12</vt:lpwstr>
  </property>
</Properties>
</file>