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47FAA">
      <w:pPr>
        <w:pStyle w:val="2"/>
        <w:spacing w:line="360" w:lineRule="auto"/>
        <w:rPr>
          <w:rFonts w:hint="default" w:ascii="Times New Roman" w:hAnsi="Times New Roman" w:cs="Times New Roman"/>
          <w:color w:val="auto"/>
        </w:rPr>
      </w:pPr>
      <w:bookmarkStart w:id="0" w:name="_GoBack"/>
      <w:r>
        <w:rPr>
          <w:rFonts w:hint="default" w:ascii="Times New Roman" w:hAnsi="Times New Roman" w:cs="Times New Roman"/>
          <w:color w:val="auto"/>
        </w:rPr>
        <w:t>Supplementary material</w:t>
      </w:r>
    </w:p>
    <w:bookmarkEnd w:id="0"/>
    <w:p w14:paraId="193F607B">
      <w:pPr>
        <w:keepNext/>
        <w:keepLines/>
        <w:spacing w:before="100" w:after="180"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8"/>
        </w:rPr>
        <w:t>Supplementary Table S1. Conditional probabilities in the selected derivation model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1"/>
        <w:gridCol w:w="2351"/>
        <w:gridCol w:w="2351"/>
        <w:gridCol w:w="2351"/>
      </w:tblGrid>
      <w:tr w14:paraId="7ADE3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83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5608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Condition</w:t>
            </w:r>
          </w:p>
        </w:tc>
        <w:tc>
          <w:tcPr>
            <w:tcW w:w="18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81DA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High-complexity</w:t>
            </w:r>
          </w:p>
        </w:tc>
        <w:tc>
          <w:tcPr>
            <w:tcW w:w="18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5FC5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Cardiometabolic</w:t>
            </w:r>
          </w:p>
        </w:tc>
        <w:tc>
          <w:tcPr>
            <w:tcW w:w="18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155D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Low-comorbidity</w:t>
            </w:r>
          </w:p>
        </w:tc>
      </w:tr>
      <w:tr w14:paraId="51535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487B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Hypertension</w:t>
            </w:r>
          </w:p>
        </w:tc>
        <w:tc>
          <w:tcPr>
            <w:tcW w:w="18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F03A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0.620</w:t>
            </w:r>
          </w:p>
        </w:tc>
        <w:tc>
          <w:tcPr>
            <w:tcW w:w="18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C3A7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0.911</w:t>
            </w:r>
          </w:p>
        </w:tc>
        <w:tc>
          <w:tcPr>
            <w:tcW w:w="18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5D14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0.496</w:t>
            </w:r>
          </w:p>
        </w:tc>
      </w:tr>
      <w:tr w14:paraId="55C8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D43D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Diabetes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FCF4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0.133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F647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0.390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996F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0.047</w:t>
            </w:r>
          </w:p>
        </w:tc>
      </w:tr>
      <w:tr w14:paraId="22498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420B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Heart disease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7FD2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0.456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BF19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0.419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5B61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0.080</w:t>
            </w:r>
          </w:p>
        </w:tc>
      </w:tr>
      <w:tr w14:paraId="5EE72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BC75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Chronic lung disease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91B3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0.315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FBEB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0.072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7D4D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0.090</w:t>
            </w:r>
          </w:p>
        </w:tc>
      </w:tr>
      <w:tr w14:paraId="35186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2D2F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Liver disease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ACDE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0.263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C987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0.022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9236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0.006</w:t>
            </w:r>
          </w:p>
        </w:tc>
      </w:tr>
      <w:tr w14:paraId="2D0E5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E2DC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Kidney disease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2E9E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0.246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775E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0.178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77B8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0.019</w:t>
            </w:r>
          </w:p>
        </w:tc>
      </w:tr>
      <w:tr w14:paraId="58C16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DA1A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Digestive disease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4C0E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A618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0.134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CCE8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0.125</w:t>
            </w:r>
          </w:p>
        </w:tc>
      </w:tr>
      <w:tr w14:paraId="0E547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34B5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Arthritis/rheumatism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1BFD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1.000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D0D0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0.291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A1ED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0.310</w:t>
            </w:r>
          </w:p>
        </w:tc>
      </w:tr>
      <w:tr w14:paraId="5EDE9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9EAD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Dyslipidaemia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DFBF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0.189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A128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0.618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CBC3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0.072</w:t>
            </w:r>
          </w:p>
        </w:tc>
      </w:tr>
      <w:tr w14:paraId="37294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8FEA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Memory-related disease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4AC3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0.197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1EB2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0.182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0326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0.069</w:t>
            </w:r>
          </w:p>
        </w:tc>
      </w:tr>
      <w:tr w14:paraId="437B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AEDA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Cancer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F455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0.015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CDAA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0.009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E319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6"/>
              </w:rPr>
              <w:t>0.010</w:t>
            </w:r>
          </w:p>
        </w:tc>
      </w:tr>
    </w:tbl>
    <w:p w14:paraId="55F3D558">
      <w:pPr>
        <w:spacing w:before="40" w:after="140" w:line="36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7"/>
        </w:rPr>
        <w:t>Class sizes based on modal posterior assignment were 61, 144, and 281, respectively.</w:t>
      </w:r>
    </w:p>
    <w:p w14:paraId="176A78E6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3179036">
      <w:pPr>
        <w:keepNext/>
        <w:keepLines/>
        <w:spacing w:before="100" w:after="180"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18"/>
        </w:rPr>
        <w:t>Supplementary Table S2. Full adjusted class models in derivation and temporal validation samples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1"/>
        <w:gridCol w:w="1881"/>
        <w:gridCol w:w="1881"/>
        <w:gridCol w:w="1881"/>
        <w:gridCol w:w="1881"/>
      </w:tblGrid>
      <w:tr w14:paraId="5C89B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3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04AF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Predictor</w:t>
            </w:r>
          </w:p>
        </w:tc>
        <w:tc>
          <w:tcPr>
            <w:tcW w:w="198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0B92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Derivation aOR (95% CI)</w:t>
            </w:r>
          </w:p>
        </w:tc>
        <w:tc>
          <w:tcPr>
            <w:tcW w:w="6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D41C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P</w:t>
            </w:r>
          </w:p>
        </w:tc>
        <w:tc>
          <w:tcPr>
            <w:tcW w:w="21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6351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Temporal validation aOR (95% CI)</w:t>
            </w:r>
          </w:p>
        </w:tc>
        <w:tc>
          <w:tcPr>
            <w:tcW w:w="6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4C6D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P</w:t>
            </w:r>
          </w:p>
        </w:tc>
      </w:tr>
      <w:tr w14:paraId="47CD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10D7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High-complexity class</w:t>
            </w: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4A60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2.59 (1.30–5.16)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E3E1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0.007</w:t>
            </w:r>
          </w:p>
        </w:tc>
        <w:tc>
          <w:tcPr>
            <w:tcW w:w="215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C183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1.74 (1.17–2.60)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92F2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0.006</w:t>
            </w:r>
          </w:p>
        </w:tc>
      </w:tr>
      <w:tr w14:paraId="10A6C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17CD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Cardiometabolic class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7D3C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1.36 (0.84–2.20)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1C33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0.211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04D6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1.14 (0.81–1.62)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0EF6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0.452</w:t>
            </w:r>
          </w:p>
        </w:tc>
      </w:tr>
      <w:tr w14:paraId="6119F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B7F4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Age, 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4607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0.99 (0.97–1.01)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E941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0.496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8C73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0.96 (0.95–0.98)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307D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&lt;0.001</w:t>
            </w:r>
          </w:p>
        </w:tc>
      </w:tr>
      <w:tr w14:paraId="6F689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225D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Female sex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A5BC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1.66 (0.89–3.09)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2035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0.112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540D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1.99 (1.22–3.24)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CDE6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0.006</w:t>
            </w:r>
          </w:p>
        </w:tc>
      </w:tr>
      <w:tr w14:paraId="75C39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31E7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Secondary education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0607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0.74 (0.45–1.22)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A15E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0.237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5C48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0.54 (0.37–0.77)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7C60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&lt;0.001</w:t>
            </w:r>
          </w:p>
        </w:tc>
      </w:tr>
      <w:tr w14:paraId="49E3F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D9B5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College or higher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6812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0.50 (0.11–2.32)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861F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0.376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316D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0.35 (0.06–1.91)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74BD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0.224</w:t>
            </w:r>
          </w:p>
        </w:tc>
      </w:tr>
      <w:tr w14:paraId="3595C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FF0A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Partnered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F3FC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0.79 (0.47–1.33)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E258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0.378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2917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0.76 (0.53–1.10)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51BE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0.151</w:t>
            </w:r>
          </w:p>
        </w:tc>
      </w:tr>
      <w:tr w14:paraId="0E63D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1B21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Ever smoking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0583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2.52 (1.40–4.53)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D8E1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0.002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B726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1.19 (0.76–1.87)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2514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0.445</w:t>
            </w:r>
          </w:p>
        </w:tc>
      </w:tr>
      <w:tr w14:paraId="6B61D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B20F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Ever drinking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5073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0.73 (0.43–1.24)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F191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0.245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EF41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0.96 (0.68–1.38)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578E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0.843</w:t>
            </w:r>
          </w:p>
        </w:tc>
      </w:tr>
      <w:tr w14:paraId="508AD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17D7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ADL limitations, per point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5BA9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1.38 (1.22–1.57)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B051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&lt;0.001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EE1D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1.33 (1.20–1.48)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F8F1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&lt;0.001</w:t>
            </w:r>
          </w:p>
        </w:tc>
      </w:tr>
      <w:tr w14:paraId="1FF44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439C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2015 validation wave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ECB7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—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B050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—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6649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1.53 (0.83–2.82)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B001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0.172</w:t>
            </w:r>
          </w:p>
        </w:tc>
      </w:tr>
      <w:tr w14:paraId="59B05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6321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2018 validation wave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2182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—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00A2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—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43D3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1.60 (0.94–2.72)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ADB2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5"/>
              </w:rPr>
              <w:t>0.083</w:t>
            </w:r>
          </w:p>
        </w:tc>
      </w:tr>
    </w:tbl>
    <w:p w14:paraId="62A5EA0C">
      <w:pPr>
        <w:spacing w:before="40" w:after="140" w:line="36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sz w:val="17"/>
        </w:rPr>
        <w:t>Reference categories: low-comorbidity class, male sex, primary education or less, unpartnered, never smoking, never drinking, and 2013 validation wave.</w:t>
      </w:r>
    </w:p>
    <w:p w14:paraId="4B9AC8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82E40"/>
    <w:rsid w:val="7208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color w:val="17365D"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2026-08-25T03:43:00Z</dcterms:created>
  <dc:creator>昌兰</dc:creator>
  <cp:lastModifiedBy>昌兰</cp:lastModifiedBy>
  <dcterms:modified xsi:type="dcterms:W3CDTF">2026-08-25T03:44:03Z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DEC84F9D3E77416B9BA4A3252F1143BC_11</vt:lpwstr>
  </property>
  <property fmtid="{D5CDD505-2E9C-101B-9397-08002B2CF9AE}" pid="4" name="KSOTemplateDocerSaveRecord">
    <vt:lpwstr>eyJoZGlkIjoiOGZmYmE3Yzc3ZjBhYTlkNTUzMzVmYWNmNDA3N2YxOTYiLCJ1c2VySWQiOiIxMjk0MTk5NDg5In0=</vt:lpwstr>
  </property>
</Properties>
</file>