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93D48">
      <w:pPr>
        <w:spacing w:after="120"/>
        <w:ind w:firstLine="482"/>
        <w:jc w:val="center"/>
        <w:rPr>
          <w:rStyle w:val="13"/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i w:val="0"/>
          <w:sz w:val="20"/>
        </w:rPr>
        <w:t>SUPPLEMENTARY INFORMATION</w:t>
      </w:r>
    </w:p>
    <w:p w14:paraId="11F36165">
      <w:pPr>
        <w:spacing w:after="120"/>
        <w:jc w:val="center"/>
      </w:pPr>
      <w:r>
        <w:rPr>
          <w:rFonts w:ascii="Times New Roman" w:hAnsi="Times New Roman"/>
          <w:b w:val="0"/>
          <w:i/>
          <w:sz w:val="20"/>
        </w:rPr>
        <w:t>Journal of Materials Science: Materials in Electronics</w:t>
      </w:r>
    </w:p>
    <w:p w14:paraId="31291699">
      <w:pPr>
        <w:spacing w:after="120"/>
        <w:ind w:firstLine="0" w:firstLineChars="0"/>
        <w:rPr>
          <w:rFonts w:ascii="Times New Roman" w:hAnsi="Times New Roman" w:eastAsia="宋体" w:cs="Times New Roman"/>
          <w:b/>
          <w:bCs/>
          <w:i w:val="0"/>
          <w:iCs w:val="0"/>
          <w:kern w:val="2"/>
          <w:sz w:val="21"/>
          <w:szCs w:val="21"/>
          <w:lang w:val="en-US" w:eastAsia="zh-CN" w:bidi="ar"/>
        </w:rPr>
      </w:pPr>
      <w:r>
        <w:rPr>
          <w:rFonts w:ascii="Times New Roman" w:hAnsi="Times New Roman" w:eastAsia="宋体" w:cs="Times New Roman"/>
          <w:b/>
          <w:bCs/>
          <w:i w:val="0"/>
          <w:iCs w:val="0"/>
          <w:kern w:val="2"/>
          <w:sz w:val="21"/>
          <w:szCs w:val="21"/>
          <w:lang w:val="en-US" w:eastAsia="zh-CN" w:bidi="ar"/>
        </w:rPr>
        <w:t>Ag/Al₂O₃/ITO memristor for honeybee-inspired associative learning, behavioral emulation, and conductance-constrained flower classification</w:t>
      </w:r>
      <w:bookmarkStart w:id="0" w:name="_GoBack"/>
      <w:bookmarkEnd w:id="0"/>
    </w:p>
    <w:p w14:paraId="5B593D4A">
      <w:pPr>
        <w:spacing w:after="120"/>
        <w:ind w:firstLine="0" w:firstLineChars="0"/>
        <w:rPr>
          <w:rFonts w:cs="Times New Roman"/>
          <w:b/>
          <w:bCs/>
          <w:i/>
          <w:iCs/>
          <w:sz w:val="20"/>
          <w:szCs w:val="20"/>
        </w:rPr>
      </w:pPr>
      <w:r>
        <w:rPr>
          <w:rFonts w:cs="Times New Roman"/>
          <w:b/>
          <w:bCs/>
          <w:i/>
          <w:iCs/>
          <w:sz w:val="20"/>
          <w:szCs w:val="20"/>
          <w:lang w:bidi="ar"/>
        </w:rPr>
        <w:t>Haoyu Li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a , §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Jie Lu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a, §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Junxiu Zhou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a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Yun Wen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a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Junyu Wang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a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Xinyu Cao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a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Weitian Xu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a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Qiuyun Chen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b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Yegang L</w:t>
      </w:r>
      <w:r>
        <w:rPr>
          <w:rFonts w:hint="eastAsia" w:cs="Times New Roman"/>
          <w:b/>
          <w:bCs/>
          <w:i/>
          <w:iCs/>
          <w:sz w:val="20"/>
          <w:szCs w:val="20"/>
          <w:lang w:val="en-US" w:eastAsia="zh-CN" w:bidi="ar"/>
        </w:rPr>
        <w:t>u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>a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, Ran Jiang</w:t>
      </w:r>
      <w:r>
        <w:rPr>
          <w:rFonts w:cs="Times New Roman"/>
          <w:b/>
          <w:bCs/>
          <w:i/>
          <w:iCs/>
          <w:sz w:val="20"/>
          <w:szCs w:val="20"/>
          <w:vertAlign w:val="superscript"/>
          <w:lang w:bidi="ar"/>
        </w:rPr>
        <w:t xml:space="preserve">a, </w:t>
      </w:r>
      <w:r>
        <w:rPr>
          <w:rFonts w:cs="Times New Roman"/>
          <w:b/>
          <w:bCs/>
          <w:i/>
          <w:iCs/>
          <w:sz w:val="20"/>
          <w:szCs w:val="20"/>
          <w:lang w:bidi="ar"/>
        </w:rPr>
        <w:t>*</w:t>
      </w:r>
    </w:p>
    <w:p w14:paraId="5B593D4B">
      <w:pPr>
        <w:spacing w:after="120"/>
        <w:ind w:firstLine="400"/>
        <w:rPr>
          <w:rFonts w:cs="Times New Roman"/>
          <w:bCs/>
          <w:i/>
          <w:sz w:val="20"/>
          <w:szCs w:val="20"/>
        </w:rPr>
      </w:pPr>
      <w:r>
        <w:rPr>
          <w:rFonts w:cs="Times New Roman"/>
          <w:bCs/>
          <w:i/>
          <w:sz w:val="20"/>
          <w:szCs w:val="20"/>
          <w:vertAlign w:val="superscript"/>
          <w:lang w:bidi="ar"/>
        </w:rPr>
        <w:t xml:space="preserve">a </w:t>
      </w:r>
      <w:r>
        <w:rPr>
          <w:rFonts w:cs="Times New Roman"/>
          <w:bCs/>
          <w:i/>
          <w:sz w:val="20"/>
          <w:szCs w:val="20"/>
          <w:lang w:bidi="ar"/>
        </w:rPr>
        <w:t>School of Integrated Circuits, Ningbo University, Ningbo 315211, China</w:t>
      </w:r>
    </w:p>
    <w:p w14:paraId="5B593D4C">
      <w:pPr>
        <w:spacing w:after="120"/>
        <w:ind w:firstLine="400"/>
        <w:rPr>
          <w:rFonts w:cs="Times New Roman"/>
          <w:bCs/>
          <w:i/>
          <w:sz w:val="20"/>
          <w:szCs w:val="20"/>
        </w:rPr>
      </w:pPr>
      <w:r>
        <w:rPr>
          <w:rFonts w:cs="Times New Roman"/>
          <w:bCs/>
          <w:i/>
          <w:sz w:val="20"/>
          <w:szCs w:val="20"/>
          <w:vertAlign w:val="superscript"/>
          <w:lang w:bidi="ar"/>
        </w:rPr>
        <w:t xml:space="preserve">b </w:t>
      </w:r>
      <w:r>
        <w:rPr>
          <w:rFonts w:cs="Times New Roman"/>
          <w:bCs/>
          <w:i/>
          <w:sz w:val="20"/>
          <w:szCs w:val="20"/>
          <w:lang w:bidi="ar"/>
        </w:rPr>
        <w:t>Qingdao Tailao Technology Co., Ltd, Qingdao 266101, China</w:t>
      </w:r>
    </w:p>
    <w:p w14:paraId="5B593D4D">
      <w:pPr>
        <w:spacing w:after="120"/>
        <w:ind w:firstLine="400"/>
        <w:rPr>
          <w:rFonts w:cs="Times New Roman"/>
          <w:bCs/>
          <w:i/>
          <w:sz w:val="20"/>
          <w:szCs w:val="20"/>
        </w:rPr>
      </w:pPr>
      <w:r>
        <w:rPr>
          <w:rFonts w:cs="Times New Roman"/>
          <w:bCs/>
          <w:i/>
          <w:iCs/>
          <w:sz w:val="20"/>
          <w:szCs w:val="20"/>
          <w:vertAlign w:val="superscript"/>
          <w:lang w:bidi="ar"/>
        </w:rPr>
        <w:t xml:space="preserve">§ </w:t>
      </w:r>
      <w:r>
        <w:rPr>
          <w:rFonts w:cs="Times New Roman"/>
          <w:bCs/>
          <w:i/>
          <w:iCs/>
          <w:sz w:val="20"/>
          <w:szCs w:val="20"/>
          <w:lang w:bidi="ar"/>
        </w:rPr>
        <w:t xml:space="preserve">Haoyu </w:t>
      </w:r>
      <w:r>
        <w:rPr>
          <w:rFonts w:cs="Times New Roman"/>
          <w:bCs/>
          <w:i/>
          <w:sz w:val="20"/>
          <w:szCs w:val="20"/>
          <w:lang w:bidi="ar"/>
        </w:rPr>
        <w:t>Li and Jie Lu contributed equally to this work.</w:t>
      </w:r>
    </w:p>
    <w:p w14:paraId="5B593D4E">
      <w:pPr>
        <w:spacing w:after="120"/>
        <w:ind w:firstLine="400"/>
        <w:rPr>
          <w:rStyle w:val="13"/>
          <w:rFonts w:ascii="Times New Roman" w:hAnsi="Times New Roman" w:cs="Times New Roman"/>
          <w:bCs/>
          <w:sz w:val="24"/>
        </w:rPr>
      </w:pPr>
      <w:r>
        <w:rPr>
          <w:rFonts w:ascii="Times New Roman" w:hAnsi="Times New Roman"/>
          <w:b w:val="0"/>
          <w:i/>
          <w:sz w:val="20"/>
        </w:rPr>
        <w:t>* Corresponding author: jiangran@nbu.edu.cn</w:t>
      </w:r>
    </w:p>
    <w:p w14:paraId="5B593D4F">
      <w:pPr>
        <w:keepNext/>
        <w:keepLines/>
        <w:spacing w:before="200" w:after="120"/>
        <w:ind w:firstLine="0" w:firstLineChars="0"/>
        <w:jc w:val="left"/>
        <w:rPr>
          <w:rFonts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i w:val="0"/>
          <w:sz w:val="20"/>
        </w:rPr>
        <w:t>S1 Electrical measurement and HRS fitting procedure</w:t>
      </w:r>
    </w:p>
    <w:p w14:paraId="5B593D50">
      <w:pPr>
        <w:spacing w:after="120" w:line="276" w:lineRule="auto"/>
        <w:ind w:firstLine="40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During the dc measurements, voltage was applied to the Ag top electrode, while the ITO bottom electrode was grounded. Each complete voltage sweep followed the sequence 0 → +1.5 → 0 → −1.5 → 0 V. The preset compliance current was active during the positive-bias SET process. For Figs. 2(d)–2(f), ten consecutive switching cycles were measured under each compliance-current condition, although only the positive-bias portions are displayed. For the HRS conduction analysis, only data from the positive-going branch before the SET transition were used. The Schottky representation was constructed by plotting ln(I) against V¹</w:t>
      </w:r>
      <w:r>
        <w:rPr>
          <w:rFonts w:hint="eastAsia" w:cs="Times New Roman"/>
          <w:sz w:val="20"/>
          <w:szCs w:val="20"/>
          <w:vertAlign w:val="superscript"/>
        </w:rPr>
        <w:t>/</w:t>
      </w:r>
      <w:r>
        <w:rPr>
          <w:rFonts w:cs="Times New Roman"/>
          <w:sz w:val="20"/>
          <w:szCs w:val="20"/>
        </w:rPr>
        <w:t>² over 0.10–0.50 V, with I expressed in amperes. The SCLC representation was obtained by plotting I against V² over 0.60–0.90 V. The corresponding linear fits yielded R² values of 0.9976 and 0.9966, respectively.</w:t>
      </w:r>
    </w:p>
    <w:p w14:paraId="3C617A9B">
      <w:pPr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br w:type="page"/>
      </w:r>
    </w:p>
    <w:p w14:paraId="56AA35C4">
      <w:pPr>
        <w:keepNext/>
        <w:keepLines/>
        <w:spacing w:before="200" w:after="120"/>
        <w:ind w:firstLine="0" w:firstLineChars="0"/>
        <w:jc w:val="left"/>
      </w:pPr>
      <w:r>
        <w:rPr>
          <w:rFonts w:ascii="Times New Roman" w:hAnsi="Times New Roman"/>
          <w:b/>
          <w:i w:val="0"/>
          <w:sz w:val="20"/>
        </w:rPr>
        <w:t>S2 Surface topography of the Al₂O₃ switching layer</w:t>
      </w:r>
    </w:p>
    <w:p w14:paraId="5B593D52">
      <w:pPr>
        <w:keepNext/>
        <w:ind w:firstLine="480"/>
        <w:jc w:val="center"/>
      </w:pPr>
      <w:r>
        <w:drawing>
          <wp:inline distT="0" distB="0" distL="114300" distR="114300">
            <wp:extent cx="4137025" cy="2107565"/>
            <wp:effectExtent l="0" t="0" r="0" b="635"/>
            <wp:docPr id="4" name="图片 4" descr="White-light-interferometric surface-height map of the Al2O3 switching layer over a 337.82 by 282.62 micrometer area. The height distribution is largely uniform, with sparse local variations between approximately minus 5.82 and plus 6.76 nanomet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hite-light-interferometric surface-height map of the Al2O3 switching layer over a 337.82 by 282.62 micrometer area. The height distribution is largely uniform, with sparse local variations between approximately minus 5.82 and plus 6.76 nanometers.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3702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93D53">
      <w:pPr>
        <w:keepLines/>
        <w:spacing w:before="120" w:after="120"/>
        <w:ind w:firstLine="0" w:firstLineChars="0"/>
        <w:jc w:val="left"/>
        <w:rPr>
          <w:rFonts w:cs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Fig. S1</w:t>
      </w:r>
      <w:r>
        <w:rPr>
          <w:rFonts w:ascii="Times New Roman" w:hAnsi="Times New Roman"/>
          <w:sz w:val="20"/>
        </w:rPr>
        <w:t xml:space="preserve"> White-light-interferometric surface-height map of the Al₂O₃ switching layer</w:t>
      </w:r>
    </w:p>
    <w:p w14:paraId="5B593D54">
      <w:pPr>
        <w:spacing w:line="276" w:lineRule="auto"/>
        <w:ind w:firstLine="400"/>
      </w:pPr>
      <w:r>
        <w:rPr>
          <w:sz w:val="20"/>
          <w:szCs w:val="20"/>
        </w:rPr>
        <w:t>The surface topography of the Al₂O₃ switching layer was examined by white-light interferometry. The scanned area of 337.82 × 282.62 μm² showed a largely uniform height distribution, with limited local variation, as shown in Fig. S1. The areal arithmetic mean roughness (Sa) was approximately 0.5 nm, indicating a smooth Al₂O₃ surface over the measured area.</w:t>
      </w:r>
    </w:p>
    <w:p w14:paraId="5B593D55">
      <w:pPr>
        <w:keepNext/>
        <w:keepLines/>
        <w:spacing w:before="200" w:after="120"/>
        <w:ind w:firstLine="0" w:firstLineChars="0"/>
        <w:jc w:val="left"/>
        <w:rPr>
          <w:rFonts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i w:val="0"/>
          <w:sz w:val="20"/>
        </w:rPr>
        <w:t>S3 Additional honeybee-inspired behavioral responses</w:t>
      </w:r>
    </w:p>
    <w:p w14:paraId="5B593D56">
      <w:pPr>
        <w:keepNext/>
        <w:ind w:firstLine="0" w:firstLineChars="0"/>
        <w:jc w:val="center"/>
      </w:pPr>
      <w:r>
        <w:drawing>
          <wp:inline distT="0" distB="0" distL="114300" distR="114300">
            <wp:extent cx="3860800" cy="1699895"/>
            <wp:effectExtent l="0" t="0" r="0" b="0"/>
            <wp:docPr id="3" name="图片 3" descr="Current-time trace comparing two pulse-amplitude conditions. Three 0.4-volt pulses produce low peaks of about 0.60 to 0.72 milliamperes, representing avoidance, whereas three 0.8-volt pulses produce higher peaks of about 5.30 to 5.59 milliamperes, representing defensive sting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urrent-time trace comparing two pulse-amplitude conditions. Three 0.4-volt pulses produce low peaks of about 0.60 to 0.72 milliamperes, representing avoidance, whereas three 0.8-volt pulses produce higher peaks of about 5.30 to 5.59 milliamperes, representing defensive stinging.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1358" cy="1700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93D57">
      <w:pPr>
        <w:keepLines/>
        <w:spacing w:before="120" w:after="120"/>
        <w:ind w:firstLine="0" w:firstLineChars="0"/>
        <w:jc w:val="left"/>
        <w:rPr>
          <w:sz w:val="20"/>
          <w:szCs w:val="20"/>
        </w:rPr>
      </w:pPr>
      <w:r>
        <w:rPr>
          <w:rFonts w:ascii="Times New Roman" w:hAnsi="Times New Roman"/>
          <w:b/>
          <w:sz w:val="20"/>
        </w:rPr>
        <w:t>Fig. S2</w:t>
      </w:r>
      <w:r>
        <w:rPr>
          <w:rFonts w:ascii="Times New Roman" w:hAnsi="Times New Roman"/>
          <w:sz w:val="20"/>
        </w:rPr>
        <w:t xml:space="preserve"> Electrical representation of honeybee avoidance and defensive-stinging responses induced by 0.4 and 0.8 V pulses, respectively; the pulse interval was 0.5 ms</w:t>
      </w:r>
    </w:p>
    <w:p w14:paraId="5B593D58">
      <w:pPr>
        <w:spacing w:line="276" w:lineRule="auto"/>
        <w:ind w:firstLine="40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A constant read voltage of 0.1 V was maintained throughout the measurement. Three 0.4 V pulses with a width of 0.5 ms produced peak currents of approximately 0.60–0.72 mA, which were mapped to honeybee avoidance. Under the same timing conditions, three 0.8 V pulses generated substantially higher peak currents of approximately 5.30–5.59 mA, corresponding to defensive stinging. </w:t>
      </w:r>
      <w:r>
        <w:rPr>
          <w:rFonts w:hint="eastAsia" w:ascii="Times New Roman" w:hAnsi="Times New Roman" w:eastAsia="宋体" w:cstheme="minorBidi"/>
          <w:kern w:val="2"/>
          <w:sz w:val="20"/>
          <w:szCs w:val="20"/>
          <w:lang w:val="en-US" w:eastAsia="zh-CN" w:bidi="ar-SA"/>
        </w:rPr>
        <w:t>The amplitude-dependent current responses distinguish the two behavioral states.</w:t>
      </w:r>
    </w:p>
    <w:p w14:paraId="5B593D59">
      <w:pPr>
        <w:keepNext/>
        <w:ind w:firstLine="480"/>
        <w:jc w:val="center"/>
      </w:pPr>
      <w:r>
        <w:drawing>
          <wp:inline distT="0" distB="0" distL="114300" distR="114300">
            <wp:extent cx="3709035" cy="1631315"/>
            <wp:effectExtent l="0" t="0" r="0" b="0"/>
            <wp:docPr id="5" name="图片 5" descr="Current-time trace containing two floral-odor pulse sequences separated by an odor-noise interval. Both floral-odor regions show repeated high-current peaks, whereas the intervening odor-noise region remains near the baseline with only small fluctu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urrent-time trace containing two floral-odor pulse sequences separated by an odor-noise interval. Both floral-odor regions show repeated high-current peaks, whereas the intervening odor-noise region remains near the baseline with only small fluctuations.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163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93D5A">
      <w:pPr>
        <w:keepLines/>
        <w:spacing w:before="120" w:after="120"/>
        <w:ind w:firstLine="0" w:firstLineChars="0"/>
        <w:jc w:val="left"/>
        <w:rPr>
          <w:sz w:val="20"/>
          <w:szCs w:val="20"/>
        </w:rPr>
      </w:pPr>
      <w:r>
        <w:rPr>
          <w:rFonts w:ascii="Times New Roman" w:hAnsi="Times New Roman"/>
          <w:b/>
          <w:sz w:val="20"/>
        </w:rPr>
        <w:t>Fig. S3</w:t>
      </w:r>
      <w:r>
        <w:rPr>
          <w:rFonts w:ascii="Times New Roman" w:hAnsi="Times New Roman"/>
          <w:sz w:val="20"/>
        </w:rPr>
        <w:t xml:space="preserve"> Current response of the Ag/Al₂O₃/ITO device to electrical pulse sequences encoding floral odor and odor noise</w:t>
      </w:r>
    </w:p>
    <w:p w14:paraId="5B593D5B">
      <w:pPr>
        <w:spacing w:line="276" w:lineRule="auto"/>
        <w:ind w:firstLine="400"/>
        <w:rPr>
          <w:sz w:val="20"/>
          <w:szCs w:val="20"/>
        </w:rPr>
      </w:pPr>
      <w:r>
        <w:rPr>
          <w:sz w:val="20"/>
          <w:szCs w:val="20"/>
        </w:rPr>
        <w:t>To represent the discrimination between a floral odor and odor noise, the floral-odor input was encoded by six 0.8 V pulses with a pulse width and interval of 0.5 ms. A read voltage of 0.1 V was applied between consecutive pulses. As shown in Fig. S3, the first floral-odor sequence produced pronounced current responses, with peak values increasing from approximately 0.70 to 0.94 mA. The intervening odor-noise input, represented by lower voltages of 0.15–0.30 V, generated only weak current fluctuations below approximately 0.16 mA. Large periodic responses reappeared when the 0.8 V floral-odor sequence was applied again, reaching peak currents of approximately 0.91–0.99 mA. The contrast between these current levels provides an electrical representation of the two encoded olfactory states.</w:t>
      </w:r>
    </w:p>
    <w:p w14:paraId="5B593D5C">
      <w:pPr>
        <w:keepNext/>
        <w:keepLines/>
        <w:spacing w:before="200" w:after="120"/>
        <w:ind w:firstLine="0" w:firstLineChars="0"/>
        <w:jc w:val="left"/>
        <w:rPr>
          <w:rFonts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i w:val="0"/>
          <w:sz w:val="20"/>
        </w:rPr>
        <w:t>S4 Pulse protocol for Pavlovian conditioning</w:t>
      </w:r>
    </w:p>
    <w:p w14:paraId="5B593D5D">
      <w:pPr>
        <w:spacing w:line="276" w:lineRule="auto"/>
        <w:ind w:firstLine="400"/>
        <w:rPr>
          <w:sz w:val="20"/>
          <w:szCs w:val="20"/>
        </w:rPr>
      </w:pPr>
      <w:r>
        <w:rPr>
          <w:sz w:val="20"/>
          <w:szCs w:val="20"/>
        </w:rPr>
        <w:t>For the Pavlovian-conditioning experiment presented in Figs. 4(a)–4(d), floral odor and nectar reward were electrically encoded as the conditioned stimulus (CS) and unconditioned stimulus (US), respectively. The CS was represented by 0.4 V pulses, whereas the US was represented by 0.6 V pulses. When applied separately, each stimulus sequence contained ten pulses with a pulse width of 2 ms and an interpulse gap of 1 ms. During conditioning, ten CS–US pairs were delivered. In each pair, a 0.4 V CS pulse was applied first, followed by a 0.6 V US pulse with an onset-to-onset delay of 2 ms; both pulses had a width of 2 ms. Consecutive CS–US pairs were separated by 1 ms. After conditioning, the device response was tested using the same 0.4 V CS sequence. A peak current above 7.5 mA was taken to indicate an electrical response.</w:t>
      </w:r>
    </w:p>
    <w:p w14:paraId="51804ABE">
      <w:pPr>
        <w:keepNext/>
        <w:keepLines/>
        <w:spacing w:before="200" w:after="120"/>
        <w:ind w:firstLine="0" w:firstLineChars="0"/>
        <w:jc w:val="left"/>
      </w:pPr>
      <w:r>
        <w:rPr>
          <w:rFonts w:ascii="Times New Roman" w:hAnsi="Times New Roman"/>
          <w:b/>
          <w:i w:val="0"/>
          <w:sz w:val="20"/>
        </w:rPr>
        <w:t>S5 CNN dataset and conductance-state mapping</w:t>
      </w:r>
    </w:p>
    <w:p w14:paraId="5B593D5F">
      <w:pPr>
        <w:keepNext/>
        <w:ind w:firstLine="480"/>
        <w:jc w:val="center"/>
      </w:pPr>
      <w:r>
        <w:drawing>
          <wp:inline distT="0" distB="0" distL="114300" distR="114300">
            <wp:extent cx="1729740" cy="1391920"/>
            <wp:effectExtent l="0" t="0" r="0" b="0"/>
            <wp:docPr id="2" name="图片 2" descr="Scatter plot of 50 effective conductance states derived from measured memristor resistance states. Conductance increases nonlinearly with state index from about 0.2 to 3.25 millisiemens, with a rapid initial rise followed by a more gradual approach to the upper valu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catter plot of 50 effective conductance states derived from measured memristor resistance states. Conductance increases nonlinearly with state index from about 0.2 to 3.25 millisiemens, with a rapid initial rise followed by a more gradual approach to the upper values."/>
                    <pic:cNvPicPr>
                      <a:picLocks noChangeAspect="1"/>
                    </pic:cNvPicPr>
                  </pic:nvPicPr>
                  <pic:blipFill>
                    <a:blip r:embed="rId15"/>
                    <a:srcRect l="4828" t="6445" r="9433" b="3391"/>
                    <a:stretch>
                      <a:fillRect/>
                    </a:stretch>
                  </pic:blipFill>
                  <pic:spPr>
                    <a:xfrm>
                      <a:off x="0" y="0"/>
                      <a:ext cx="1730311" cy="139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93D60">
      <w:pPr>
        <w:keepLines/>
        <w:spacing w:before="120" w:after="120"/>
        <w:ind w:firstLine="0" w:firstLineChars="0"/>
        <w:jc w:val="left"/>
        <w:rPr>
          <w:sz w:val="20"/>
          <w:szCs w:val="20"/>
        </w:rPr>
      </w:pPr>
      <w:r>
        <w:rPr>
          <w:rFonts w:ascii="Times New Roman" w:hAnsi="Times New Roman"/>
          <w:b/>
          <w:sz w:val="20"/>
        </w:rPr>
        <w:t>Fig. S4</w:t>
      </w:r>
      <w:r>
        <w:rPr>
          <w:rFonts w:ascii="Times New Roman" w:hAnsi="Times New Roman"/>
          <w:sz w:val="20"/>
        </w:rPr>
        <w:t xml:space="preserve"> Fifty effective conductance states derived from measured resistance states of the Ag/Al₂O₃/ITO memristor and used for fully connected-layer weight mapping</w:t>
      </w:r>
    </w:p>
    <w:p w14:paraId="5B593D61">
      <w:pPr>
        <w:pStyle w:val="7"/>
        <w:widowControl/>
        <w:spacing w:line="276" w:lineRule="auto"/>
        <w:ind w:firstLine="360"/>
        <w:jc w:val="both"/>
        <w:rPr>
          <w:sz w:val="21"/>
          <w:szCs w:val="21"/>
        </w:rPr>
      </w:pPr>
      <w:r>
        <w:rPr>
          <w:rFonts w:ascii="Times New Roman" w:hAnsi="Times New Roman"/>
          <w:b w:val="0"/>
          <w:i w:val="0"/>
          <w:sz w:val="20"/>
        </w:rPr>
        <w:t>The flower-classification task used the flower_photos dataset [1], which contains 3670 images from five categories: daisy, dandelion, rose, sunflower, and tulip. The images were divided by class-stratified random sampling into training, validation, and test subsets at a ratio of 70:15:15, corresponding to 2569, 551, and 550 images, respectively. A fixed random seed of 2026 was used for the dataset partition. The validation subset was used for model selection, whereas the held-out test subset was used only for the final comparison between the floating-point and conductance-mapped inference results.</w:t>
      </w:r>
    </w:p>
    <w:p w14:paraId="5B593D62">
      <w:pPr>
        <w:pStyle w:val="7"/>
        <w:widowControl/>
        <w:spacing w:line="276" w:lineRule="auto"/>
        <w:ind w:firstLine="420"/>
        <w:rPr>
          <w:sz w:val="21"/>
          <w:szCs w:val="21"/>
        </w:rPr>
      </w:pPr>
      <w:r>
        <w:rPr>
          <w:sz w:val="21"/>
          <w:szCs w:val="21"/>
        </w:rPr>
        <w:t>For device-constrained weight mapping, 50 resistance states extracted from the experimentally measured LTP/LTD characteristics of the Ag/Al₂O₃/ITO memristor were converted into effective conductance states according to</w:t>
      </w:r>
    </w:p>
    <w:p w14:paraId="5B593D63">
      <w:pPr>
        <w:ind w:firstLine="480"/>
      </w:pPr>
      <m:oMathPara>
        <m:oMath>
          <m:eqArr>
            <m:eqArrPr>
              <m:maxDist m:val="1"/>
              <m:ctrlPr>
                <w:rPr>
                  <w:rFonts w:ascii="Cambria Math" w:hAnsi="Cambria Math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/>
                    <w:rPr>
                      <w:rFonts w:ascii="Cambria Math"/>
                    </w:rPr>
                    <m:t>G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/>
                    <w:rPr>
                      <w:rFonts w:ascii="Cambria Math"/>
                    </w:rPr>
                    <m:t>k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r>
                <m:rPr/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/>
                    <w:rPr>
                      <w:rFonts w:ascii="Cambria Math"/>
                    </w:rPr>
                    <m:t>1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/>
                        <w:rPr>
                          <w:rFonts w:ascii="Cambria Math"/>
                        </w:rPr>
                        <m:t>k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r>
                    <m:rPr/>
                    <w:rPr>
                      <w:rFonts w:asci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/>
                        <w:rPr>
                          <w:rFonts w:ascii="Cambria Math"/>
                        </w:rPr>
                        <m:t>R</m:t>
                      </m:r>
                      <m:ctrlPr>
                        <w:rPr>
                          <w:rFonts w:ascii="Cambria Math" w:hAnsi="Cambria Math"/>
                        </w:rPr>
                      </m:ctrlPr>
                    </m:e>
                    <m:sub>
                      <m:r>
                        <m:rPr/>
                        <w:rPr>
                          <w:rFonts w:ascii="Cambria Math"/>
                        </w:rPr>
                        <m:t>s</m:t>
                      </m:r>
                      <m:ctrlPr>
                        <w:rPr>
                          <w:rFonts w:ascii="Cambria Math" w:hAnsi="Cambria Math"/>
                        </w:rPr>
                      </m:ctrlPr>
                    </m:sub>
                  </m:sSub>
                  <m:ctrlPr>
                    <w:rPr>
                      <w:rFonts w:ascii="Cambria Math" w:hAnsi="Cambria Math"/>
                    </w:rPr>
                  </m:ctrlPr>
                </m:den>
              </m:f>
              <m:r>
                <m:rPr>
                  <m:sty m:val="p"/>
                </m:rPr>
                <w:rPr>
                  <w:rFonts w:asci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#(S1)</m:t>
              </m:r>
              <m:ctrlPr>
                <w:rPr>
                  <w:rFonts w:ascii="Cambria Math" w:hAnsi="Cambria Math"/>
                </w:rPr>
              </m:ctrlPr>
            </m:e>
          </m:eqArr>
        </m:oMath>
      </m:oMathPara>
    </w:p>
    <w:p w14:paraId="7484F910">
      <w:pPr>
        <w:spacing w:line="276" w:lineRule="auto"/>
        <w:ind w:firstLine="400"/>
        <w:rPr>
          <w:sz w:val="20"/>
          <w:szCs w:val="20"/>
        </w:rPr>
      </w:pPr>
      <w:r>
        <w:rPr>
          <w:sz w:val="20"/>
          <w:szCs w:val="20"/>
        </w:rPr>
        <w:t xml:space="preserve">where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/>
              <w:rPr>
                <w:rFonts w:ascii="Cambria Math"/>
              </w:rPr>
              <m:t>R</m:t>
            </m:r>
            <m:ctrlPr>
              <w:rPr>
                <w:rFonts w:ascii="Cambria Math" w:hAnsi="Cambria Math"/>
              </w:rPr>
            </m:ctrlPr>
          </m:e>
          <m:sub>
            <m:r>
              <m:rPr/>
              <w:rPr>
                <w:rFonts w:ascii="Cambria Math"/>
              </w:rPr>
              <m:t>k</m:t>
            </m:r>
            <m:ctrlPr>
              <w:rPr>
                <w:rFonts w:ascii="Cambria Math" w:hAnsi="Cambria Math"/>
              </w:rPr>
            </m:ctrlPr>
          </m:sub>
        </m:sSub>
      </m:oMath>
      <w:r>
        <w:rPr>
          <w:sz w:val="20"/>
          <w:szCs w:val="20"/>
        </w:rPr>
        <w:t xml:space="preserve"> is the </w:t>
      </w:r>
      <m:oMath>
        <m:r>
          <m:rPr/>
          <w:rPr>
            <w:rFonts w:ascii="Cambria Math"/>
          </w:rPr>
          <m:t>k</m:t>
        </m:r>
      </m:oMath>
      <w:r>
        <w:rPr>
          <w:sz w:val="20"/>
          <w:szCs w:val="20"/>
        </w:rPr>
        <w:t xml:space="preserve">th measured resistance state and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/>
              <w:rPr>
                <w:rFonts w:ascii="Cambria Math"/>
              </w:rPr>
              <m:t>R</m:t>
            </m:r>
            <m:ctrlPr>
              <w:rPr>
                <w:rFonts w:ascii="Cambria Math" w:hAnsi="Cambria Math"/>
              </w:rPr>
            </m:ctrlPr>
          </m:e>
          <m:sub>
            <m:r>
              <m:rPr/>
              <w:rPr>
                <w:rFonts w:ascii="Cambria Math"/>
              </w:rPr>
              <m:t>s</m:t>
            </m:r>
            <m:ctrlPr>
              <w:rPr>
                <w:rFonts w:ascii="Cambria Math" w:hAnsi="Cambria Math"/>
              </w:rPr>
            </m:ctrlPr>
          </m:sub>
        </m:sSub>
        <m:r>
          <m:rPr/>
          <w:rPr>
            <w:rFonts w:ascii="Cambria Math"/>
          </w:rPr>
          <m:t>=10 Ω</m:t>
        </m:r>
      </m:oMath>
      <w:r>
        <w:rPr>
          <w:sz w:val="20"/>
          <w:szCs w:val="20"/>
        </w:rPr>
        <w:t xml:space="preserve"> is the series resistance included in the mapping model. The resulting conductance values were arranged in ascending order and used as the available states for mapping the fully connected-layer weights.</w:t>
      </w:r>
    </w:p>
    <w:p w14:paraId="5B593D65">
      <w:pPr>
        <w:keepNext/>
        <w:keepLines/>
        <w:spacing w:before="80" w:after="40"/>
        <w:ind w:left="0" w:firstLine="0"/>
        <w:jc w:val="left"/>
        <w:rPr>
          <w:b/>
          <w:sz w:val="20"/>
          <w:szCs w:val="20"/>
        </w:rPr>
      </w:pPr>
      <w:r>
        <w:rPr>
          <w:rFonts w:ascii="Times New Roman" w:hAnsi="Times New Roman"/>
          <w:b/>
          <w:i w:val="0"/>
          <w:sz w:val="20"/>
        </w:rPr>
        <w:t>References</w:t>
      </w:r>
    </w:p>
    <w:p w14:paraId="24536620">
      <w:pPr>
        <w:numPr>
          <w:ilvl w:val="0"/>
          <w:numId w:val="1"/>
        </w:numPr>
        <w:spacing w:line="276" w:lineRule="auto"/>
        <w:ind w:left="425" w:leftChars="0" w:hanging="425" w:firstLineChars="0"/>
        <w:jc w:val="left"/>
      </w:pPr>
      <w:r>
        <w:rPr>
          <w:rFonts w:ascii="Times New Roman" w:hAnsi="Times New Roman"/>
          <w:b w:val="0"/>
          <w:i w:val="0"/>
          <w:sz w:val="20"/>
        </w:rPr>
        <w:t>TensorFlow Datasets, TF Flowers. https://www.tensorflow.org/datasets/catalog/tf_flowers. Accessed 4 August 2026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93D74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593D77">
                          <w:pPr>
                            <w:pStyle w:val="5"/>
                            <w:ind w:firstLine="360"/>
                          </w:pPr>
                          <w:r>
                            <w:rPr>
                              <w:rFonts w:hint="eastAsia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593D77">
                    <w:pPr>
                      <w:pStyle w:val="5"/>
                      <w:ind w:firstLine="360"/>
                    </w:pPr>
                    <w:r>
                      <w:rPr>
                        <w:rFonts w:hint="eastAsia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3F948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590FC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DEAA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90346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4800D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3DF65A"/>
    <w:multiLevelType w:val="singleLevel"/>
    <w:tmpl w:val="C93DF65A"/>
    <w:lvl w:ilvl="0" w:tentative="0">
      <w:start w:val="1"/>
      <w:numFmt w:val="decimal"/>
      <w:lvlText w:val="[%1]."/>
      <w:lvlJc w:val="left"/>
      <w:pPr>
        <w:ind w:left="425" w:hanging="425"/>
      </w:pPr>
      <w:rPr>
        <w:rFonts w:hint="default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J Materials Science new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AF1514"/>
    <w:rsid w:val="00135437"/>
    <w:rsid w:val="00694096"/>
    <w:rsid w:val="008A4690"/>
    <w:rsid w:val="00AF1514"/>
    <w:rsid w:val="00B75E58"/>
    <w:rsid w:val="00E30AC7"/>
    <w:rsid w:val="00EE27A6"/>
    <w:rsid w:val="02F540D8"/>
    <w:rsid w:val="034551AD"/>
    <w:rsid w:val="0A9E57DD"/>
    <w:rsid w:val="0FE36767"/>
    <w:rsid w:val="11383F97"/>
    <w:rsid w:val="14B00CF3"/>
    <w:rsid w:val="155D0314"/>
    <w:rsid w:val="166C0A5F"/>
    <w:rsid w:val="29245167"/>
    <w:rsid w:val="2CF76044"/>
    <w:rsid w:val="351C7F72"/>
    <w:rsid w:val="3EEA4CD8"/>
    <w:rsid w:val="437E6C91"/>
    <w:rsid w:val="4D6E6C73"/>
    <w:rsid w:val="591D2228"/>
    <w:rsid w:val="62AE3936"/>
    <w:rsid w:val="6373304B"/>
    <w:rsid w:val="6915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2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eastAsia="黑体"/>
      <w:sz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黑体" w:cs="Times New Roman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styleId="13">
    <w:name w:val="HTML Code"/>
    <w:basedOn w:val="9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4.emf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666b8b4c-6b81-4655-9dd3-1c3f2bb77b21</errorID>
      <errorWord>*</errorWord>
      <group>L1_Punc</group>
      <groupName>标点问题</groupName>
      <ability>L2_Punc_CN</ability>
      <abilityName>标点符号问题</abilityName>
      <candidateList/>
      <explain/>
      <paraID>5B593D4E</paraID>
      <start>0</start>
      <end>1</end>
      <status>unmodified</status>
      <modifiedWord/>
      <trackRevisions>false</trackRevisions>
    </reviewItem>
    <reviewItem>
      <errorID>ea95190e-4992-4691-9a09-c48886426ebf</errorID>
      <errorWord>dc</errorWord>
      <group>L1_English</group>
      <groupName>英文问题</groupName>
      <ability>L2_Case</ability>
      <abilityName>大小写问题</abilityName>
      <candidateList>
        <item>DC</item>
      </candidateList>
      <explain>疑似单词大小写错误，建议将dc修改为DC</explain>
      <paraID>5B593D50</paraID>
      <start>11</start>
      <end>13</end>
      <status>unmodified</status>
      <modifiedWord/>
      <trackRevisions>false</trackRevisions>
    </reviewItem>
    <reviewItem>
      <errorID>9c8dba6c-4efb-4d22-a32d-607c365168d8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5B593D55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4c383f-b26a-4e57-a107-b95f74c619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873</Words>
  <Characters>4970</Characters>
  <Lines>42</Lines>
  <Paragraphs>11</Paragraphs>
  <TotalTime>34</TotalTime>
  <ScaleCrop>false</ScaleCrop>
  <LinksUpToDate>false</LinksUpToDate>
  <CharactersWithSpaces>5799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2024-11-19T02:20:00Z</dcterms:created>
  <dc:creator>27795</dc:creator>
  <cp:lastModifiedBy>李浩宇</cp:lastModifiedBy>
  <cp:lastPrinted>2026-08-13T06:16:00Z</cp:lastPrinted>
  <dcterms:modified xsi:type="dcterms:W3CDTF">2026-08-24T08:46:24Z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D05611BDE9554249AB79539F0B57E497_12</vt:lpwstr>
  </property>
  <property fmtid="{D5CDD505-2E9C-101B-9397-08002B2CF9AE}" pid="4" name="KSOTemplateDocerSaveRecord">
    <vt:lpwstr>eyJoZGlkIjoiYzM2MjEwNzYwOTRmNzU4YTAxYWYxZDA3OTEzZWM0OGMiLCJ1c2VySWQiOiIxNzg2NDA4NTczIn0=</vt:lpwstr>
  </property>
</Properties>
</file>