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423B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523927B4"/>
    <w:p w14:paraId="594F3A8C">
      <w:pPr>
        <w:spacing w:line="360" w:lineRule="auto"/>
        <w:rPr>
          <w:rFonts w:hint="default" w:ascii="Times New Roman Bold" w:hAnsi="Times New Roman Bold" w:cs="Times New Roman Bold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Fluorinated magnetic covalent organic framework-enhanced laser desorption/ionization mass spectrometry and imaging for determination of perfluoroalkyl ether carboxylic acids</w:t>
      </w:r>
    </w:p>
    <w:p w14:paraId="5AA52F8A">
      <w:pPr>
        <w:spacing w:line="360" w:lineRule="auto"/>
        <w:rPr>
          <w:rFonts w:hint="default" w:ascii="Times New Roman Bold" w:hAnsi="Times New Roman Bold" w:cs="Times New Roman Bold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2497D0">
      <w:pPr>
        <w:widowControl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Yanfang Zhao</w:t>
      </w:r>
      <w:r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lang w:val="en-GB"/>
        </w:rPr>
        <w:t xml:space="preserve">, </w:t>
      </w:r>
      <w:r>
        <w:rPr>
          <w:rFonts w:hint="eastAsia" w:ascii="Times New Roman" w:hAnsi="Times New Roman" w:cs="Times New Roman"/>
          <w:sz w:val="24"/>
          <w:lang w:val="en-US" w:eastAsia="zh-CN"/>
        </w:rPr>
        <w:t>Jun Wang</w:t>
      </w:r>
      <w:r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lang w:val="en-GB"/>
        </w:rPr>
        <w:t>Rabah Boukherroub</w:t>
      </w:r>
      <w:r>
        <w:rPr>
          <w:rFonts w:hint="default" w:ascii="Times New Roman" w:hAnsi="Times New Roman" w:cs="Times New Roman"/>
          <w:sz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</w:rPr>
        <w:t>Ke Jia</w:t>
      </w:r>
      <w:r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lang w:val="en-GB"/>
        </w:rPr>
        <w:t xml:space="preserve">, </w:t>
      </w:r>
      <w:r>
        <w:rPr>
          <w:rFonts w:hint="eastAsia" w:ascii="Times New Roman" w:hAnsi="Times New Roman" w:cs="Times New Roman"/>
          <w:color w:val="auto"/>
          <w:sz w:val="24"/>
          <w:lang w:val="en-GB"/>
        </w:rPr>
        <w:t>Sabine S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zunerits</w:t>
      </w:r>
      <w:r>
        <w:rPr>
          <w:rFonts w:hint="default" w:ascii="Times New Roman" w:hAnsi="Times New Roman" w:cs="Times New Roman"/>
          <w:color w:val="auto"/>
          <w:sz w:val="24"/>
          <w:vertAlign w:val="superscript"/>
          <w:lang w:val="en-US"/>
        </w:rPr>
        <w:t>c</w:t>
      </w:r>
      <w:r>
        <w:rPr>
          <w:rFonts w:hint="default" w:ascii="Times New Roman" w:hAnsi="Times New Roman" w:cs="Times New Roman"/>
          <w:color w:val="auto"/>
          <w:sz w:val="24"/>
          <w:vertAlign w:val="baseline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lang w:val="en-US"/>
        </w:rPr>
        <w:t>Lu</w:t>
      </w:r>
      <w:r>
        <w:rPr>
          <w:rFonts w:ascii="Times New Roman" w:hAnsi="Times New Roman" w:cs="Times New Roman"/>
          <w:sz w:val="24"/>
        </w:rPr>
        <w:t xml:space="preserve"> Li</w:t>
      </w:r>
      <w:r>
        <w:rPr>
          <w:rFonts w:hint="default" w:ascii="Times New Roman" w:hAnsi="Times New Roman" w:cs="Times New Roman"/>
          <w:sz w:val="24"/>
          <w:lang w:val="en-US"/>
        </w:rPr>
        <w:t>u</w:t>
      </w:r>
      <w:r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lang w:val="en-GB"/>
        </w:rPr>
        <w:t>,</w:t>
      </w:r>
      <w:r>
        <w:rPr>
          <w:rFonts w:hint="default" w:ascii="Times New Roman" w:hAnsi="Times New Roman" w:cs="Times New Roman"/>
          <w:sz w:val="24"/>
          <w:lang w:val="en-US"/>
        </w:rPr>
        <w:t xml:space="preserve"> Xiangrong Chen</w:t>
      </w:r>
      <w:r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r>
        <w:rPr>
          <w:rFonts w:hint="default" w:ascii="Times New Roman" w:hAnsi="Times New Roman" w:cs="Times New Roman"/>
          <w:sz w:val="24"/>
          <w:lang w:val="en-US"/>
        </w:rPr>
        <w:t>,</w:t>
      </w:r>
      <w:r>
        <w:rPr>
          <w:rFonts w:ascii="Times New Roman" w:hAnsi="Times New Roman" w:cs="Times New Roman"/>
          <w:sz w:val="24"/>
          <w:lang w:val="en-GB"/>
        </w:rPr>
        <w:t xml:space="preserve"> Xiangfeng Chen*</w:t>
      </w:r>
      <w:r>
        <w:rPr>
          <w:rFonts w:ascii="Times New Roman" w:hAnsi="Times New Roman" w:cs="Times New Roman"/>
          <w:sz w:val="24"/>
          <w:vertAlign w:val="superscript"/>
          <w:lang w:val="en-GB"/>
        </w:rPr>
        <w:t>,a</w:t>
      </w:r>
    </w:p>
    <w:p w14:paraId="6DF74475">
      <w:pPr>
        <w:widowControl/>
        <w:jc w:val="left"/>
        <w:rPr>
          <w:rFonts w:ascii="Times New Roman" w:hAnsi="Times New Roman" w:cs="Times New Roman"/>
          <w:sz w:val="24"/>
          <w:lang w:val="en-GB"/>
        </w:rPr>
      </w:pPr>
    </w:p>
    <w:p w14:paraId="7A7288ED">
      <w:pPr>
        <w:widowControl/>
        <w:rPr>
          <w:rFonts w:ascii="Times New Roman" w:hAnsi="Times New Roman" w:cs="Times New Roman"/>
          <w:i/>
          <w:iCs/>
          <w:szCs w:val="21"/>
          <w:lang w:val="en-GB"/>
        </w:rPr>
      </w:pPr>
      <w:r>
        <w:rPr>
          <w:rFonts w:ascii="Times New Roman" w:hAnsi="Times New Roman" w:cs="Times New Roman"/>
          <w:i/>
          <w:iCs/>
          <w:szCs w:val="21"/>
          <w:vertAlign w:val="superscript"/>
        </w:rPr>
        <w:t>a</w:t>
      </w:r>
      <w:r>
        <w:rPr>
          <w:rFonts w:ascii="Times New Roman" w:hAnsi="Times New Roman" w:cs="Times New Roman"/>
          <w:i/>
          <w:iCs/>
          <w:szCs w:val="21"/>
          <w:lang w:val="en-GB"/>
        </w:rPr>
        <w:t>Key Laboratory for Applied Technology of Sophisticated Analytical Instruments of Shandong Province, Shandong Analysis and Test Centre, Qilu University of Technology (Shandong Academy of Sciences), Jinan, Shandong, 250014, PR China.</w:t>
      </w:r>
    </w:p>
    <w:p w14:paraId="5E161D8D">
      <w:pPr>
        <w:widowControl/>
        <w:rPr>
          <w:rFonts w:ascii="Times New Roman" w:hAnsi="Times New Roman" w:cs="Times New Roman"/>
          <w:i/>
          <w:iCs/>
          <w:szCs w:val="21"/>
          <w:lang w:val="en-GB"/>
        </w:rPr>
      </w:pPr>
      <w:r>
        <w:rPr>
          <w:rFonts w:ascii="Times New Roman" w:hAnsi="Times New Roman" w:cs="Times New Roman"/>
          <w:i/>
          <w:iCs/>
          <w:szCs w:val="21"/>
          <w:vertAlign w:val="superscript"/>
        </w:rPr>
        <w:t>b</w:t>
      </w:r>
      <w:r>
        <w:rPr>
          <w:rFonts w:hint="eastAsia" w:ascii="Times New Roman" w:hAnsi="Times New Roman" w:cs="Times New Roman"/>
          <w:i/>
          <w:iCs/>
          <w:szCs w:val="21"/>
          <w:lang w:val="en-GB"/>
        </w:rPr>
        <w:t>Key Laboratory of Supervising Technology for Meat and Meat Products, Shandong Institute for Food and Drug Control, Jinan, Shandong, 250101, China</w:t>
      </w:r>
    </w:p>
    <w:p w14:paraId="14394D12">
      <w:pPr>
        <w:rPr>
          <w:rFonts w:ascii="Times New Roman" w:hAnsi="Times New Roman" w:cs="Times New Roman"/>
          <w:i/>
          <w:iCs/>
          <w:szCs w:val="21"/>
          <w:lang w:val="en-GB"/>
        </w:rPr>
      </w:pPr>
      <w:r>
        <w:rPr>
          <w:rFonts w:hint="default" w:ascii="Times New Roman" w:hAnsi="Times New Roman" w:cs="Times New Roman"/>
          <w:i/>
          <w:iCs/>
          <w:szCs w:val="21"/>
          <w:vertAlign w:val="superscript"/>
          <w:lang w:val="en-US"/>
        </w:rPr>
        <w:t>c</w:t>
      </w:r>
      <w:r>
        <w:rPr>
          <w:rFonts w:ascii="Times New Roman" w:hAnsi="Times New Roman" w:cs="Times New Roman"/>
          <w:i/>
          <w:iCs/>
          <w:szCs w:val="21"/>
          <w:lang w:val="fr-FR"/>
        </w:rPr>
        <w:t>Univ. Lille, CNRS, Univ. Polytechnique Hauts-de-France</w:t>
      </w:r>
      <w:r>
        <w:rPr>
          <w:rFonts w:ascii="Times New Roman" w:hAnsi="Times New Roman" w:cs="Times New Roman"/>
          <w:i/>
          <w:iCs/>
          <w:szCs w:val="21"/>
          <w:lang w:val="en-GB"/>
        </w:rPr>
        <w:t>, UMR 8520, IEMN, F-59000 Lille, France</w:t>
      </w:r>
    </w:p>
    <w:p w14:paraId="30E026FC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E07B54D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78FF464B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31D9628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5F102F8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9165B7C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78C321F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4F51E73">
      <w:pPr>
        <w:rPr>
          <w:rFonts w:ascii="Times New Roman" w:hAnsi="Times New Roman" w:cs="Times New Roman"/>
          <w:kern w:val="0"/>
          <w:sz w:val="24"/>
          <w:szCs w:val="24"/>
        </w:rPr>
      </w:pPr>
      <w:bookmarkStart w:id="4" w:name="_GoBack"/>
      <w:bookmarkEnd w:id="4"/>
    </w:p>
    <w:p w14:paraId="70FAD625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Address correspondence to: </w:t>
      </w:r>
    </w:p>
    <w:p w14:paraId="40E2090C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Prof. X. F. Chen, </w:t>
      </w:r>
      <w:r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kern w:val="0"/>
          <w:sz w:val="24"/>
          <w:szCs w:val="24"/>
        </w:rPr>
        <w:instrText xml:space="preserve"> HYPERLINK "mailto:qlgdchenxf@126.com" </w:instrText>
      </w:r>
      <w:r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>
        <w:rPr>
          <w:rStyle w:val="5"/>
          <w:rFonts w:ascii="Times New Roman" w:hAnsi="Times New Roman" w:cs="Times New Roman"/>
          <w:kern w:val="0"/>
          <w:sz w:val="24"/>
          <w:szCs w:val="24"/>
        </w:rPr>
        <w:t>qlgdchenxf@126.com</w:t>
      </w:r>
      <w:r>
        <w:rPr>
          <w:rStyle w:val="5"/>
          <w:rFonts w:ascii="Times New Roman" w:hAnsi="Times New Roman" w:cs="Times New Roman"/>
          <w:kern w:val="0"/>
          <w:sz w:val="24"/>
          <w:szCs w:val="24"/>
        </w:rPr>
        <w:br w:type="page"/>
      </w:r>
      <w:r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</w:p>
    <w:p w14:paraId="462F90D4">
      <w:pPr>
        <w:jc w:val="center"/>
      </w:pPr>
      <w:r>
        <w:rPr>
          <w:rFonts w:hint="eastAsia" w:ascii="Times New Roman" w:hAnsi="Times New Roman" w:cs="Times New Roman"/>
          <w:b/>
          <w:bCs/>
          <w:sz w:val="44"/>
          <w:szCs w:val="44"/>
        </w:rPr>
        <w:t>Con</w:t>
      </w:r>
      <w:r>
        <w:rPr>
          <w:rFonts w:ascii="Times New Roman" w:hAnsi="Times New Roman" w:cs="Times New Roman"/>
          <w:b/>
          <w:bCs/>
          <w:sz w:val="44"/>
          <w:szCs w:val="44"/>
        </w:rPr>
        <w:t>tents</w:t>
      </w:r>
    </w:p>
    <w:p w14:paraId="755FD10F"/>
    <w:p w14:paraId="6F58A428"/>
    <w:p w14:paraId="69BF20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ig. S1.</w:t>
      </w:r>
      <w:r>
        <w:rPr>
          <w:rFonts w:ascii="Times New Roman" w:hAnsi="Times New Roman" w:cs="Times New Roman"/>
          <w:sz w:val="20"/>
          <w:szCs w:val="20"/>
        </w:rPr>
        <w:t xml:space="preserve"> FTIR spectra of </w:t>
      </w:r>
      <w:r>
        <w:rPr>
          <w:rFonts w:hint="eastAsia" w:ascii="Times New Roman" w:hAnsi="Times New Roman" w:cs="Times New Roman"/>
          <w:sz w:val="20"/>
          <w:szCs w:val="20"/>
        </w:rPr>
        <w:t>Fe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</w:rPr>
        <w:t>F-COF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Fe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sz w:val="20"/>
          <w:szCs w:val="20"/>
        </w:rPr>
        <w:t>@F-COF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F7F10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ig.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Ultraviolet-visible spectr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hint="eastAsia" w:ascii="Times New Roman" w:hAnsi="Times New Roman" w:cs="Times New Roman"/>
          <w:sz w:val="20"/>
          <w:szCs w:val="20"/>
        </w:rPr>
        <w:t>Fe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</w:rPr>
        <w:t>F-COF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Fe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sz w:val="20"/>
          <w:szCs w:val="20"/>
        </w:rPr>
        <w:t>@F-COF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>.</w:t>
      </w:r>
    </w:p>
    <w:p w14:paraId="4563E6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</w:rPr>
        <w:t>Table S</w:t>
      </w:r>
      <w:r>
        <w:rPr>
          <w:rFonts w:hint="default" w:ascii="Times New Roman" w:hAnsi="Times New Roman"/>
          <w:b/>
          <w:bCs/>
          <w:sz w:val="20"/>
          <w:szCs w:val="20"/>
          <w:lang w:val="en-US" w:eastAsia="zh-CN"/>
        </w:rPr>
        <w:t>1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.</w:t>
      </w:r>
      <w:r>
        <w:rPr>
          <w:rFonts w:ascii="Times New Roman" w:hAnsi="Times New Roman"/>
          <w:sz w:val="20"/>
          <w:szCs w:val="20"/>
        </w:rPr>
        <w:t xml:space="preserve"> Main peaks and LODs (S/N=3) of </w:t>
      </w:r>
      <w:r>
        <w:rPr>
          <w:rFonts w:hint="eastAsia" w:ascii="Times New Roman" w:hAnsi="Times New Roman"/>
          <w:sz w:val="20"/>
          <w:szCs w:val="20"/>
        </w:rPr>
        <w:t>PFECAs</w:t>
      </w:r>
      <w:r>
        <w:rPr>
          <w:rFonts w:ascii="Times New Roman" w:hAnsi="Times New Roman"/>
          <w:sz w:val="20"/>
          <w:szCs w:val="20"/>
        </w:rPr>
        <w:t xml:space="preserve"> obtained using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Fe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O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@F-COF</w:t>
      </w:r>
      <w:r>
        <w:rPr>
          <w:rFonts w:ascii="Times New Roman" w:hAnsi="Times New Roman"/>
          <w:sz w:val="20"/>
          <w:szCs w:val="20"/>
        </w:rPr>
        <w:t xml:space="preserve"> as an adsorbent and matrix in blank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/>
          <w:sz w:val="20"/>
          <w:szCs w:val="20"/>
          <w:lang w:val="en-US"/>
        </w:rPr>
        <w:t>pring</w:t>
      </w:r>
      <w:r>
        <w:rPr>
          <w:rFonts w:hint="default" w:ascii="Times New Roman" w:hAnsi="Times New Roman"/>
          <w:sz w:val="20"/>
          <w:szCs w:val="20"/>
          <w:lang w:val="en-US" w:eastAsia="zh-CN"/>
        </w:rPr>
        <w:t xml:space="preserve"> wa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/>
          <w:sz w:val="20"/>
          <w:szCs w:val="20"/>
          <w:lang w:val="en-US" w:eastAsia="zh-CN"/>
        </w:rPr>
        <w:t>er</w:t>
      </w:r>
      <w:r>
        <w:rPr>
          <w:rFonts w:ascii="Times New Roman" w:hAnsi="Times New Roman"/>
          <w:sz w:val="20"/>
          <w:szCs w:val="20"/>
        </w:rPr>
        <w:t xml:space="preserve"> samples.</w:t>
      </w:r>
    </w:p>
    <w:p w14:paraId="4ECBB9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/>
          <w:b/>
          <w:bCs/>
          <w:sz w:val="20"/>
          <w:szCs w:val="20"/>
          <w:lang w:val="en-US" w:eastAsia="zh-CN"/>
        </w:rPr>
        <w:t>.</w:t>
      </w:r>
      <w:r>
        <w:rPr>
          <w:rFonts w:ascii="Times New Roman" w:hAnsi="Times New Roman"/>
          <w:sz w:val="20"/>
          <w:szCs w:val="20"/>
        </w:rPr>
        <w:t xml:space="preserve"> Main peaks and LODs (S/N=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3</w:t>
      </w:r>
      <w:r>
        <w:rPr>
          <w:rFonts w:ascii="Times New Roman" w:hAnsi="Times New Roman"/>
          <w:sz w:val="20"/>
          <w:szCs w:val="20"/>
        </w:rPr>
        <w:t xml:space="preserve">) of </w:t>
      </w:r>
      <w:r>
        <w:rPr>
          <w:rFonts w:hint="eastAsia" w:ascii="Times New Roman" w:hAnsi="Times New Roman"/>
          <w:sz w:val="20"/>
          <w:szCs w:val="20"/>
        </w:rPr>
        <w:t>PFECAs</w:t>
      </w:r>
      <w:r>
        <w:rPr>
          <w:rFonts w:ascii="Times New Roman" w:hAnsi="Times New Roman"/>
          <w:sz w:val="20"/>
          <w:szCs w:val="20"/>
        </w:rPr>
        <w:t xml:space="preserve"> obtained using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Fe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O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@F-COF</w:t>
      </w:r>
      <w:r>
        <w:rPr>
          <w:rFonts w:ascii="Times New Roman" w:hAnsi="Times New Roman"/>
          <w:sz w:val="20"/>
          <w:szCs w:val="20"/>
        </w:rPr>
        <w:t xml:space="preserve"> as an adsorbent and matrix in blank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human serum </w:t>
      </w:r>
      <w:r>
        <w:rPr>
          <w:rFonts w:ascii="Times New Roman" w:hAnsi="Times New Roman"/>
          <w:sz w:val="20"/>
          <w:szCs w:val="20"/>
        </w:rPr>
        <w:t>samples.</w:t>
      </w:r>
    </w:p>
    <w:p w14:paraId="6BB6B8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Results of the recoveries of </w:t>
      </w:r>
      <w:r>
        <w:rPr>
          <w:rFonts w:hint="eastAsia" w:ascii="Times New Roman" w:hAnsi="Times New Roman" w:cs="Times New Roman"/>
          <w:sz w:val="20"/>
          <w:szCs w:val="20"/>
        </w:rPr>
        <w:t>PFECAs</w:t>
      </w:r>
      <w:r>
        <w:rPr>
          <w:rFonts w:ascii="Times New Roman" w:hAnsi="Times New Roman" w:cs="Times New Roman"/>
          <w:sz w:val="20"/>
          <w:szCs w:val="20"/>
        </w:rPr>
        <w:t xml:space="preserve"> in real samples.</w:t>
      </w:r>
    </w:p>
    <w:p w14:paraId="3003E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BFAFD0">
      <w:pPr>
        <w:rPr>
          <w:rFonts w:ascii="Times New Roman" w:hAnsi="Times New Roman" w:cs="Times New Roman"/>
          <w:sz w:val="24"/>
          <w:szCs w:val="24"/>
        </w:rPr>
      </w:pPr>
    </w:p>
    <w:p w14:paraId="2C478490">
      <w:pPr>
        <w:jc w:val="center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361055" cy="4911725"/>
            <wp:effectExtent l="0" t="0" r="0" b="0"/>
            <wp:docPr id="3" name="图片 3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1"/>
                    <pic:cNvPicPr>
                      <a:picLocks noChangeAspect="1"/>
                    </pic:cNvPicPr>
                  </pic:nvPicPr>
                  <pic:blipFill>
                    <a:blip r:embed="rId4"/>
                    <a:srcRect l="9804" t="4870" r="8990"/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491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B39F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ig. S1.</w:t>
      </w:r>
      <w:r>
        <w:rPr>
          <w:rFonts w:ascii="Times New Roman" w:hAnsi="Times New Roman" w:cs="Times New Roman"/>
          <w:sz w:val="20"/>
          <w:szCs w:val="20"/>
        </w:rPr>
        <w:t xml:space="preserve"> FTIR spectra of </w:t>
      </w:r>
      <w:r>
        <w:rPr>
          <w:rFonts w:hint="eastAsia" w:ascii="Times New Roman" w:hAnsi="Times New Roman" w:cs="Times New Roman"/>
          <w:sz w:val="20"/>
          <w:szCs w:val="20"/>
        </w:rPr>
        <w:t>Fe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</w:rPr>
        <w:t>F-COF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Fe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sz w:val="20"/>
          <w:szCs w:val="20"/>
        </w:rPr>
        <w:t>@F-COF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2EB8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1B875F">
      <w:pPr>
        <w:jc w:val="center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 w14:paraId="28D5DB61">
      <w:pPr>
        <w:jc w:val="center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drawing>
          <wp:inline distT="0" distB="0" distL="114300" distR="114300">
            <wp:extent cx="4138930" cy="2889250"/>
            <wp:effectExtent l="0" t="0" r="0" b="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893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C468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ig.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Ultraviolet-visible spectr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>
        <w:rPr>
          <w:rFonts w:hint="eastAsia" w:ascii="Times New Roman" w:hAnsi="Times New Roman" w:cs="Times New Roman"/>
          <w:sz w:val="20"/>
          <w:szCs w:val="20"/>
        </w:rPr>
        <w:t>Fe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</w:rPr>
        <w:t>F-COF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Fe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sz w:val="20"/>
          <w:szCs w:val="20"/>
        </w:rPr>
        <w:t>@F-COF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566F1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559E1BE">
      <w:pPr>
        <w:jc w:val="center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 w14:paraId="2EF0A027">
      <w:pPr>
        <w:widowControl/>
        <w:rPr>
          <w:rFonts w:ascii="Times New Roman" w:hAnsi="Times New Roman"/>
          <w:sz w:val="20"/>
          <w:szCs w:val="20"/>
        </w:rPr>
      </w:pPr>
      <w:bookmarkStart w:id="0" w:name="_Hlk516581974"/>
      <w:r>
        <w:rPr>
          <w:rFonts w:ascii="Times New Roman" w:hAnsi="Times New Roman"/>
          <w:b/>
          <w:bCs/>
          <w:sz w:val="20"/>
          <w:szCs w:val="20"/>
        </w:rPr>
        <w:t>Table S1</w:t>
      </w:r>
      <w:r>
        <w:rPr>
          <w:rFonts w:hint="default" w:ascii="Times New Roman" w:hAnsi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/>
          <w:sz w:val="20"/>
          <w:szCs w:val="20"/>
        </w:rPr>
        <w:t xml:space="preserve"> Main peaks and LODs (S/N=3) of </w:t>
      </w:r>
      <w:r>
        <w:rPr>
          <w:rFonts w:hint="eastAsia" w:ascii="Times New Roman" w:hAnsi="Times New Roman"/>
          <w:sz w:val="20"/>
          <w:szCs w:val="20"/>
        </w:rPr>
        <w:t>PFECAs</w:t>
      </w:r>
      <w:r>
        <w:rPr>
          <w:rFonts w:ascii="Times New Roman" w:hAnsi="Times New Roman"/>
          <w:sz w:val="20"/>
          <w:szCs w:val="20"/>
        </w:rPr>
        <w:t xml:space="preserve"> obtained using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Fe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O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@F-COF</w:t>
      </w:r>
      <w:r>
        <w:rPr>
          <w:rFonts w:ascii="Times New Roman" w:hAnsi="Times New Roman"/>
          <w:sz w:val="20"/>
          <w:szCs w:val="20"/>
        </w:rPr>
        <w:t xml:space="preserve"> as an adsorbent and matrix in blank </w:t>
      </w:r>
      <w:r>
        <w:rPr>
          <w:rFonts w:hint="default" w:ascii="Times New Roman" w:hAnsi="Times New Roman"/>
          <w:sz w:val="20"/>
          <w:szCs w:val="20"/>
          <w:lang w:val="en-US" w:eastAsia="zh-CN"/>
        </w:rPr>
        <w:t>spring water</w:t>
      </w:r>
      <w:r>
        <w:rPr>
          <w:rFonts w:ascii="Times New Roman" w:hAnsi="Times New Roman"/>
          <w:sz w:val="20"/>
          <w:szCs w:val="20"/>
        </w:rPr>
        <w:t xml:space="preserve"> samples.</w:t>
      </w:r>
    </w:p>
    <w:tbl>
      <w:tblPr>
        <w:tblStyle w:val="3"/>
        <w:tblW w:w="5202" w:type="pct"/>
        <w:tblInd w:w="-9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972"/>
        <w:gridCol w:w="1080"/>
        <w:gridCol w:w="1000"/>
        <w:gridCol w:w="1293"/>
        <w:gridCol w:w="1427"/>
        <w:gridCol w:w="1920"/>
      </w:tblGrid>
      <w:tr w14:paraId="10176B6A">
        <w:trPr>
          <w:trHeight w:val="1278" w:hRule="atLeast"/>
        </w:trPr>
        <w:tc>
          <w:tcPr>
            <w:tcW w:w="662" w:type="pct"/>
            <w:tcBorders>
              <w:top w:val="single" w:color="auto" w:sz="12" w:space="0"/>
            </w:tcBorders>
            <w:vAlign w:val="center"/>
          </w:tcPr>
          <w:p w14:paraId="603CC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Analyte</w:t>
            </w:r>
          </w:p>
        </w:tc>
        <w:tc>
          <w:tcPr>
            <w:tcW w:w="548" w:type="pct"/>
            <w:tcBorders>
              <w:top w:val="single" w:color="auto" w:sz="12" w:space="0"/>
            </w:tcBorders>
            <w:vAlign w:val="center"/>
          </w:tcPr>
          <w:p w14:paraId="17DE6D93">
            <w:pPr>
              <w:jc w:val="center"/>
              <w:rPr>
                <w:rFonts w:hint="default" w:ascii="Times New Roman Italic" w:hAnsi="Times New Roman Italic" w:cs="Times New Roman Italic"/>
                <w:i/>
                <w:iCs/>
                <w:sz w:val="20"/>
                <w:szCs w:val="20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0"/>
                <w:szCs w:val="20"/>
              </w:rPr>
              <w:t>m/z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center"/>
          </w:tcPr>
          <w:p w14:paraId="4B1E5E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LOD </w:t>
            </w:r>
          </w:p>
          <w:p w14:paraId="67285D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Style w:val="6"/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single" w:color="auto" w:sz="12" w:space="0"/>
            </w:tcBorders>
            <w:vAlign w:val="center"/>
          </w:tcPr>
          <w:p w14:paraId="1298E9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LOQ</w:t>
            </w:r>
          </w:p>
          <w:p w14:paraId="0F4564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Style w:val="6"/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29" w:type="pct"/>
            <w:tcBorders>
              <w:top w:val="single" w:color="auto" w:sz="12" w:space="0"/>
            </w:tcBorders>
            <w:vAlign w:val="center"/>
          </w:tcPr>
          <w:p w14:paraId="743124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Linear range </w:t>
            </w:r>
          </w:p>
          <w:p w14:paraId="1C490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Style w:val="6"/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04" w:type="pct"/>
            <w:tcBorders>
              <w:top w:val="single" w:color="auto" w:sz="12" w:space="0"/>
            </w:tcBorders>
            <w:vAlign w:val="center"/>
          </w:tcPr>
          <w:p w14:paraId="37AA9F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Shot-to-shot RSD (%)</w:t>
            </w:r>
          </w:p>
        </w:tc>
        <w:tc>
          <w:tcPr>
            <w:tcW w:w="1082" w:type="pct"/>
            <w:tcBorders>
              <w:top w:val="single" w:color="auto" w:sz="12" w:space="0"/>
            </w:tcBorders>
            <w:vAlign w:val="center"/>
          </w:tcPr>
          <w:p w14:paraId="27C01C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Sample-to-sample RSD (%)</w:t>
            </w:r>
          </w:p>
        </w:tc>
      </w:tr>
      <w:tr w14:paraId="21BF7B21">
        <w:trPr>
          <w:trHeight w:val="460" w:hRule="atLeast"/>
        </w:trPr>
        <w:tc>
          <w:tcPr>
            <w:tcW w:w="662" w:type="pct"/>
            <w:tcBorders>
              <w:top w:val="single" w:color="auto" w:sz="4" w:space="0"/>
            </w:tcBorders>
            <w:vAlign w:val="center"/>
          </w:tcPr>
          <w:p w14:paraId="6D807EF2">
            <w:pPr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GenX</w:t>
            </w:r>
          </w:p>
        </w:tc>
        <w:tc>
          <w:tcPr>
            <w:tcW w:w="548" w:type="pct"/>
            <w:tcBorders>
              <w:top w:val="single" w:color="auto" w:sz="4" w:space="0"/>
            </w:tcBorders>
            <w:vAlign w:val="center"/>
          </w:tcPr>
          <w:p w14:paraId="75930804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329.08</w:t>
            </w:r>
          </w:p>
        </w:tc>
        <w:tc>
          <w:tcPr>
            <w:tcW w:w="608" w:type="pct"/>
            <w:tcBorders>
              <w:top w:val="single" w:color="auto" w:sz="4" w:space="0"/>
            </w:tcBorders>
            <w:vAlign w:val="center"/>
          </w:tcPr>
          <w:p w14:paraId="24A77645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563" w:type="pct"/>
            <w:tcBorders>
              <w:top w:val="single" w:color="auto" w:sz="4" w:space="0"/>
            </w:tcBorders>
            <w:vAlign w:val="center"/>
          </w:tcPr>
          <w:p w14:paraId="4770EF6F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0.35</w:t>
            </w:r>
          </w:p>
        </w:tc>
        <w:tc>
          <w:tcPr>
            <w:tcW w:w="729" w:type="pct"/>
            <w:tcBorders>
              <w:top w:val="single" w:color="auto" w:sz="4" w:space="0"/>
            </w:tcBorders>
            <w:vAlign w:val="center"/>
          </w:tcPr>
          <w:p w14:paraId="529E6245">
            <w:pPr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0.50</w:t>
            </w:r>
            <w:r>
              <w:rPr>
                <w:rFonts w:hint="default" w:ascii="Times New Roman Regular" w:hAnsi="Times New Roman Regular" w:eastAsia="STIX-Regular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–</w:t>
            </w: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500</w:t>
            </w:r>
          </w:p>
        </w:tc>
        <w:tc>
          <w:tcPr>
            <w:tcW w:w="804" w:type="pct"/>
            <w:tcBorders>
              <w:top w:val="single" w:color="auto" w:sz="4" w:space="0"/>
            </w:tcBorders>
            <w:vAlign w:val="center"/>
          </w:tcPr>
          <w:p w14:paraId="212CCEF4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4.22</w:t>
            </w:r>
          </w:p>
        </w:tc>
        <w:tc>
          <w:tcPr>
            <w:tcW w:w="1082" w:type="pct"/>
            <w:tcBorders>
              <w:top w:val="single" w:color="auto" w:sz="4" w:space="0"/>
            </w:tcBorders>
            <w:vAlign w:val="center"/>
          </w:tcPr>
          <w:p w14:paraId="4F0C30F8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5.46</w:t>
            </w:r>
          </w:p>
        </w:tc>
      </w:tr>
      <w:tr w14:paraId="13318254">
        <w:trPr>
          <w:trHeight w:val="396" w:hRule="atLeast"/>
        </w:trPr>
        <w:tc>
          <w:tcPr>
            <w:tcW w:w="662" w:type="pct"/>
            <w:vAlign w:val="center"/>
          </w:tcPr>
          <w:p w14:paraId="49E35D15">
            <w:pPr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EEA</w:t>
            </w:r>
          </w:p>
        </w:tc>
        <w:tc>
          <w:tcPr>
            <w:tcW w:w="548" w:type="pct"/>
            <w:vAlign w:val="center"/>
          </w:tcPr>
          <w:p w14:paraId="3276BC08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345.05</w:t>
            </w:r>
          </w:p>
        </w:tc>
        <w:tc>
          <w:tcPr>
            <w:tcW w:w="608" w:type="pct"/>
            <w:vAlign w:val="center"/>
          </w:tcPr>
          <w:p w14:paraId="10184ABD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0.075</w:t>
            </w:r>
          </w:p>
        </w:tc>
        <w:tc>
          <w:tcPr>
            <w:tcW w:w="563" w:type="pct"/>
            <w:vAlign w:val="center"/>
          </w:tcPr>
          <w:p w14:paraId="0EF7E13F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0.25</w:t>
            </w:r>
          </w:p>
        </w:tc>
        <w:tc>
          <w:tcPr>
            <w:tcW w:w="729" w:type="pct"/>
            <w:vAlign w:val="center"/>
          </w:tcPr>
          <w:p w14:paraId="5688E449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0.30</w:t>
            </w:r>
            <w:r>
              <w:rPr>
                <w:rFonts w:hint="default" w:ascii="Times New Roman Regular" w:hAnsi="Times New Roman Regular" w:eastAsia="STIX-Regular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–</w:t>
            </w: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500</w:t>
            </w:r>
          </w:p>
        </w:tc>
        <w:tc>
          <w:tcPr>
            <w:tcW w:w="804" w:type="pct"/>
            <w:vAlign w:val="center"/>
          </w:tcPr>
          <w:p w14:paraId="5CAA9969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7.26</w:t>
            </w:r>
          </w:p>
        </w:tc>
        <w:tc>
          <w:tcPr>
            <w:tcW w:w="1082" w:type="pct"/>
            <w:vAlign w:val="center"/>
          </w:tcPr>
          <w:p w14:paraId="17CC49A2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10.2</w:t>
            </w:r>
          </w:p>
        </w:tc>
      </w:tr>
      <w:tr w14:paraId="024FFE73">
        <w:trPr>
          <w:trHeight w:val="324" w:hRule="atLeast"/>
        </w:trPr>
        <w:tc>
          <w:tcPr>
            <w:tcW w:w="662" w:type="pct"/>
            <w:tcBorders>
              <w:bottom w:val="single" w:color="auto" w:sz="12" w:space="0"/>
            </w:tcBorders>
            <w:vAlign w:val="center"/>
          </w:tcPr>
          <w:p w14:paraId="31EC13DD">
            <w:pPr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ADONA</w:t>
            </w:r>
          </w:p>
        </w:tc>
        <w:tc>
          <w:tcPr>
            <w:tcW w:w="548" w:type="pct"/>
            <w:tcBorders>
              <w:bottom w:val="single" w:color="auto" w:sz="12" w:space="0"/>
            </w:tcBorders>
            <w:vAlign w:val="center"/>
          </w:tcPr>
          <w:p w14:paraId="48C2D575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377.07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center"/>
          </w:tcPr>
          <w:p w14:paraId="7583D0FA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0.15</w:t>
            </w:r>
          </w:p>
        </w:tc>
        <w:tc>
          <w:tcPr>
            <w:tcW w:w="563" w:type="pct"/>
            <w:tcBorders>
              <w:bottom w:val="single" w:color="auto" w:sz="12" w:space="0"/>
            </w:tcBorders>
            <w:vAlign w:val="center"/>
          </w:tcPr>
          <w:p w14:paraId="5CF5011A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0.45</w:t>
            </w:r>
          </w:p>
        </w:tc>
        <w:tc>
          <w:tcPr>
            <w:tcW w:w="729" w:type="pct"/>
            <w:tcBorders>
              <w:bottom w:val="single" w:color="auto" w:sz="12" w:space="0"/>
            </w:tcBorders>
            <w:vAlign w:val="center"/>
          </w:tcPr>
          <w:p w14:paraId="3E382D12">
            <w:pPr>
              <w:jc w:val="center"/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0.50</w:t>
            </w:r>
            <w:r>
              <w:rPr>
                <w:rFonts w:hint="default" w:ascii="Times New Roman Regular" w:hAnsi="Times New Roman Regular" w:eastAsia="STIX-Regular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–</w:t>
            </w: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500</w:t>
            </w:r>
          </w:p>
        </w:tc>
        <w:tc>
          <w:tcPr>
            <w:tcW w:w="804" w:type="pct"/>
            <w:tcBorders>
              <w:bottom w:val="single" w:color="auto" w:sz="12" w:space="0"/>
            </w:tcBorders>
            <w:vAlign w:val="center"/>
          </w:tcPr>
          <w:p w14:paraId="0C25D13A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9.48</w:t>
            </w:r>
          </w:p>
        </w:tc>
        <w:tc>
          <w:tcPr>
            <w:tcW w:w="1082" w:type="pct"/>
            <w:tcBorders>
              <w:bottom w:val="single" w:color="auto" w:sz="12" w:space="0"/>
            </w:tcBorders>
            <w:vAlign w:val="center"/>
          </w:tcPr>
          <w:p w14:paraId="21D84EB3"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 w:eastAsia="zh-CN"/>
              </w:rPr>
              <w:t>6.65</w:t>
            </w:r>
          </w:p>
        </w:tc>
      </w:tr>
      <w:bookmarkEnd w:id="0"/>
    </w:tbl>
    <w:p w14:paraId="2547CE92"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br w:type="page"/>
      </w:r>
    </w:p>
    <w:p w14:paraId="0E980472">
      <w:pPr>
        <w:jc w:val="center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 w14:paraId="2CE4C89E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/>
          <w:b/>
          <w:bCs/>
          <w:sz w:val="20"/>
          <w:szCs w:val="20"/>
          <w:lang w:val="en-US" w:eastAsia="zh-CN"/>
        </w:rPr>
        <w:t>.</w:t>
      </w:r>
      <w:r>
        <w:rPr>
          <w:rFonts w:ascii="Times New Roman" w:hAnsi="Times New Roman"/>
          <w:sz w:val="20"/>
          <w:szCs w:val="20"/>
        </w:rPr>
        <w:t xml:space="preserve"> Main peaks and LODs (S/N = 3) of </w:t>
      </w:r>
      <w:r>
        <w:rPr>
          <w:rFonts w:hint="eastAsia" w:ascii="Times New Roman" w:hAnsi="Times New Roman"/>
          <w:sz w:val="20"/>
          <w:szCs w:val="20"/>
        </w:rPr>
        <w:t>PFECAs</w:t>
      </w:r>
      <w:r>
        <w:rPr>
          <w:rFonts w:ascii="Times New Roman" w:hAnsi="Times New Roman"/>
          <w:sz w:val="20"/>
          <w:szCs w:val="20"/>
        </w:rPr>
        <w:t xml:space="preserve"> obtained using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Fe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O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@F-COF</w:t>
      </w:r>
      <w:r>
        <w:rPr>
          <w:rFonts w:ascii="Times New Roman" w:hAnsi="Times New Roman"/>
          <w:sz w:val="20"/>
          <w:szCs w:val="20"/>
        </w:rPr>
        <w:t xml:space="preserve"> as an adsorbent and matrix in blank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human serum </w:t>
      </w:r>
      <w:r>
        <w:rPr>
          <w:rFonts w:ascii="Times New Roman" w:hAnsi="Times New Roman"/>
          <w:sz w:val="20"/>
          <w:szCs w:val="20"/>
        </w:rPr>
        <w:t>samples.</w:t>
      </w:r>
    </w:p>
    <w:tbl>
      <w:tblPr>
        <w:tblStyle w:val="3"/>
        <w:tblW w:w="5202" w:type="pct"/>
        <w:tblInd w:w="-9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972"/>
        <w:gridCol w:w="1080"/>
        <w:gridCol w:w="1000"/>
        <w:gridCol w:w="1293"/>
        <w:gridCol w:w="1427"/>
        <w:gridCol w:w="1920"/>
      </w:tblGrid>
      <w:tr w14:paraId="3C790E4B">
        <w:trPr>
          <w:trHeight w:val="1278" w:hRule="atLeast"/>
        </w:trPr>
        <w:tc>
          <w:tcPr>
            <w:tcW w:w="662" w:type="pct"/>
            <w:tcBorders>
              <w:top w:val="single" w:color="auto" w:sz="12" w:space="0"/>
            </w:tcBorders>
            <w:vAlign w:val="center"/>
          </w:tcPr>
          <w:p w14:paraId="0CA02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Analyte</w:t>
            </w:r>
          </w:p>
        </w:tc>
        <w:tc>
          <w:tcPr>
            <w:tcW w:w="548" w:type="pct"/>
            <w:tcBorders>
              <w:top w:val="single" w:color="auto" w:sz="12" w:space="0"/>
            </w:tcBorders>
            <w:vAlign w:val="center"/>
          </w:tcPr>
          <w:p w14:paraId="34E1330D">
            <w:pPr>
              <w:jc w:val="center"/>
              <w:rPr>
                <w:rFonts w:hint="default" w:ascii="Times New Roman Italic" w:hAnsi="Times New Roman Italic" w:cs="Times New Roman Italic"/>
                <w:i/>
                <w:iCs/>
                <w:sz w:val="20"/>
                <w:szCs w:val="20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0"/>
                <w:szCs w:val="20"/>
              </w:rPr>
              <w:t>m/z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center"/>
          </w:tcPr>
          <w:p w14:paraId="1B381B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LOD </w:t>
            </w:r>
          </w:p>
          <w:p w14:paraId="72CAC0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Style w:val="6"/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single" w:color="auto" w:sz="12" w:space="0"/>
            </w:tcBorders>
            <w:vAlign w:val="center"/>
          </w:tcPr>
          <w:p w14:paraId="638FB5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LOQ</w:t>
            </w:r>
          </w:p>
          <w:p w14:paraId="6BBF0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Style w:val="6"/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29" w:type="pct"/>
            <w:tcBorders>
              <w:top w:val="single" w:color="auto" w:sz="12" w:space="0"/>
            </w:tcBorders>
            <w:vAlign w:val="center"/>
          </w:tcPr>
          <w:p w14:paraId="33C3F8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Linear range </w:t>
            </w:r>
          </w:p>
          <w:p w14:paraId="5720FC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Style w:val="6"/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04" w:type="pct"/>
            <w:tcBorders>
              <w:top w:val="single" w:color="auto" w:sz="12" w:space="0"/>
            </w:tcBorders>
            <w:vAlign w:val="center"/>
          </w:tcPr>
          <w:p w14:paraId="3271F2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Shot-to-shot RSD (%)</w:t>
            </w:r>
          </w:p>
        </w:tc>
        <w:tc>
          <w:tcPr>
            <w:tcW w:w="1082" w:type="pct"/>
            <w:tcBorders>
              <w:top w:val="single" w:color="auto" w:sz="12" w:space="0"/>
            </w:tcBorders>
            <w:vAlign w:val="center"/>
          </w:tcPr>
          <w:p w14:paraId="7E13D5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Sample-to-sample RSD (%)</w:t>
            </w:r>
          </w:p>
        </w:tc>
      </w:tr>
      <w:tr w14:paraId="001BCFB9">
        <w:trPr>
          <w:trHeight w:val="460" w:hRule="atLeast"/>
        </w:trPr>
        <w:tc>
          <w:tcPr>
            <w:tcW w:w="1175" w:type="dxa"/>
            <w:tcBorders>
              <w:top w:val="single" w:color="auto" w:sz="4" w:space="0"/>
            </w:tcBorders>
            <w:vAlign w:val="center"/>
          </w:tcPr>
          <w:p w14:paraId="1E4E5E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Gen</w:t>
            </w:r>
            <w:r>
              <w:rPr>
                <w:rFonts w:hint="eastAsia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X</w:t>
            </w:r>
          </w:p>
        </w:tc>
        <w:tc>
          <w:tcPr>
            <w:tcW w:w="972" w:type="dxa"/>
            <w:tcBorders>
              <w:top w:val="single" w:color="auto" w:sz="4" w:space="0"/>
            </w:tcBorders>
            <w:vAlign w:val="center"/>
          </w:tcPr>
          <w:p w14:paraId="52849115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329.08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vAlign w:val="center"/>
          </w:tcPr>
          <w:p w14:paraId="44D3399B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0.15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vAlign w:val="center"/>
          </w:tcPr>
          <w:p w14:paraId="3A2652F1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293" w:type="dxa"/>
            <w:tcBorders>
              <w:top w:val="single" w:color="auto" w:sz="4" w:space="0"/>
            </w:tcBorders>
            <w:vAlign w:val="center"/>
          </w:tcPr>
          <w:p w14:paraId="5C7FD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0.75</w:t>
            </w:r>
            <w:r>
              <w:rPr>
                <w:rFonts w:hint="default" w:ascii="Times New Roman Regular" w:hAnsi="Times New Roman Regular" w:eastAsia="STIX-Regular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–</w:t>
            </w:r>
            <w:r>
              <w:rPr>
                <w:rFonts w:hint="eastAsia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00</w:t>
            </w:r>
          </w:p>
        </w:tc>
        <w:tc>
          <w:tcPr>
            <w:tcW w:w="1427" w:type="dxa"/>
            <w:tcBorders>
              <w:top w:val="single" w:color="auto" w:sz="4" w:space="0"/>
            </w:tcBorders>
            <w:vAlign w:val="center"/>
          </w:tcPr>
          <w:p w14:paraId="2A1CEF5C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  <w:t>8.65</w:t>
            </w:r>
          </w:p>
        </w:tc>
        <w:tc>
          <w:tcPr>
            <w:tcW w:w="1920" w:type="dxa"/>
            <w:tcBorders>
              <w:top w:val="single" w:color="auto" w:sz="4" w:space="0"/>
            </w:tcBorders>
            <w:vAlign w:val="center"/>
          </w:tcPr>
          <w:p w14:paraId="124F7F89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  <w:t>10.2</w:t>
            </w:r>
          </w:p>
        </w:tc>
      </w:tr>
      <w:tr w14:paraId="545FBFE2">
        <w:trPr>
          <w:trHeight w:val="396" w:hRule="atLeast"/>
        </w:trPr>
        <w:tc>
          <w:tcPr>
            <w:tcW w:w="1175" w:type="dxa"/>
            <w:vAlign w:val="center"/>
          </w:tcPr>
          <w:p w14:paraId="378B77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EEA</w:t>
            </w:r>
          </w:p>
        </w:tc>
        <w:tc>
          <w:tcPr>
            <w:tcW w:w="972" w:type="dxa"/>
            <w:vAlign w:val="center"/>
          </w:tcPr>
          <w:p w14:paraId="0BD84D66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345.05</w:t>
            </w:r>
          </w:p>
        </w:tc>
        <w:tc>
          <w:tcPr>
            <w:tcW w:w="1080" w:type="dxa"/>
            <w:vAlign w:val="center"/>
          </w:tcPr>
          <w:p w14:paraId="1E772F44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000" w:type="dxa"/>
            <w:vAlign w:val="center"/>
          </w:tcPr>
          <w:p w14:paraId="2F1F43B8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0.25</w:t>
            </w:r>
          </w:p>
        </w:tc>
        <w:tc>
          <w:tcPr>
            <w:tcW w:w="1293" w:type="dxa"/>
            <w:vAlign w:val="center"/>
          </w:tcPr>
          <w:p w14:paraId="4BE8273C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0.50</w:t>
            </w:r>
            <w:r>
              <w:rPr>
                <w:rFonts w:hint="default" w:ascii="Times New Roman Regular" w:hAnsi="Times New Roman Regular" w:eastAsia="STIX-Regular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–</w:t>
            </w:r>
            <w:r>
              <w:rPr>
                <w:rFonts w:hint="eastAsia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00</w:t>
            </w:r>
          </w:p>
        </w:tc>
        <w:tc>
          <w:tcPr>
            <w:tcW w:w="1427" w:type="dxa"/>
            <w:vAlign w:val="center"/>
          </w:tcPr>
          <w:p w14:paraId="66AA88C7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  <w:t>6.44</w:t>
            </w:r>
          </w:p>
        </w:tc>
        <w:tc>
          <w:tcPr>
            <w:tcW w:w="1920" w:type="dxa"/>
            <w:vAlign w:val="center"/>
          </w:tcPr>
          <w:p w14:paraId="28611C08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  <w:t>8.54</w:t>
            </w:r>
          </w:p>
        </w:tc>
      </w:tr>
      <w:tr w14:paraId="05B0C4F4">
        <w:trPr>
          <w:trHeight w:val="324" w:hRule="atLeast"/>
        </w:trPr>
        <w:tc>
          <w:tcPr>
            <w:tcW w:w="1175" w:type="dxa"/>
            <w:tcBorders>
              <w:bottom w:val="single" w:color="auto" w:sz="12" w:space="0"/>
            </w:tcBorders>
            <w:vAlign w:val="center"/>
          </w:tcPr>
          <w:p w14:paraId="681F73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ADONA</w:t>
            </w:r>
          </w:p>
        </w:tc>
        <w:tc>
          <w:tcPr>
            <w:tcW w:w="972" w:type="dxa"/>
            <w:tcBorders>
              <w:bottom w:val="single" w:color="auto" w:sz="12" w:space="0"/>
            </w:tcBorders>
            <w:vAlign w:val="center"/>
          </w:tcPr>
          <w:p w14:paraId="30BB6EF8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377.07</w:t>
            </w:r>
          </w:p>
        </w:tc>
        <w:tc>
          <w:tcPr>
            <w:tcW w:w="1080" w:type="dxa"/>
            <w:tcBorders>
              <w:bottom w:val="single" w:color="auto" w:sz="12" w:space="0"/>
            </w:tcBorders>
            <w:vAlign w:val="center"/>
          </w:tcPr>
          <w:p w14:paraId="04A6D2EC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000" w:type="dxa"/>
            <w:tcBorders>
              <w:bottom w:val="single" w:color="auto" w:sz="12" w:space="0"/>
            </w:tcBorders>
            <w:vAlign w:val="center"/>
          </w:tcPr>
          <w:p w14:paraId="082AAD0E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0.75</w:t>
            </w:r>
          </w:p>
        </w:tc>
        <w:tc>
          <w:tcPr>
            <w:tcW w:w="1293" w:type="dxa"/>
            <w:tcBorders>
              <w:bottom w:val="single" w:color="auto" w:sz="12" w:space="0"/>
            </w:tcBorders>
            <w:vAlign w:val="center"/>
          </w:tcPr>
          <w:p w14:paraId="65CE0D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1.00</w:t>
            </w:r>
            <w:r>
              <w:rPr>
                <w:rFonts w:hint="default" w:ascii="Times New Roman Regular" w:hAnsi="Times New Roman Regular" w:eastAsia="STIX-Regular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–</w:t>
            </w:r>
            <w:r>
              <w:rPr>
                <w:rFonts w:hint="eastAsia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 Regular" w:hAnsi="Times New Roman Regular" w:eastAsia="CharisSIL" w:cs="Times New Roman Regular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00</w:t>
            </w:r>
          </w:p>
        </w:tc>
        <w:tc>
          <w:tcPr>
            <w:tcW w:w="1427" w:type="dxa"/>
            <w:tcBorders>
              <w:bottom w:val="single" w:color="auto" w:sz="12" w:space="0"/>
            </w:tcBorders>
            <w:vAlign w:val="center"/>
          </w:tcPr>
          <w:p w14:paraId="3CAC97CC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  <w:t>6.18</w:t>
            </w:r>
          </w:p>
        </w:tc>
        <w:tc>
          <w:tcPr>
            <w:tcW w:w="1920" w:type="dxa"/>
            <w:tcBorders>
              <w:bottom w:val="single" w:color="auto" w:sz="12" w:space="0"/>
            </w:tcBorders>
            <w:vAlign w:val="center"/>
          </w:tcPr>
          <w:p w14:paraId="6FDEDDC3"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  <w:t>7.23</w:t>
            </w:r>
          </w:p>
        </w:tc>
      </w:tr>
    </w:tbl>
    <w:p w14:paraId="197D7FF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8BA5E6C"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br w:type="page"/>
      </w:r>
    </w:p>
    <w:p w14:paraId="00E0D821">
      <w:pPr>
        <w:jc w:val="center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 w14:paraId="26EB087C">
      <w:pPr>
        <w:jc w:val="center"/>
        <w:rPr>
          <w:rFonts w:hint="eastAsia" w:ascii="Times New Roman" w:hAnsi="Times New Roman" w:cs="Times New Roman"/>
          <w:sz w:val="24"/>
          <w:szCs w:val="24"/>
          <w:lang w:eastAsia="zh-CN"/>
        </w:rPr>
      </w:pPr>
    </w:p>
    <w:p w14:paraId="38E91CF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Results of the recoveries of </w:t>
      </w:r>
      <w:r>
        <w:rPr>
          <w:rFonts w:hint="eastAsia" w:ascii="Times New Roman" w:hAnsi="Times New Roman" w:cs="Times New Roman"/>
          <w:sz w:val="20"/>
          <w:szCs w:val="20"/>
        </w:rPr>
        <w:t>PFECAs</w:t>
      </w:r>
      <w:r>
        <w:rPr>
          <w:rFonts w:ascii="Times New Roman" w:hAnsi="Times New Roman" w:cs="Times New Roman"/>
          <w:sz w:val="20"/>
          <w:szCs w:val="20"/>
        </w:rPr>
        <w:t xml:space="preserve"> in real samples.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2"/>
        <w:gridCol w:w="1616"/>
        <w:gridCol w:w="1406"/>
        <w:gridCol w:w="1955"/>
      </w:tblGrid>
      <w:tr w14:paraId="7D57D5F2">
        <w:trPr>
          <w:trHeight w:val="458" w:hRule="atLeast"/>
        </w:trPr>
        <w:tc>
          <w:tcPr>
            <w:tcW w:w="2078" w:type="pct"/>
            <w:tcBorders>
              <w:top w:val="single" w:color="auto" w:sz="12" w:space="0"/>
              <w:bottom w:val="single" w:color="auto" w:sz="4" w:space="0"/>
              <w:tl2br w:val="single" w:color="auto" w:sz="4" w:space="0"/>
            </w:tcBorders>
            <w:vAlign w:val="center"/>
          </w:tcPr>
          <w:p w14:paraId="620A3F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Analyte</w:t>
            </w:r>
          </w:p>
          <w:p w14:paraId="3E2941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Samples</w:t>
            </w:r>
          </w:p>
        </w:tc>
        <w:tc>
          <w:tcPr>
            <w:tcW w:w="948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FB76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 Bold" w:hAnsi="Times New Roman Bold" w:eastAsia="CharisSIL" w:cs="Times New Roman Bold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GenX</w:t>
            </w:r>
          </w:p>
        </w:tc>
        <w:tc>
          <w:tcPr>
            <w:tcW w:w="825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A35517C">
            <w:pPr>
              <w:jc w:val="center"/>
              <w:rPr>
                <w:rFonts w:hint="eastAsia" w:ascii="Times New Roman" w:hAnsi="Times New Roman" w:cs="Times New Roman" w:eastAsiaTheme="minorEastAsia"/>
                <w:b/>
                <w:sz w:val="20"/>
                <w:szCs w:val="20"/>
                <w:lang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val="en-US" w:eastAsia="zh-CN"/>
              </w:rPr>
              <w:t>EEA</w:t>
            </w:r>
          </w:p>
        </w:tc>
        <w:tc>
          <w:tcPr>
            <w:tcW w:w="1147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A83E4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</w:rPr>
              <w:t>ADONA</w:t>
            </w:r>
          </w:p>
        </w:tc>
      </w:tr>
      <w:tr w14:paraId="0B0764F2">
        <w:tc>
          <w:tcPr>
            <w:tcW w:w="2078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5852CE52">
            <w:pPr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  <w:lang w:val="en-US" w:eastAsia="zh-CN"/>
              </w:rPr>
              <w:t>Spring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 w:eastAsia="zh-CN"/>
              </w:rPr>
              <w:t xml:space="preserve"> water</w:t>
            </w:r>
          </w:p>
          <w:p w14:paraId="1762C4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6"/>
                <w:rFonts w:ascii="Times New Roman" w:hAnsi="Times New Roman" w:cs="Times New Roman"/>
                <w:sz w:val="20"/>
                <w:szCs w:val="20"/>
              </w:rPr>
              <w:t xml:space="preserve">Detection </w:t>
            </w:r>
            <w:r>
              <w:rPr>
                <w:rFonts w:ascii="Times New Roman" w:hAnsi="Times New Roman"/>
                <w:sz w:val="20"/>
                <w:szCs w:val="20"/>
              </w:rPr>
              <w:t>(μg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Style w:val="6"/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D15FC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  <w:p w14:paraId="15058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  <w:p w14:paraId="7528C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  <w:p w14:paraId="529B1FF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Human serum</w:t>
            </w:r>
          </w:p>
          <w:p w14:paraId="739A7BDC">
            <w:pPr>
              <w:jc w:val="center"/>
              <w:rPr>
                <w:rStyle w:val="6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6"/>
                <w:rFonts w:ascii="Times New Roman" w:hAnsi="Times New Roman" w:cs="Times New Roman"/>
                <w:sz w:val="20"/>
                <w:szCs w:val="20"/>
              </w:rPr>
              <w:t xml:space="preserve">Detection </w:t>
            </w:r>
            <w:r>
              <w:rPr>
                <w:rFonts w:ascii="Times New Roman" w:hAnsi="Times New Roman"/>
                <w:sz w:val="20"/>
                <w:szCs w:val="20"/>
              </w:rPr>
              <w:t>(μg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Style w:val="6"/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88E9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  <w:p w14:paraId="617DC18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  <w:p w14:paraId="3A7A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948" w:type="pct"/>
            <w:tcBorders>
              <w:top w:val="single" w:color="auto" w:sz="4" w:space="0"/>
              <w:bottom w:val="single" w:color="auto" w:sz="12" w:space="0"/>
            </w:tcBorders>
            <w:vAlign w:val="top"/>
          </w:tcPr>
          <w:p w14:paraId="1C775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811C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  <w:p w14:paraId="0CD14D2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90.12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±4.37</w:t>
            </w:r>
          </w:p>
          <w:p w14:paraId="2B7DD6DE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96.32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±5.73</w:t>
            </w:r>
          </w:p>
          <w:p w14:paraId="2574B3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83.28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±1.45</w:t>
            </w:r>
          </w:p>
          <w:p w14:paraId="53CA93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5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  <w:p w14:paraId="655B2B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107.3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±4.32</w:t>
            </w:r>
          </w:p>
          <w:p w14:paraId="5675DE2B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84.76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±1.34</w:t>
            </w:r>
          </w:p>
          <w:p w14:paraId="1BAA3D5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96.31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±4.43</w:t>
            </w:r>
          </w:p>
        </w:tc>
        <w:tc>
          <w:tcPr>
            <w:tcW w:w="825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1D183B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C485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  <w:p w14:paraId="016E308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101.3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±3.86</w:t>
            </w:r>
          </w:p>
          <w:p w14:paraId="2DDBDBD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87.34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±3.09</w:t>
            </w:r>
          </w:p>
          <w:p w14:paraId="677F06E2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90.29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±5.44</w:t>
            </w:r>
          </w:p>
          <w:p w14:paraId="05E38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9B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  <w:p w14:paraId="5C151B1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83.65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±1.66</w:t>
            </w:r>
          </w:p>
          <w:p w14:paraId="739268F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114.4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±4.32</w:t>
            </w:r>
          </w:p>
          <w:p w14:paraId="331C00B7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105.4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±4.38</w:t>
            </w:r>
          </w:p>
        </w:tc>
        <w:tc>
          <w:tcPr>
            <w:tcW w:w="1147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2B0F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5F42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  <w:p w14:paraId="5E509DF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109.4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±4.54</w:t>
            </w:r>
          </w:p>
          <w:p w14:paraId="207FF97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101.7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±4.87</w:t>
            </w:r>
          </w:p>
          <w:p w14:paraId="479475E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92.36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±3.76</w:t>
            </w:r>
          </w:p>
          <w:p w14:paraId="43E4F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28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N.D.</w:t>
            </w:r>
          </w:p>
          <w:p w14:paraId="6FF511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83.43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±2.33</w:t>
            </w:r>
          </w:p>
          <w:p w14:paraId="76031C8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89.76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±3.16</w:t>
            </w:r>
          </w:p>
          <w:p w14:paraId="23505F2E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07.6</w:t>
            </w:r>
            <w:r>
              <w:rPr>
                <w:rFonts w:hint="default" w:ascii="Times New Roman Regular" w:hAnsi="Times New Roman Regular" w:eastAsia="PingFang SC" w:cs="Times New Roman Regular"/>
                <w:sz w:val="20"/>
                <w:szCs w:val="20"/>
                <w:lang w:val="en-US" w:eastAsia="zh-CN"/>
              </w:rPr>
              <w:t>±4.86</w:t>
            </w:r>
          </w:p>
        </w:tc>
      </w:tr>
    </w:tbl>
    <w:p w14:paraId="5A9D2B20">
      <w:pPr>
        <w:jc w:val="both"/>
        <w:rPr>
          <w:rFonts w:hint="eastAsia"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</w:rPr>
        <w:t xml:space="preserve">Spiked levels: </w:t>
      </w:r>
      <w:bookmarkStart w:id="1" w:name="_Hlk125648758"/>
      <w:r>
        <w:rPr>
          <w:rFonts w:ascii="Times New Roman" w:hAnsi="Times New Roman" w:cs="Times New Roman"/>
          <w:sz w:val="20"/>
          <w:szCs w:val="20"/>
        </w:rPr>
        <w:t xml:space="preserve">(a) </w:t>
      </w:r>
      <w:bookmarkStart w:id="2" w:name="OLE_LINK55"/>
      <w:bookmarkStart w:id="3" w:name="OLE_LINK52"/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en-US"/>
        </w:rPr>
        <w:t>n</w:t>
      </w:r>
      <w:r>
        <w:rPr>
          <w:rStyle w:val="6"/>
          <w:rFonts w:ascii="Times New Roman" w:hAnsi="Times New Roman" w:cs="Times New Roman"/>
          <w:sz w:val="20"/>
          <w:szCs w:val="20"/>
        </w:rPr>
        <w:t>g</w:t>
      </w:r>
      <w:r>
        <w:rPr>
          <w:rStyle w:val="6"/>
          <w:rFonts w:hint="default" w:ascii="Times New Roman" w:hAnsi="Times New Roman" w:cs="Times New Roman"/>
          <w:sz w:val="20"/>
          <w:szCs w:val="20"/>
          <w:lang w:val="en-US"/>
        </w:rPr>
        <w:t>/</w:t>
      </w:r>
      <w:r>
        <w:rPr>
          <w:rStyle w:val="6"/>
          <w:rFonts w:ascii="Times New Roman" w:hAnsi="Times New Roman" w:cs="Times New Roman"/>
          <w:sz w:val="20"/>
          <w:szCs w:val="20"/>
        </w:rPr>
        <w:t>L;</w:t>
      </w:r>
      <w:r>
        <w:rPr>
          <w:rFonts w:ascii="Times New Roman" w:hAnsi="Times New Roman" w:cs="Times New Roman"/>
          <w:sz w:val="20"/>
          <w:szCs w:val="20"/>
        </w:rPr>
        <w:t xml:space="preserve"> (b)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50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/>
          <w:sz w:val="20"/>
          <w:szCs w:val="20"/>
          <w:lang w:val="en-US"/>
        </w:rPr>
        <w:t>n</w:t>
      </w:r>
      <w:r>
        <w:rPr>
          <w:rStyle w:val="6"/>
          <w:rFonts w:ascii="Times New Roman" w:hAnsi="Times New Roman" w:cs="Times New Roman"/>
          <w:sz w:val="20"/>
          <w:szCs w:val="20"/>
        </w:rPr>
        <w:t>g</w:t>
      </w:r>
      <w:r>
        <w:rPr>
          <w:rStyle w:val="6"/>
          <w:rFonts w:hint="default" w:ascii="Times New Roman" w:hAnsi="Times New Roman" w:cs="Times New Roman"/>
          <w:sz w:val="20"/>
          <w:szCs w:val="20"/>
          <w:lang w:val="en-US"/>
        </w:rPr>
        <w:t>/</w:t>
      </w:r>
      <w:r>
        <w:rPr>
          <w:rStyle w:val="6"/>
          <w:rFonts w:ascii="Times New Roman" w:hAnsi="Times New Roman" w:cs="Times New Roman"/>
          <w:sz w:val="20"/>
          <w:szCs w:val="20"/>
        </w:rPr>
        <w:t xml:space="preserve">L; (c) </w:t>
      </w:r>
      <w:r>
        <w:rPr>
          <w:rStyle w:val="6"/>
          <w:rFonts w:hint="eastAsia" w:ascii="Times New Roman" w:hAnsi="Times New Roman" w:cs="Times New Roman"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50 </w:t>
      </w:r>
      <w:r>
        <w:rPr>
          <w:rFonts w:hint="default" w:ascii="Times New Roman" w:hAnsi="Times New Roman"/>
          <w:sz w:val="20"/>
          <w:szCs w:val="20"/>
          <w:lang w:val="en-US"/>
        </w:rPr>
        <w:t>n</w:t>
      </w:r>
      <w:r>
        <w:rPr>
          <w:rStyle w:val="6"/>
          <w:rFonts w:ascii="Times New Roman" w:hAnsi="Times New Roman" w:cs="Times New Roman"/>
          <w:sz w:val="20"/>
          <w:szCs w:val="20"/>
        </w:rPr>
        <w:t>g</w:t>
      </w:r>
      <w:r>
        <w:rPr>
          <w:rStyle w:val="6"/>
          <w:rFonts w:hint="default" w:ascii="Times New Roman" w:hAnsi="Times New Roman" w:cs="Times New Roman"/>
          <w:sz w:val="20"/>
          <w:szCs w:val="20"/>
          <w:lang w:val="en-US"/>
        </w:rPr>
        <w:t>/</w:t>
      </w:r>
      <w:r>
        <w:rPr>
          <w:rStyle w:val="6"/>
          <w:rFonts w:ascii="Times New Roman" w:hAnsi="Times New Roman" w:cs="Times New Roman"/>
          <w:sz w:val="20"/>
          <w:szCs w:val="20"/>
        </w:rPr>
        <w:t>L</w:t>
      </w:r>
      <w:bookmarkEnd w:id="1"/>
      <w:bookmarkEnd w:id="2"/>
      <w:bookmarkEnd w:id="3"/>
      <w:r>
        <w:rPr>
          <w:rStyle w:val="6"/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N.D.: not detected.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NewRomanPSMT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dvOT8608a8d1+22">
    <w:altName w:val="苹方-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harisSI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5089F"/>
    <w:rsid w:val="1E7B00EA"/>
    <w:rsid w:val="2BFFF067"/>
    <w:rsid w:val="2EFFC56F"/>
    <w:rsid w:val="36769458"/>
    <w:rsid w:val="37BF8F32"/>
    <w:rsid w:val="37FF05D6"/>
    <w:rsid w:val="393F7AD8"/>
    <w:rsid w:val="3E76A815"/>
    <w:rsid w:val="3F71DCC1"/>
    <w:rsid w:val="3F73350A"/>
    <w:rsid w:val="3F7F2533"/>
    <w:rsid w:val="3FB84E89"/>
    <w:rsid w:val="3FFD75CE"/>
    <w:rsid w:val="47F34E8A"/>
    <w:rsid w:val="4C927A54"/>
    <w:rsid w:val="4FA68550"/>
    <w:rsid w:val="5373F4E5"/>
    <w:rsid w:val="56EF662A"/>
    <w:rsid w:val="57EFECB0"/>
    <w:rsid w:val="5EF72621"/>
    <w:rsid w:val="66FF05E6"/>
    <w:rsid w:val="67DDBA87"/>
    <w:rsid w:val="69F93E03"/>
    <w:rsid w:val="6BE5CB74"/>
    <w:rsid w:val="6EEBD35F"/>
    <w:rsid w:val="6EF5089F"/>
    <w:rsid w:val="6F1FFAF6"/>
    <w:rsid w:val="6F317454"/>
    <w:rsid w:val="6FFA1211"/>
    <w:rsid w:val="716F5A40"/>
    <w:rsid w:val="73F7E362"/>
    <w:rsid w:val="73FF8539"/>
    <w:rsid w:val="75BFC55D"/>
    <w:rsid w:val="767F78E2"/>
    <w:rsid w:val="76BF83EC"/>
    <w:rsid w:val="76BF9C35"/>
    <w:rsid w:val="779E5F9C"/>
    <w:rsid w:val="77BBF7BF"/>
    <w:rsid w:val="77DD6581"/>
    <w:rsid w:val="77FD20D8"/>
    <w:rsid w:val="7AEF9DD2"/>
    <w:rsid w:val="7B7FB125"/>
    <w:rsid w:val="7BA5E46C"/>
    <w:rsid w:val="7BA98355"/>
    <w:rsid w:val="7D7D4145"/>
    <w:rsid w:val="7D7F78F9"/>
    <w:rsid w:val="7DD3B5C7"/>
    <w:rsid w:val="7DE35D67"/>
    <w:rsid w:val="7DFF761C"/>
    <w:rsid w:val="7E1F01D8"/>
    <w:rsid w:val="7E770880"/>
    <w:rsid w:val="7ECF365C"/>
    <w:rsid w:val="7EEB7321"/>
    <w:rsid w:val="7EF0F443"/>
    <w:rsid w:val="7EF62A42"/>
    <w:rsid w:val="7F7F6370"/>
    <w:rsid w:val="7FAFC2CD"/>
    <w:rsid w:val="7FBD1DBF"/>
    <w:rsid w:val="7FCC6DD6"/>
    <w:rsid w:val="7FCF549A"/>
    <w:rsid w:val="7FDD73B8"/>
    <w:rsid w:val="7FEB6AF6"/>
    <w:rsid w:val="7FEFFCD8"/>
    <w:rsid w:val="7FF29014"/>
    <w:rsid w:val="7FF536D9"/>
    <w:rsid w:val="7FFAF499"/>
    <w:rsid w:val="7FFB3255"/>
    <w:rsid w:val="7FFFA33B"/>
    <w:rsid w:val="7FFFF0F3"/>
    <w:rsid w:val="974EB821"/>
    <w:rsid w:val="97D77602"/>
    <w:rsid w:val="97EFF989"/>
    <w:rsid w:val="9E7ECBCF"/>
    <w:rsid w:val="AABF1D54"/>
    <w:rsid w:val="AEFF9C41"/>
    <w:rsid w:val="AF7D1DA6"/>
    <w:rsid w:val="AFBB8D48"/>
    <w:rsid w:val="AFFFC5B4"/>
    <w:rsid w:val="B4EE55A4"/>
    <w:rsid w:val="BBD7BF1B"/>
    <w:rsid w:val="BCDF98B9"/>
    <w:rsid w:val="BDFFD0FD"/>
    <w:rsid w:val="BF9EB0B3"/>
    <w:rsid w:val="BF9EE658"/>
    <w:rsid w:val="BFB7CA49"/>
    <w:rsid w:val="BFFEBB9A"/>
    <w:rsid w:val="C7CFA7CA"/>
    <w:rsid w:val="CFFD6D58"/>
    <w:rsid w:val="D3FE6D4C"/>
    <w:rsid w:val="D7EB55FD"/>
    <w:rsid w:val="D7FFC4A7"/>
    <w:rsid w:val="D9FE5769"/>
    <w:rsid w:val="DACF237C"/>
    <w:rsid w:val="DBDF5ED0"/>
    <w:rsid w:val="DBF4FFA1"/>
    <w:rsid w:val="DBFB729C"/>
    <w:rsid w:val="DCA7031E"/>
    <w:rsid w:val="DD4FC4ED"/>
    <w:rsid w:val="DD7BE980"/>
    <w:rsid w:val="DE7F4947"/>
    <w:rsid w:val="DEBDE494"/>
    <w:rsid w:val="DEF5102F"/>
    <w:rsid w:val="DEFD30B0"/>
    <w:rsid w:val="DFAA992B"/>
    <w:rsid w:val="DFF7FCEF"/>
    <w:rsid w:val="E667348B"/>
    <w:rsid w:val="EEFE2202"/>
    <w:rsid w:val="EF186768"/>
    <w:rsid w:val="EF7FC0E8"/>
    <w:rsid w:val="EFAD7896"/>
    <w:rsid w:val="EFDDD5DE"/>
    <w:rsid w:val="EFDEDDE9"/>
    <w:rsid w:val="EFE353FE"/>
    <w:rsid w:val="F1F3A5D3"/>
    <w:rsid w:val="F297AEA4"/>
    <w:rsid w:val="F2F52D3C"/>
    <w:rsid w:val="F3FCCABA"/>
    <w:rsid w:val="F474FE18"/>
    <w:rsid w:val="F57BDA34"/>
    <w:rsid w:val="F5BF49D7"/>
    <w:rsid w:val="F69127BC"/>
    <w:rsid w:val="F7DBFA3C"/>
    <w:rsid w:val="F7EF2EBE"/>
    <w:rsid w:val="F7FFA627"/>
    <w:rsid w:val="F8EF257B"/>
    <w:rsid w:val="FA6F3FA5"/>
    <w:rsid w:val="FAE62068"/>
    <w:rsid w:val="FAFF55C8"/>
    <w:rsid w:val="FB73C11B"/>
    <w:rsid w:val="FC57B156"/>
    <w:rsid w:val="FCFF671E"/>
    <w:rsid w:val="FD770303"/>
    <w:rsid w:val="FD7E238C"/>
    <w:rsid w:val="FD8F1ECA"/>
    <w:rsid w:val="FDDEA230"/>
    <w:rsid w:val="FDFE986C"/>
    <w:rsid w:val="FE7B6764"/>
    <w:rsid w:val="FEEF85EA"/>
    <w:rsid w:val="FEFBC285"/>
    <w:rsid w:val="FF3F49D6"/>
    <w:rsid w:val="FF67EBC4"/>
    <w:rsid w:val="FF6BD5F9"/>
    <w:rsid w:val="FF7B0646"/>
    <w:rsid w:val="FFFB528E"/>
    <w:rsid w:val="FF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6">
    <w:name w:val="fontstyle01"/>
    <w:uiPriority w:val="0"/>
    <w:rPr>
      <w:rFonts w:hint="default" w:ascii="TimesNewRomanPSMT" w:hAnsi="TimesNewRomanPSMT"/>
      <w:color w:val="000000"/>
      <w:sz w:val="24"/>
      <w:szCs w:val="24"/>
    </w:rPr>
  </w:style>
  <w:style w:type="character" w:customStyle="1" w:styleId="7">
    <w:name w:val="fontstyle21"/>
    <w:uiPriority w:val="0"/>
    <w:rPr>
      <w:rFonts w:hint="default" w:ascii="AdvOT8608a8d1+22" w:hAnsi="AdvOT8608a8d1+22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13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2025-07-23T09:27:00Z</dcterms:created>
  <dc:creator>WPS_1742098753</dc:creator>
  <cp:lastModifiedBy>WPS_1742098753</cp:lastModifiedBy>
  <dcterms:modified xsi:type="dcterms:W3CDTF">2026-08-24T16:35:48Z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0F398335F4371B9ECD79CC69704D33A1_43</vt:lpwstr>
  </property>
</Properties>
</file>