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8959" w14:textId="77777777" w:rsidR="002B7908" w:rsidRPr="00C3230D" w:rsidRDefault="002B7908" w:rsidP="002B7908">
      <w:pPr>
        <w:spacing w:line="360" w:lineRule="auto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Appendix</w:t>
      </w:r>
    </w:p>
    <w:p w14:paraId="1BF8019D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</w:p>
    <w:p w14:paraId="14629544" w14:textId="77777777" w:rsidR="002B7908" w:rsidRPr="002E5635" w:rsidRDefault="002B7908" w:rsidP="002B7908">
      <w:pPr>
        <w:spacing w:line="360" w:lineRule="auto"/>
        <w:rPr>
          <w:b/>
          <w:color w:val="000000" w:themeColor="text1"/>
        </w:rPr>
      </w:pPr>
      <w:r w:rsidRPr="002E5635">
        <w:rPr>
          <w:b/>
          <w:color w:val="000000" w:themeColor="text1"/>
        </w:rPr>
        <w:t>Consequen</w:t>
      </w:r>
      <w:r>
        <w:rPr>
          <w:b/>
          <w:color w:val="000000" w:themeColor="text1"/>
        </w:rPr>
        <w:t>ces of s</w:t>
      </w:r>
      <w:r w:rsidRPr="002E5635">
        <w:rPr>
          <w:b/>
          <w:color w:val="000000" w:themeColor="text1"/>
        </w:rPr>
        <w:t xml:space="preserve">etting </w:t>
      </w:r>
      <w:r w:rsidRPr="002E5635">
        <w:rPr>
          <w:b/>
          <w:i/>
          <w:color w:val="000000" w:themeColor="text1"/>
        </w:rPr>
        <w:t>M</w:t>
      </w:r>
      <w:r w:rsidRPr="002E5635">
        <w:rPr>
          <w:b/>
          <w:color w:val="000000" w:themeColor="text1"/>
          <w:vertAlign w:val="subscript"/>
        </w:rPr>
        <w:t>u</w:t>
      </w:r>
      <w:r>
        <w:rPr>
          <w:b/>
          <w:color w:val="000000" w:themeColor="text1"/>
        </w:rPr>
        <w:t xml:space="preserve"> e</w:t>
      </w:r>
      <w:r w:rsidRPr="002E5635">
        <w:rPr>
          <w:b/>
          <w:color w:val="000000" w:themeColor="text1"/>
        </w:rPr>
        <w:t>qual to</w:t>
      </w:r>
      <w:r>
        <w:rPr>
          <w:b/>
          <w:color w:val="000000" w:themeColor="text1"/>
        </w:rPr>
        <w:t xml:space="preserve"> one gram per m</w:t>
      </w:r>
      <w:r w:rsidRPr="002E5635">
        <w:rPr>
          <w:b/>
          <w:color w:val="000000" w:themeColor="text1"/>
        </w:rPr>
        <w:t>ole</w:t>
      </w:r>
    </w:p>
    <w:p w14:paraId="25051225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 xml:space="preserve">The 2019 redefinition of the mole fixing the Avogadro number—but not redefining the dalton to be compatible with equation (16)—transferred the uncertainty inherent in the previous (carbon-12-based) Avogadro number to the molar mass constant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u</w:t>
      </w:r>
      <w:r w:rsidRPr="002E5635">
        <w:rPr>
          <w:i/>
          <w:color w:val="000000" w:themeColor="text1"/>
        </w:rPr>
        <w:t xml:space="preserve"> </w:t>
      </w:r>
      <w:r w:rsidRPr="002E5635">
        <w:rPr>
          <w:color w:val="000000" w:themeColor="text1"/>
        </w:rPr>
        <w:t xml:space="preserve">when expressed in macroscopic units. This means that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u</w:t>
      </w:r>
      <w:r w:rsidRPr="002E5635">
        <w:rPr>
          <w:color w:val="000000" w:themeColor="text1"/>
        </w:rPr>
        <w:t xml:space="preserve"> actually has the form</w:t>
      </w:r>
    </w:p>
    <w:p w14:paraId="4E95D102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ab/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u</w:t>
      </w:r>
      <w:r w:rsidRPr="002E5635">
        <w:rPr>
          <w:color w:val="000000" w:themeColor="text1"/>
        </w:rPr>
        <w:t xml:space="preserve"> = (1 + </w:t>
      </w:r>
      <w:r w:rsidRPr="002E5635">
        <w:rPr>
          <w:i/>
          <w:color w:val="000000" w:themeColor="text1"/>
        </w:rPr>
        <w:sym w:font="Symbol" w:char="F06B"/>
      </w:r>
      <w:r w:rsidRPr="002E5635">
        <w:rPr>
          <w:color w:val="000000" w:themeColor="text1"/>
        </w:rPr>
        <w:t>) g/mol</w:t>
      </w:r>
      <w:r w:rsidRPr="002E5635">
        <w:rPr>
          <w:color w:val="000000" w:themeColor="text1"/>
        </w:rPr>
        <w:tab/>
        <w:t xml:space="preserve"> </w:t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  <w:t>(A1)</w:t>
      </w:r>
    </w:p>
    <w:p w14:paraId="64802313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 xml:space="preserve">where (1 + </w:t>
      </w:r>
      <w:r w:rsidRPr="002E5635">
        <w:rPr>
          <w:i/>
          <w:color w:val="000000" w:themeColor="text1"/>
        </w:rPr>
        <w:sym w:font="Symbol" w:char="F06B"/>
      </w:r>
      <w:r w:rsidRPr="002E5635">
        <w:rPr>
          <w:color w:val="000000" w:themeColor="text1"/>
        </w:rPr>
        <w:t xml:space="preserve">) is the </w:t>
      </w:r>
      <w:r>
        <w:rPr>
          <w:color w:val="000000" w:themeColor="text1"/>
        </w:rPr>
        <w:t>“</w:t>
      </w:r>
      <w:r w:rsidRPr="002E5635">
        <w:rPr>
          <w:color w:val="000000" w:themeColor="text1"/>
        </w:rPr>
        <w:t>molar mass correction factor</w:t>
      </w:r>
      <w:r>
        <w:rPr>
          <w:color w:val="000000" w:themeColor="text1"/>
        </w:rPr>
        <w:t xml:space="preserve">” (Mills et al. </w:t>
      </w:r>
      <w:r w:rsidRPr="00FD601B">
        <w:rPr>
          <w:color w:val="A02B93" w:themeColor="accent5"/>
        </w:rPr>
        <w:t>2006</w:t>
      </w:r>
      <w:r>
        <w:rPr>
          <w:color w:val="000000" w:themeColor="text1"/>
        </w:rPr>
        <w:t>)</w:t>
      </w:r>
      <w:r w:rsidRPr="002E5635">
        <w:rPr>
          <w:color w:val="000000" w:themeColor="text1"/>
        </w:rPr>
        <w:t xml:space="preserve"> and </w:t>
      </w:r>
      <w:r w:rsidRPr="002E5635">
        <w:rPr>
          <w:i/>
          <w:color w:val="000000" w:themeColor="text1"/>
        </w:rPr>
        <w:sym w:font="Symbol" w:char="F06B"/>
      </w:r>
      <w:r w:rsidRPr="002E5635">
        <w:rPr>
          <w:color w:val="000000" w:themeColor="text1"/>
        </w:rPr>
        <w:t xml:space="preserve"> is of order 10</w:t>
      </w:r>
      <w:r w:rsidRPr="002E5635">
        <w:rPr>
          <w:color w:val="000000" w:themeColor="text1"/>
          <w:vertAlign w:val="superscript"/>
        </w:rPr>
        <w:t>–9</w:t>
      </w:r>
      <w:r w:rsidRPr="002E5635">
        <w:rPr>
          <w:color w:val="000000" w:themeColor="text1"/>
        </w:rPr>
        <w:t xml:space="preserve">, and this changes slightly with each CODATA adjustment of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a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C) in terms of the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kilogram. However, </w:t>
      </w:r>
      <w:r w:rsidRPr="002E5635">
        <w:rPr>
          <w:i/>
          <w:color w:val="000000" w:themeColor="text1"/>
        </w:rPr>
        <w:sym w:font="Symbol" w:char="F06B"/>
      </w:r>
      <w:r w:rsidRPr="002E5635">
        <w:rPr>
          <w:color w:val="000000" w:themeColor="text1"/>
        </w:rPr>
        <w:t> is so small that it can be neglect</w:t>
      </w:r>
      <w:r>
        <w:rPr>
          <w:color w:val="000000" w:themeColor="text1"/>
        </w:rPr>
        <w:t>ed “</w:t>
      </w:r>
      <w:r w:rsidRPr="002E5635">
        <w:rPr>
          <w:color w:val="000000" w:themeColor="text1"/>
        </w:rPr>
        <w:t>for all practical purposes.</w:t>
      </w:r>
      <w:r>
        <w:rPr>
          <w:color w:val="000000" w:themeColor="text1"/>
        </w:rPr>
        <w:t>”</w:t>
      </w:r>
      <w:r w:rsidRPr="002E5635">
        <w:rPr>
          <w:color w:val="000000" w:themeColor="text1"/>
        </w:rPr>
        <w:t xml:space="preserve"> </w:t>
      </w:r>
    </w:p>
    <w:p w14:paraId="22CE7894" w14:textId="77777777" w:rsidR="002B7908" w:rsidRPr="002E5635" w:rsidRDefault="002B7908" w:rsidP="002B7908">
      <w:pPr>
        <w:spacing w:line="360" w:lineRule="auto"/>
        <w:ind w:firstLine="720"/>
        <w:rPr>
          <w:color w:val="000000" w:themeColor="text1"/>
        </w:rPr>
      </w:pPr>
      <w:r w:rsidRPr="002E5635">
        <w:rPr>
          <w:color w:val="000000" w:themeColor="text1"/>
        </w:rPr>
        <w:t xml:space="preserve">Since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u</w:t>
      </w:r>
      <w:r w:rsidRPr="002E5635">
        <w:rPr>
          <w:color w:val="000000" w:themeColor="text1"/>
        </w:rPr>
        <w:t xml:space="preserve"> is exactly one Da/ent, setting it equal to 1 g/mol has implied consequences for the corresponding </w:t>
      </w:r>
      <w:r w:rsidRPr="002E5635">
        <w:rPr>
          <w:i/>
          <w:color w:val="000000" w:themeColor="text1"/>
        </w:rPr>
        <w:t>effective</w:t>
      </w:r>
      <w:r w:rsidRPr="002E5635">
        <w:rPr>
          <w:color w:val="000000" w:themeColor="text1"/>
        </w:rPr>
        <w:t xml:space="preserve"> definitions of either the mole, the kilogram, or the dalton—one of three alternatives. In each case, the mass of one mole is </w:t>
      </w:r>
      <w:r w:rsidRPr="002E5635">
        <w:rPr>
          <w:i/>
          <w:color w:val="000000" w:themeColor="text1"/>
        </w:rPr>
        <w:t>A</w:t>
      </w:r>
      <w:r w:rsidRPr="002E5635">
        <w:rPr>
          <w:color w:val="000000" w:themeColor="text1"/>
          <w:vertAlign w:val="subscript"/>
        </w:rPr>
        <w:t>r</w:t>
      </w:r>
      <w:r w:rsidRPr="002E5635">
        <w:rPr>
          <w:color w:val="000000" w:themeColor="text1"/>
        </w:rPr>
        <w:t>(X) grams (exactly).</w:t>
      </w:r>
    </w:p>
    <w:p w14:paraId="65F49616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>(i)  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kilogram, 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C-based dalton: the effective mole would be</w:t>
      </w:r>
    </w:p>
    <w:p w14:paraId="732EBF67" w14:textId="77777777" w:rsidR="002B7908" w:rsidRPr="002E5635" w:rsidRDefault="002B7908" w:rsidP="002B7908">
      <w:pPr>
        <w:spacing w:line="360" w:lineRule="auto"/>
        <w:ind w:left="720"/>
        <w:rPr>
          <w:color w:val="000000" w:themeColor="text1"/>
        </w:rPr>
      </w:pPr>
      <w:r w:rsidRPr="002E5635">
        <w:rPr>
          <w:color w:val="000000" w:themeColor="text1"/>
        </w:rPr>
        <w:t>1 mol</w:t>
      </w:r>
      <w:r w:rsidRPr="002E5635">
        <w:rPr>
          <w:color w:val="000000" w:themeColor="text1"/>
          <w:vertAlign w:val="subscript"/>
        </w:rPr>
        <w:t>eff</w:t>
      </w:r>
      <w:r w:rsidRPr="002E5635">
        <w:rPr>
          <w:color w:val="000000" w:themeColor="text1"/>
        </w:rPr>
        <w:t xml:space="preserve"> = (0.012 kg)/[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a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C)/ent] = (0.012 kg)/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C)</w:t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  <w:t>(A2)</w:t>
      </w:r>
    </w:p>
    <w:p w14:paraId="6371C475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>—almost the same as the pre-2019 definition, the only difference being the involvement of the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kilogram rather than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</w:rPr>
        <w:t>(IPK).</w:t>
      </w:r>
    </w:p>
    <w:p w14:paraId="1E8AA807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>(ii)   Fixed-</w:t>
      </w:r>
      <w:r w:rsidRPr="0061761A">
        <w:rPr>
          <w:rFonts w:ascii="Lucida Calligraphy" w:hAnsi="Lucida Calligraphy"/>
          <w:color w:val="000000" w:themeColor="text1"/>
        </w:rPr>
        <w:t>N</w:t>
      </w:r>
      <w:r w:rsidRPr="002E5635">
        <w:rPr>
          <w:color w:val="000000" w:themeColor="text1"/>
          <w:vertAlign w:val="subscript"/>
        </w:rPr>
        <w:t>Avo</w:t>
      </w:r>
      <w:r w:rsidRPr="002E5635">
        <w:rPr>
          <w:color w:val="000000" w:themeColor="text1"/>
        </w:rPr>
        <w:t xml:space="preserve"> mole, 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C-based dalton:  the effective kilogram would be</w:t>
      </w:r>
    </w:p>
    <w:p w14:paraId="485CE11F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ab/>
        <w:t>1 kg</w:t>
      </w:r>
      <w:r w:rsidRPr="002E5635">
        <w:rPr>
          <w:color w:val="000000" w:themeColor="text1"/>
          <w:vertAlign w:val="subscript"/>
        </w:rPr>
        <w:t>eff</w:t>
      </w:r>
      <w:r w:rsidRPr="002E5635">
        <w:rPr>
          <w:color w:val="000000" w:themeColor="text1"/>
        </w:rPr>
        <w:t xml:space="preserve"> = 1000 g = 1000(g/Da) Da = 5.018 450 633 333 . . . </w:t>
      </w:r>
      <w:r w:rsidRPr="002E5635">
        <w:rPr>
          <w:color w:val="000000" w:themeColor="text1"/>
        </w:rPr>
        <w:sym w:font="Symbol" w:char="F0B4"/>
      </w:r>
      <w:r w:rsidRPr="002E5635">
        <w:rPr>
          <w:color w:val="000000" w:themeColor="text1"/>
        </w:rPr>
        <w:t xml:space="preserve"> 10</w:t>
      </w:r>
      <w:r w:rsidRPr="002E5635">
        <w:rPr>
          <w:color w:val="000000" w:themeColor="text1"/>
          <w:vertAlign w:val="superscript"/>
        </w:rPr>
        <w:t>25</w:t>
      </w:r>
      <w:r w:rsidRPr="002E5635">
        <w:rPr>
          <w:color w:val="000000" w:themeColor="text1"/>
        </w:rPr>
        <w:t xml:space="preserve">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a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C)</w:t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  <w:t>(A3)</w:t>
      </w:r>
      <w:r w:rsidRPr="002E5635">
        <w:rPr>
          <w:color w:val="000000" w:themeColor="text1"/>
        </w:rPr>
        <w:tab/>
      </w:r>
    </w:p>
    <w:p w14:paraId="2E352E2A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 xml:space="preserve">—a carbon-12-based kilogram involving the single defining constant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a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>C), something many experts would have preferred to the fixed</w:t>
      </w:r>
      <w:r w:rsidRPr="002E5635">
        <w:rPr>
          <w:i/>
          <w:color w:val="000000" w:themeColor="text1"/>
        </w:rPr>
        <w:t xml:space="preserve">-h </w:t>
      </w:r>
      <w:r w:rsidRPr="002E5635">
        <w:rPr>
          <w:color w:val="000000" w:themeColor="text1"/>
        </w:rPr>
        <w:t xml:space="preserve">definition, and certainly easier for beginning STEM students to understand. Note that </w:t>
      </w:r>
      <w:r w:rsidRPr="002E5635">
        <w:rPr>
          <w:i/>
          <w:color w:val="000000" w:themeColor="text1"/>
        </w:rPr>
        <w:sym w:font="Symbol" w:char="F06B"/>
      </w:r>
      <w:r w:rsidRPr="002E5635">
        <w:rPr>
          <w:color w:val="000000" w:themeColor="text1"/>
        </w:rPr>
        <w:t xml:space="preserve"> in equation (A1) can be interpreted as (kg</w:t>
      </w:r>
      <w:r w:rsidRPr="002E5635">
        <w:rPr>
          <w:color w:val="000000" w:themeColor="text1"/>
          <w:vertAlign w:val="subscript"/>
        </w:rPr>
        <w:t>eff</w:t>
      </w:r>
      <w:r w:rsidRPr="002E5635">
        <w:rPr>
          <w:color w:val="000000" w:themeColor="text1"/>
        </w:rPr>
        <w:t> – kg)/kg, the relative difference between the carbon-12-based and the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kilograms.</w:t>
      </w:r>
    </w:p>
    <w:p w14:paraId="4938DB2C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>(iii)  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kilogram, fixed-</w:t>
      </w:r>
      <w:r w:rsidRPr="001058A5">
        <w:rPr>
          <w:rFonts w:ascii="Lucida Calligraphy" w:hAnsi="Lucida Calligraphy"/>
          <w:color w:val="000000" w:themeColor="text1"/>
        </w:rPr>
        <w:t>N</w:t>
      </w:r>
      <w:r w:rsidRPr="002E5635">
        <w:rPr>
          <w:color w:val="000000" w:themeColor="text1"/>
          <w:vertAlign w:val="subscript"/>
        </w:rPr>
        <w:t>Avo</w:t>
      </w:r>
      <w:r w:rsidRPr="002E5635">
        <w:rPr>
          <w:color w:val="000000" w:themeColor="text1"/>
        </w:rPr>
        <w:t xml:space="preserve"> mole: the effective dalton would be</w:t>
      </w:r>
    </w:p>
    <w:p w14:paraId="253CFFA0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ab/>
        <w:t>1 Da</w:t>
      </w:r>
      <w:r w:rsidRPr="002E5635">
        <w:rPr>
          <w:color w:val="000000" w:themeColor="text1"/>
          <w:vertAlign w:val="subscript"/>
        </w:rPr>
        <w:t>eff</w:t>
      </w:r>
      <w:r w:rsidRPr="002E5635">
        <w:rPr>
          <w:color w:val="000000" w:themeColor="text1"/>
        </w:rPr>
        <w:t xml:space="preserve"> = 1/(6.022 140 76 </w:t>
      </w:r>
      <w:r w:rsidRPr="002E5635">
        <w:rPr>
          <w:color w:val="000000" w:themeColor="text1"/>
        </w:rPr>
        <w:sym w:font="Symbol" w:char="F0B4"/>
      </w:r>
      <w:r w:rsidRPr="002E5635">
        <w:rPr>
          <w:color w:val="000000" w:themeColor="text1"/>
        </w:rPr>
        <w:t xml:space="preserve"> 10</w:t>
      </w:r>
      <w:r w:rsidRPr="002E5635">
        <w:rPr>
          <w:color w:val="000000" w:themeColor="text1"/>
          <w:vertAlign w:val="superscript"/>
        </w:rPr>
        <w:t>26</w:t>
      </w:r>
      <w:r w:rsidRPr="002E5635">
        <w:rPr>
          <w:color w:val="000000" w:themeColor="text1"/>
        </w:rPr>
        <w:t>) kg</w:t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</w:r>
      <w:r w:rsidRPr="002E5635">
        <w:rPr>
          <w:color w:val="000000" w:themeColor="text1"/>
        </w:rPr>
        <w:tab/>
        <w:t>(A4)</w:t>
      </w:r>
    </w:p>
    <w:p w14:paraId="30277265" w14:textId="77777777" w:rsidR="002B7908" w:rsidRPr="002E5635" w:rsidRDefault="002B7908" w:rsidP="002B7908">
      <w:pPr>
        <w:spacing w:line="360" w:lineRule="auto"/>
        <w:rPr>
          <w:color w:val="000000" w:themeColor="text1"/>
        </w:rPr>
      </w:pPr>
      <w:r w:rsidRPr="002E5635">
        <w:rPr>
          <w:color w:val="000000" w:themeColor="text1"/>
        </w:rPr>
        <w:t>—i.e. defined exactly in terms of the fixed-</w:t>
      </w:r>
      <w:r w:rsidRPr="002E5635">
        <w:rPr>
          <w:i/>
          <w:color w:val="000000" w:themeColor="text1"/>
        </w:rPr>
        <w:t>h</w:t>
      </w:r>
      <w:r w:rsidRPr="002E5635">
        <w:rPr>
          <w:color w:val="000000" w:themeColor="text1"/>
        </w:rPr>
        <w:t xml:space="preserve"> kilogra</w:t>
      </w:r>
      <w:r>
        <w:rPr>
          <w:color w:val="000000" w:themeColor="text1"/>
        </w:rPr>
        <w:t xml:space="preserve">m (Leonard </w:t>
      </w:r>
      <w:r w:rsidRPr="001B7349">
        <w:rPr>
          <w:color w:val="0070C0"/>
        </w:rPr>
        <w:t>2006</w:t>
      </w:r>
      <w:r>
        <w:rPr>
          <w:color w:val="000000" w:themeColor="text1"/>
        </w:rPr>
        <w:t xml:space="preserve">, </w:t>
      </w:r>
      <w:r w:rsidRPr="001B7349">
        <w:rPr>
          <w:color w:val="0070C0"/>
        </w:rPr>
        <w:t>2010</w:t>
      </w:r>
      <w:r>
        <w:rPr>
          <w:color w:val="0070C0"/>
        </w:rPr>
        <w:t>a</w:t>
      </w:r>
      <w:r>
        <w:rPr>
          <w:color w:val="000000" w:themeColor="text1"/>
        </w:rPr>
        <w:t>)</w:t>
      </w:r>
      <w:r w:rsidRPr="002E5635">
        <w:rPr>
          <w:color w:val="000000" w:themeColor="text1"/>
        </w:rPr>
        <w:t>. And (g/Da</w:t>
      </w:r>
      <w:r w:rsidRPr="002E5635">
        <w:rPr>
          <w:color w:val="000000" w:themeColor="text1"/>
          <w:vertAlign w:val="subscript"/>
        </w:rPr>
        <w:t>eff</w:t>
      </w:r>
      <w:r w:rsidRPr="002E5635">
        <w:rPr>
          <w:color w:val="000000" w:themeColor="text1"/>
        </w:rPr>
        <w:t xml:space="preserve">) is then </w:t>
      </w:r>
      <w:r w:rsidRPr="002E5635">
        <w:rPr>
          <w:i/>
          <w:color w:val="000000" w:themeColor="text1"/>
        </w:rPr>
        <w:t>exactly</w:t>
      </w:r>
      <w:r w:rsidRPr="002E5635">
        <w:rPr>
          <w:color w:val="000000" w:themeColor="text1"/>
        </w:rPr>
        <w:t xml:space="preserve"> equal to the 2019 </w:t>
      </w:r>
      <w:r w:rsidRPr="002E5635">
        <w:rPr>
          <w:i/>
          <w:color w:val="000000" w:themeColor="text1"/>
        </w:rPr>
        <w:t>fixed</w:t>
      </w:r>
      <w:r w:rsidRPr="002E5635">
        <w:rPr>
          <w:color w:val="000000" w:themeColor="text1"/>
        </w:rPr>
        <w:t xml:space="preserve"> Avogadro number, compatible with equation (16). </w:t>
      </w:r>
      <w:r>
        <w:rPr>
          <w:color w:val="000000" w:themeColor="text1"/>
        </w:rPr>
        <w:t>Since “atomic weights”</w:t>
      </w:r>
      <w:r w:rsidRPr="002E5635">
        <w:rPr>
          <w:color w:val="000000" w:themeColor="text1"/>
        </w:rPr>
        <w:t xml:space="preserve"> </w:t>
      </w:r>
      <w:r w:rsidRPr="002E5635">
        <w:rPr>
          <w:i/>
          <w:color w:val="000000" w:themeColor="text1"/>
        </w:rPr>
        <w:t>used in stoichiometric calculations</w:t>
      </w:r>
      <w:r w:rsidRPr="002E5635">
        <w:rPr>
          <w:color w:val="000000" w:themeColor="text1"/>
        </w:rPr>
        <w:t xml:space="preserve"> are typically catalogued to only four or five significant figures, and uncertainties in isotopic abundances are often dominant, using an exact </w:t>
      </w:r>
      <w:r w:rsidRPr="002E5635">
        <w:rPr>
          <w:color w:val="000000" w:themeColor="text1"/>
        </w:rPr>
        <w:lastRenderedPageBreak/>
        <w:t xml:space="preserve">dalton for cataloguing relative atomic-scale masses would make absolutely no difference to stoichiometric calculations. Atomic </w:t>
      </w:r>
      <w:r w:rsidRPr="002E5635">
        <w:rPr>
          <w:i/>
          <w:color w:val="000000" w:themeColor="text1"/>
        </w:rPr>
        <w:t>mass ratios</w:t>
      </w:r>
      <w:r w:rsidRPr="002E5635">
        <w:rPr>
          <w:color w:val="000000" w:themeColor="text1"/>
        </w:rPr>
        <w:t xml:space="preserve"> measured to extremely high precision </w:t>
      </w:r>
      <w:r w:rsidRPr="002E5635">
        <w:rPr>
          <w:i/>
          <w:color w:val="000000" w:themeColor="text1"/>
        </w:rPr>
        <w:t>via</w:t>
      </w:r>
      <w:r w:rsidRPr="002E5635">
        <w:rPr>
          <w:color w:val="000000" w:themeColor="text1"/>
        </w:rPr>
        <w:t xml:space="preserve"> mass spectrometry would then still be catalogued by reference to the carbon-12-based atomic mass constan</w:t>
      </w:r>
      <w:r>
        <w:rPr>
          <w:color w:val="000000" w:themeColor="text1"/>
        </w:rPr>
        <w:t xml:space="preserve">t (Leonard </w:t>
      </w:r>
      <w:r w:rsidRPr="00D4765A">
        <w:rPr>
          <w:color w:val="0070C0"/>
        </w:rPr>
        <w:t>2012</w:t>
      </w:r>
      <w:r>
        <w:rPr>
          <w:color w:val="000000" w:themeColor="text1"/>
        </w:rPr>
        <w:t>)</w:t>
      </w:r>
      <w:r w:rsidRPr="002E5635">
        <w:rPr>
          <w:color w:val="000000" w:themeColor="text1"/>
        </w:rPr>
        <w:t xml:space="preserve"> u =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u</w:t>
      </w:r>
      <w:r w:rsidRPr="002E5635">
        <w:rPr>
          <w:color w:val="000000" w:themeColor="text1"/>
        </w:rPr>
        <w:t xml:space="preserve"> = </w:t>
      </w:r>
      <w:r w:rsidRPr="002E5635">
        <w:rPr>
          <w:i/>
          <w:color w:val="000000" w:themeColor="text1"/>
        </w:rPr>
        <w:t>m</w:t>
      </w:r>
      <w:r w:rsidRPr="002E5635">
        <w:rPr>
          <w:color w:val="000000" w:themeColor="text1"/>
          <w:vertAlign w:val="subscript"/>
        </w:rPr>
        <w:t>a</w:t>
      </w:r>
      <w:r w:rsidRPr="002E5635">
        <w:rPr>
          <w:color w:val="000000" w:themeColor="text1"/>
        </w:rPr>
        <w:t>(</w:t>
      </w:r>
      <w:r w:rsidRPr="002E5635">
        <w:rPr>
          <w:color w:val="000000" w:themeColor="text1"/>
          <w:vertAlign w:val="superscript"/>
        </w:rPr>
        <w:t>12</w:t>
      </w:r>
      <w:r w:rsidRPr="002E5635">
        <w:rPr>
          <w:color w:val="000000" w:themeColor="text1"/>
        </w:rPr>
        <w:t xml:space="preserve">C)/12. </w:t>
      </w:r>
    </w:p>
    <w:p w14:paraId="745C5B4A" w14:textId="77777777" w:rsidR="002B7908" w:rsidRDefault="002B7908" w:rsidP="002B7908">
      <w:pPr>
        <w:spacing w:line="360" w:lineRule="auto"/>
        <w:rPr>
          <w:color w:val="000000" w:themeColor="text1"/>
        </w:rPr>
      </w:pPr>
    </w:p>
    <w:p w14:paraId="1627147B" w14:textId="77777777" w:rsidR="002B7908" w:rsidRDefault="002B7908" w:rsidP="002B7908">
      <w:pPr>
        <w:spacing w:line="360" w:lineRule="auto"/>
        <w:rPr>
          <w:color w:val="000000" w:themeColor="text1"/>
        </w:rPr>
      </w:pPr>
    </w:p>
    <w:p w14:paraId="74496A0E" w14:textId="77777777" w:rsidR="002B7908" w:rsidRDefault="002B7908" w:rsidP="002B7908">
      <w:pPr>
        <w:spacing w:line="360" w:lineRule="auto"/>
        <w:rPr>
          <w:color w:val="000000" w:themeColor="text1"/>
        </w:rPr>
      </w:pPr>
    </w:p>
    <w:p w14:paraId="3F767DD8" w14:textId="77777777" w:rsidR="002B7908" w:rsidRDefault="002B7908" w:rsidP="002B7908">
      <w:pPr>
        <w:spacing w:line="360" w:lineRule="auto"/>
        <w:rPr>
          <w:color w:val="000000" w:themeColor="text1"/>
        </w:rPr>
      </w:pPr>
    </w:p>
    <w:p w14:paraId="3FC68A88" w14:textId="77777777" w:rsidR="002B7908" w:rsidRDefault="002B7908" w:rsidP="002B7908">
      <w:pPr>
        <w:spacing w:line="360" w:lineRule="auto"/>
        <w:rPr>
          <w:color w:val="000000" w:themeColor="text1"/>
        </w:rPr>
      </w:pPr>
    </w:p>
    <w:p w14:paraId="3EBD4CB0" w14:textId="77777777" w:rsidR="002B7908" w:rsidRDefault="002B7908" w:rsidP="002B7908">
      <w:pPr>
        <w:spacing w:line="360" w:lineRule="auto"/>
        <w:rPr>
          <w:rFonts w:asciiTheme="minorHAnsi" w:hAnsiTheme="minorHAnsi"/>
          <w:b/>
          <w:color w:val="000000" w:themeColor="text1"/>
        </w:rPr>
      </w:pPr>
      <w:r w:rsidRPr="00B4628F">
        <w:rPr>
          <w:rFonts w:asciiTheme="minorHAnsi" w:hAnsiTheme="minorHAnsi"/>
          <w:b/>
          <w:color w:val="000000" w:themeColor="text1"/>
        </w:rPr>
        <w:t>Epilogue</w:t>
      </w:r>
      <w:r>
        <w:rPr>
          <w:rFonts w:asciiTheme="minorHAnsi" w:hAnsiTheme="minorHAnsi"/>
          <w:b/>
          <w:color w:val="000000" w:themeColor="text1"/>
        </w:rPr>
        <w:t>: The Saga of the Mysterious Mole</w:t>
      </w:r>
    </w:p>
    <w:p w14:paraId="7F33C823" w14:textId="77777777" w:rsidR="002B7908" w:rsidRDefault="002B7908" w:rsidP="002B7908">
      <w:pPr>
        <w:spacing w:line="360" w:lineRule="auto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ab/>
      </w:r>
    </w:p>
    <w:p w14:paraId="0091DC82" w14:textId="77777777" w:rsidR="002B7908" w:rsidRPr="003C1159" w:rsidRDefault="002B7908" w:rsidP="002B7908">
      <w:pPr>
        <w:spacing w:line="360" w:lineRule="auto"/>
        <w:ind w:firstLine="720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>The SI has failed to surmount</w:t>
      </w:r>
    </w:p>
    <w:p w14:paraId="76C50904" w14:textId="77777777" w:rsidR="002B7908" w:rsidRPr="003C1159" w:rsidRDefault="002B7908" w:rsidP="002B7908">
      <w:pPr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>Circularity in its account</w:t>
      </w:r>
    </w:p>
    <w:p w14:paraId="7FF7DB95" w14:textId="77777777" w:rsidR="002B7908" w:rsidRPr="003C1159" w:rsidRDefault="002B7908" w:rsidP="002B7908">
      <w:pPr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>Of defining the mole</w:t>
      </w:r>
    </w:p>
    <w:p w14:paraId="62AFD58B" w14:textId="77777777" w:rsidR="002B7908" w:rsidRPr="003C1159" w:rsidRDefault="002B7908" w:rsidP="002B7908">
      <w:pPr>
        <w:tabs>
          <w:tab w:val="left" w:pos="720"/>
          <w:tab w:val="left" w:pos="1440"/>
          <w:tab w:val="left" w:pos="2160"/>
          <w:tab w:val="left" w:pos="2880"/>
          <w:tab w:val="left" w:pos="4209"/>
        </w:tabs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>As an aggregate whole.</w:t>
      </w: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</w:r>
    </w:p>
    <w:p w14:paraId="0EA01D6D" w14:textId="77777777" w:rsidR="002B7908" w:rsidRPr="003C1159" w:rsidRDefault="002B7908" w:rsidP="002B7908">
      <w:pPr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>So</w:t>
      </w:r>
      <w:r>
        <w:rPr>
          <w:rFonts w:ascii="Lucida Calligraphy" w:hAnsi="Lucida Calligraphy"/>
          <w:i/>
          <w:color w:val="000000" w:themeColor="text1"/>
          <w:sz w:val="21"/>
          <w:szCs w:val="21"/>
        </w:rPr>
        <w:t xml:space="preserve"> then</w:t>
      </w: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>, what’s there to count?</w:t>
      </w:r>
    </w:p>
    <w:p w14:paraId="2F958F9A" w14:textId="77777777" w:rsidR="002B7908" w:rsidRPr="003C1159" w:rsidRDefault="002B7908" w:rsidP="002B7908">
      <w:pPr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>Elementary amount.</w:t>
      </w:r>
    </w:p>
    <w:p w14:paraId="17B2D8D8" w14:textId="77777777" w:rsidR="002B7908" w:rsidRPr="003C1159" w:rsidRDefault="002B7908" w:rsidP="002B7908">
      <w:pPr>
        <w:spacing w:line="360" w:lineRule="auto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ab/>
        <w:t xml:space="preserve">For, without an amount, </w:t>
      </w:r>
    </w:p>
    <w:p w14:paraId="43359E66" w14:textId="77777777" w:rsidR="002B7908" w:rsidRPr="003C1159" w:rsidRDefault="002B7908" w:rsidP="002B7908">
      <w:pPr>
        <w:spacing w:line="360" w:lineRule="auto"/>
        <w:ind w:firstLine="720"/>
        <w:rPr>
          <w:rFonts w:ascii="Lucida Calligraphy" w:hAnsi="Lucida Calligraphy"/>
          <w:i/>
          <w:color w:val="000000" w:themeColor="text1"/>
          <w:sz w:val="21"/>
          <w:szCs w:val="21"/>
        </w:rPr>
      </w:pPr>
      <w:r w:rsidRPr="003C1159">
        <w:rPr>
          <w:rFonts w:ascii="Lucida Calligraphy" w:hAnsi="Lucida Calligraphy"/>
          <w:i/>
          <w:color w:val="000000" w:themeColor="text1"/>
          <w:sz w:val="21"/>
          <w:szCs w:val="21"/>
        </w:rPr>
        <w:t>There is nothing to count!</w:t>
      </w:r>
    </w:p>
    <w:p w14:paraId="0CF2A7BC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08"/>
    <w:rsid w:val="002B7908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E06E6"/>
    <w:rsid w:val="00DE6174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ACBF2"/>
  <w15:chartTrackingRefBased/>
  <w15:docId w15:val="{7FDB5BF0-C171-4403-861D-D1285B15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90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9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9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9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9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9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9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9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9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9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9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7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9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7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90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7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90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7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>Springer Nature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2026-10-19T13:38:00Z</dcterms:created>
  <dcterms:modified xsi:type="dcterms:W3CDTF">2026-10-19T13:38:00Z</dcterms:modified>
</cp:coreProperties>
</file>