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16CEE3" w14:textId="335503EB" w:rsidR="00E02596" w:rsidRPr="00A5703F" w:rsidRDefault="00E02596" w:rsidP="00A2286B">
      <w:pPr>
        <w:pStyle w:val="Textnoident"/>
        <w:spacing w:after="0" w:line="360" w:lineRule="auto"/>
        <w:jc w:val="center"/>
        <w:rPr>
          <w:b/>
          <w:bCs/>
          <w:sz w:val="44"/>
          <w:szCs w:val="44"/>
          <w:lang w:val="en-US"/>
        </w:rPr>
      </w:pPr>
      <w:bookmarkStart w:id="0" w:name="OLE_LINK2"/>
      <w:r w:rsidRPr="00E02596">
        <w:rPr>
          <w:b/>
          <w:bCs/>
          <w:sz w:val="44"/>
          <w:szCs w:val="44"/>
          <w:lang w:val="en-US"/>
        </w:rPr>
        <w:t>- Supplementary materials -</w:t>
      </w:r>
    </w:p>
    <w:p w14:paraId="45BE80D1" w14:textId="4BC01C9F" w:rsidR="00BC698E" w:rsidRPr="00E02596" w:rsidRDefault="000C3EF7" w:rsidP="00A2286B">
      <w:pPr>
        <w:pStyle w:val="Textnoident"/>
        <w:spacing w:after="0" w:line="360" w:lineRule="auto"/>
        <w:jc w:val="center"/>
        <w:rPr>
          <w:b/>
          <w:bCs/>
          <w:sz w:val="28"/>
          <w:szCs w:val="28"/>
          <w:lang w:val="en-US"/>
        </w:rPr>
      </w:pPr>
      <w:r w:rsidRPr="00E02596">
        <w:rPr>
          <w:b/>
          <w:bCs/>
          <w:sz w:val="28"/>
          <w:szCs w:val="28"/>
          <w:lang w:val="en-US"/>
        </w:rPr>
        <w:t>Validation</w:t>
      </w:r>
      <w:r w:rsidR="00BC698E" w:rsidRPr="00E02596">
        <w:rPr>
          <w:b/>
          <w:bCs/>
          <w:sz w:val="28"/>
          <w:szCs w:val="28"/>
          <w:lang w:val="en-US"/>
        </w:rPr>
        <w:t xml:space="preserve"> of Image-Derived Input Function for Non-Invasive Kinetic Modeling of [</w:t>
      </w:r>
      <w:r w:rsidR="00BC698E" w:rsidRPr="00E02596">
        <w:rPr>
          <w:b/>
          <w:bCs/>
          <w:sz w:val="28"/>
          <w:szCs w:val="28"/>
          <w:vertAlign w:val="superscript"/>
          <w:lang w:val="en-US"/>
        </w:rPr>
        <w:t>18</w:t>
      </w:r>
      <w:r w:rsidR="00BC698E" w:rsidRPr="00E02596">
        <w:rPr>
          <w:b/>
          <w:bCs/>
          <w:sz w:val="28"/>
          <w:szCs w:val="28"/>
          <w:lang w:val="en-US"/>
        </w:rPr>
        <w:t>F]-Fluorodeprenyl</w:t>
      </w:r>
      <w:r w:rsidRPr="00E02596">
        <w:rPr>
          <w:b/>
          <w:bCs/>
          <w:sz w:val="28"/>
          <w:szCs w:val="28"/>
          <w:lang w:val="en-US"/>
        </w:rPr>
        <w:t>-D2</w:t>
      </w:r>
      <w:r w:rsidR="00BC698E" w:rsidRPr="00E02596">
        <w:rPr>
          <w:b/>
          <w:bCs/>
          <w:sz w:val="28"/>
          <w:szCs w:val="28"/>
          <w:lang w:val="en-US"/>
        </w:rPr>
        <w:t xml:space="preserve"> in Neurological Diseases</w:t>
      </w:r>
    </w:p>
    <w:p w14:paraId="47401C54" w14:textId="77777777" w:rsidR="00A5703F" w:rsidRPr="00A5703F" w:rsidRDefault="00A5703F" w:rsidP="00A5703F">
      <w:pPr>
        <w:pStyle w:val="Textnoident"/>
        <w:spacing w:after="0" w:line="360" w:lineRule="auto"/>
        <w:jc w:val="center"/>
        <w:rPr>
          <w:sz w:val="22"/>
          <w:szCs w:val="22"/>
          <w:lang w:val="en-US" w:eastAsia="en-GB"/>
        </w:rPr>
      </w:pPr>
    </w:p>
    <w:p w14:paraId="018B93F8" w14:textId="77777777" w:rsidR="00A5703F" w:rsidRPr="00A5703F" w:rsidRDefault="00A5703F" w:rsidP="00A5703F">
      <w:pPr>
        <w:pStyle w:val="Textnoident"/>
        <w:spacing w:after="0" w:line="360" w:lineRule="auto"/>
        <w:rPr>
          <w:color w:val="0070C0"/>
          <w:vertAlign w:val="superscript"/>
          <w:lang w:val="en-US" w:eastAsia="en-GB"/>
        </w:rPr>
      </w:pPr>
      <w:r w:rsidRPr="00A5703F">
        <w:rPr>
          <w:color w:val="0070C0"/>
          <w:lang w:val="en-US" w:eastAsia="en-GB"/>
        </w:rPr>
        <w:t>Lukas Frontzkowski</w:t>
      </w:r>
      <w:r w:rsidRPr="00A5703F">
        <w:rPr>
          <w:color w:val="0070C0"/>
          <w:vertAlign w:val="superscript"/>
          <w:lang w:val="en-US" w:eastAsia="en-GB"/>
        </w:rPr>
        <w:t>1</w:t>
      </w:r>
      <w:r w:rsidRPr="00A5703F">
        <w:rPr>
          <w:color w:val="0070C0"/>
          <w:lang w:val="en-US" w:eastAsia="en-GB"/>
        </w:rPr>
        <w:t>, Nicolai Franzmeier</w:t>
      </w:r>
      <w:r w:rsidRPr="00A5703F">
        <w:rPr>
          <w:color w:val="0070C0"/>
          <w:vertAlign w:val="superscript"/>
          <w:lang w:val="en-US" w:eastAsia="en-GB"/>
        </w:rPr>
        <w:t>1</w:t>
      </w:r>
      <w:r w:rsidRPr="00A5703F">
        <w:rPr>
          <w:color w:val="0070C0"/>
          <w:lang w:val="en-US" w:eastAsia="en-GB"/>
        </w:rPr>
        <w:t>, Letizia Vogler</w:t>
      </w:r>
      <w:r w:rsidRPr="00A5703F">
        <w:rPr>
          <w:color w:val="0070C0"/>
          <w:vertAlign w:val="superscript"/>
          <w:lang w:val="en-US" w:eastAsia="en-GB"/>
        </w:rPr>
        <w:t>2</w:t>
      </w:r>
      <w:r w:rsidRPr="00A5703F">
        <w:rPr>
          <w:color w:val="0070C0"/>
          <w:lang w:val="en-US" w:eastAsia="en-GB"/>
        </w:rPr>
        <w:t>, Thomas Saller</w:t>
      </w:r>
      <w:r w:rsidRPr="00A5703F">
        <w:rPr>
          <w:color w:val="0070C0"/>
          <w:vertAlign w:val="superscript"/>
          <w:lang w:val="en-US" w:eastAsia="en-GB"/>
        </w:rPr>
        <w:t>3</w:t>
      </w:r>
      <w:r w:rsidRPr="00A5703F">
        <w:rPr>
          <w:color w:val="0070C0"/>
          <w:lang w:val="en-US" w:eastAsia="en-GB"/>
        </w:rPr>
        <w:t>, Simon Lindner</w:t>
      </w:r>
      <w:r w:rsidRPr="00A5703F">
        <w:rPr>
          <w:color w:val="0070C0"/>
          <w:vertAlign w:val="superscript"/>
          <w:lang w:val="en-US" w:eastAsia="en-GB"/>
        </w:rPr>
        <w:t>2</w:t>
      </w:r>
      <w:r w:rsidRPr="00A5703F">
        <w:rPr>
          <w:color w:val="0070C0"/>
          <w:lang w:val="en-US" w:eastAsia="en-GB"/>
        </w:rPr>
        <w:t>, Marianthi Zeinaki</w:t>
      </w:r>
      <w:r w:rsidRPr="00A5703F">
        <w:rPr>
          <w:color w:val="0070C0"/>
          <w:vertAlign w:val="superscript"/>
          <w:lang w:val="en-US" w:eastAsia="en-GB"/>
        </w:rPr>
        <w:t>2</w:t>
      </w:r>
      <w:r w:rsidRPr="00A5703F">
        <w:rPr>
          <w:color w:val="0070C0"/>
          <w:lang w:val="en-US" w:eastAsia="en-GB"/>
        </w:rPr>
        <w:t>, Benjamin Kugelmann</w:t>
      </w:r>
      <w:r w:rsidRPr="00A5703F">
        <w:rPr>
          <w:color w:val="0070C0"/>
          <w:vertAlign w:val="superscript"/>
          <w:lang w:val="en-US" w:eastAsia="en-GB"/>
        </w:rPr>
        <w:t>2</w:t>
      </w:r>
      <w:r w:rsidRPr="00A5703F">
        <w:rPr>
          <w:color w:val="0070C0"/>
          <w:lang w:val="en-US" w:eastAsia="en-GB"/>
        </w:rPr>
        <w:t>, Artem Zatcepin</w:t>
      </w:r>
      <w:r w:rsidRPr="00A5703F">
        <w:rPr>
          <w:color w:val="0070C0"/>
          <w:vertAlign w:val="superscript"/>
          <w:lang w:val="en-US" w:eastAsia="en-GB"/>
        </w:rPr>
        <w:t>2,4,5</w:t>
      </w:r>
      <w:r w:rsidRPr="00A5703F">
        <w:rPr>
          <w:color w:val="0070C0"/>
          <w:lang w:val="en-US" w:eastAsia="en-GB"/>
        </w:rPr>
        <w:t>, Gloria Mueller</w:t>
      </w:r>
      <w:r w:rsidRPr="00A5703F">
        <w:rPr>
          <w:color w:val="0070C0"/>
          <w:vertAlign w:val="superscript"/>
          <w:lang w:val="en-US" w:eastAsia="en-GB"/>
        </w:rPr>
        <w:t>2</w:t>
      </w:r>
      <w:r w:rsidRPr="00A5703F">
        <w:rPr>
          <w:color w:val="0070C0"/>
          <w:lang w:val="en-US" w:eastAsia="en-GB"/>
        </w:rPr>
        <w:t>, Alexander Jäck</w:t>
      </w:r>
      <w:r w:rsidRPr="00A5703F">
        <w:rPr>
          <w:color w:val="0070C0"/>
          <w:vertAlign w:val="superscript"/>
          <w:lang w:val="en-US" w:eastAsia="en-GB"/>
        </w:rPr>
        <w:t>6</w:t>
      </w:r>
      <w:r w:rsidRPr="00A5703F">
        <w:rPr>
          <w:color w:val="0070C0"/>
          <w:lang w:val="en-US" w:eastAsia="en-GB"/>
        </w:rPr>
        <w:t>, Ilias Masouris</w:t>
      </w:r>
      <w:r w:rsidRPr="00A5703F">
        <w:rPr>
          <w:color w:val="0070C0"/>
          <w:vertAlign w:val="superscript"/>
          <w:lang w:val="en-US" w:eastAsia="en-GB"/>
        </w:rPr>
        <w:t>6</w:t>
      </w:r>
      <w:r w:rsidRPr="00A5703F">
        <w:rPr>
          <w:color w:val="0070C0"/>
          <w:lang w:val="en-US" w:eastAsia="en-GB"/>
        </w:rPr>
        <w:t>, Boris-Stephan Rauchmann</w:t>
      </w:r>
      <w:r w:rsidRPr="00A5703F">
        <w:rPr>
          <w:color w:val="0070C0"/>
          <w:vertAlign w:val="superscript"/>
          <w:lang w:val="en-US" w:eastAsia="en-GB"/>
        </w:rPr>
        <w:t>5,7,8,9</w:t>
      </w:r>
      <w:r w:rsidRPr="00A5703F">
        <w:rPr>
          <w:color w:val="0070C0"/>
          <w:lang w:val="en-US" w:eastAsia="en-GB"/>
        </w:rPr>
        <w:t>, Sowmitha Raju</w:t>
      </w:r>
      <w:r w:rsidRPr="00A5703F">
        <w:rPr>
          <w:color w:val="0070C0"/>
          <w:vertAlign w:val="superscript"/>
          <w:lang w:val="en-US" w:eastAsia="en-GB"/>
        </w:rPr>
        <w:t>2</w:t>
      </w:r>
      <w:r w:rsidRPr="00A5703F">
        <w:rPr>
          <w:color w:val="0070C0"/>
          <w:lang w:val="en-US" w:eastAsia="en-GB"/>
        </w:rPr>
        <w:t>, Nathalie Albert</w:t>
      </w:r>
      <w:r w:rsidRPr="00A5703F">
        <w:rPr>
          <w:color w:val="0070C0"/>
          <w:vertAlign w:val="superscript"/>
          <w:lang w:val="en-US" w:eastAsia="en-GB"/>
        </w:rPr>
        <w:t>2</w:t>
      </w:r>
      <w:r w:rsidRPr="00A5703F">
        <w:rPr>
          <w:color w:val="0070C0"/>
          <w:lang w:val="en-US" w:eastAsia="en-GB"/>
        </w:rPr>
        <w:t>, Lisa Tagnin</w:t>
      </w:r>
      <w:r w:rsidRPr="00A5703F">
        <w:rPr>
          <w:color w:val="0070C0"/>
          <w:vertAlign w:val="superscript"/>
          <w:lang w:val="en-US" w:eastAsia="en-GB"/>
        </w:rPr>
        <w:t>2</w:t>
      </w:r>
      <w:r w:rsidRPr="00A5703F">
        <w:rPr>
          <w:color w:val="0070C0"/>
          <w:lang w:val="en-US" w:eastAsia="en-GB"/>
        </w:rPr>
        <w:t>, David Vállez García</w:t>
      </w:r>
      <w:r w:rsidRPr="00A5703F">
        <w:rPr>
          <w:color w:val="0070C0"/>
          <w:vertAlign w:val="superscript"/>
          <w:lang w:val="en-US" w:eastAsia="en-GB"/>
        </w:rPr>
        <w:t>10</w:t>
      </w:r>
      <w:r w:rsidRPr="00A5703F">
        <w:rPr>
          <w:color w:val="0070C0"/>
          <w:lang w:val="en-US" w:eastAsia="en-GB"/>
        </w:rPr>
        <w:t>, Gemma Salvadó</w:t>
      </w:r>
      <w:r w:rsidRPr="00A5703F">
        <w:rPr>
          <w:color w:val="0070C0"/>
          <w:vertAlign w:val="superscript"/>
          <w:lang w:val="en-US" w:eastAsia="en-GB"/>
        </w:rPr>
        <w:t>10</w:t>
      </w:r>
      <w:r w:rsidRPr="00A5703F">
        <w:rPr>
          <w:color w:val="0070C0"/>
          <w:lang w:val="en-US" w:eastAsia="en-GB"/>
        </w:rPr>
        <w:t>, Gérard Nisal Bischof</w:t>
      </w:r>
      <w:r w:rsidRPr="00A5703F">
        <w:rPr>
          <w:color w:val="0070C0"/>
          <w:vertAlign w:val="superscript"/>
          <w:lang w:val="en-US" w:eastAsia="en-GB"/>
        </w:rPr>
        <w:t>11,12</w:t>
      </w:r>
      <w:r w:rsidRPr="00A5703F">
        <w:rPr>
          <w:color w:val="0070C0"/>
          <w:lang w:val="en-US" w:eastAsia="en-GB"/>
        </w:rPr>
        <w:t>, Lena Kaiser</w:t>
      </w:r>
      <w:r w:rsidRPr="00A5703F">
        <w:rPr>
          <w:color w:val="0070C0"/>
          <w:vertAlign w:val="superscript"/>
          <w:lang w:val="en-US" w:eastAsia="en-GB"/>
        </w:rPr>
        <w:t>2</w:t>
      </w:r>
      <w:r w:rsidRPr="00A5703F">
        <w:rPr>
          <w:color w:val="0070C0"/>
          <w:lang w:val="en-US" w:eastAsia="en-GB"/>
        </w:rPr>
        <w:t>, Robert Perneczky</w:t>
      </w:r>
      <w:r w:rsidRPr="00A5703F">
        <w:rPr>
          <w:color w:val="0070C0"/>
          <w:vertAlign w:val="superscript"/>
          <w:lang w:val="en-US" w:eastAsia="en-GB"/>
        </w:rPr>
        <w:t>5,8,9,13,14</w:t>
      </w:r>
      <w:r w:rsidRPr="00A5703F">
        <w:rPr>
          <w:color w:val="0070C0"/>
          <w:lang w:val="en-US" w:eastAsia="en-GB"/>
        </w:rPr>
        <w:t>, Günter Höglinger</w:t>
      </w:r>
      <w:r w:rsidRPr="00A5703F">
        <w:rPr>
          <w:color w:val="0070C0"/>
          <w:vertAlign w:val="superscript"/>
          <w:lang w:val="en-US" w:eastAsia="en-GB"/>
        </w:rPr>
        <w:t>5,6,8</w:t>
      </w:r>
      <w:r w:rsidRPr="00A5703F">
        <w:rPr>
          <w:color w:val="0070C0"/>
          <w:lang w:val="en-US" w:eastAsia="en-GB"/>
        </w:rPr>
        <w:t>, Johannes Levin</w:t>
      </w:r>
      <w:r w:rsidRPr="00A5703F">
        <w:rPr>
          <w:color w:val="0070C0"/>
          <w:vertAlign w:val="superscript"/>
          <w:lang w:val="en-US" w:eastAsia="en-GB"/>
        </w:rPr>
        <w:t>5,6,8</w:t>
      </w:r>
      <w:r w:rsidRPr="00A5703F">
        <w:rPr>
          <w:color w:val="0070C0"/>
          <w:lang w:val="en-US" w:eastAsia="en-GB"/>
        </w:rPr>
        <w:t>, Sybille Ziegler</w:t>
      </w:r>
      <w:r w:rsidRPr="00A5703F">
        <w:rPr>
          <w:color w:val="0070C0"/>
          <w:vertAlign w:val="superscript"/>
          <w:lang w:val="en-US" w:eastAsia="en-GB"/>
        </w:rPr>
        <w:t>2,4</w:t>
      </w:r>
      <w:r w:rsidRPr="00A5703F">
        <w:rPr>
          <w:color w:val="0070C0"/>
          <w:lang w:val="en-US" w:eastAsia="en-GB"/>
        </w:rPr>
        <w:t>, Adrian Jun Zounek</w:t>
      </w:r>
      <w:r w:rsidRPr="00A5703F">
        <w:rPr>
          <w:color w:val="0070C0"/>
          <w:vertAlign w:val="superscript"/>
          <w:lang w:val="en-US" w:eastAsia="en-GB"/>
        </w:rPr>
        <w:t>2*</w:t>
      </w:r>
      <w:r w:rsidRPr="00A5703F">
        <w:rPr>
          <w:color w:val="0070C0"/>
          <w:lang w:val="en-US" w:eastAsia="en-GB"/>
        </w:rPr>
        <w:t>, Matthias Brendel</w:t>
      </w:r>
      <w:r w:rsidRPr="00A5703F">
        <w:rPr>
          <w:color w:val="0070C0"/>
          <w:vertAlign w:val="superscript"/>
          <w:lang w:val="en-US" w:eastAsia="en-GB"/>
        </w:rPr>
        <w:t>2,5,8*</w:t>
      </w:r>
    </w:p>
    <w:p w14:paraId="62B82F37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bookmarkStart w:id="1" w:name="_Hlk184726777"/>
      <w:r w:rsidRPr="00A5703F">
        <w:rPr>
          <w:sz w:val="22"/>
          <w:szCs w:val="22"/>
          <w:lang w:val="en-US" w:eastAsia="en-GB"/>
        </w:rPr>
        <w:br/>
      </w:r>
      <w:r w:rsidRPr="00A5703F">
        <w:rPr>
          <w:vertAlign w:val="superscript"/>
          <w:lang w:val="en-US" w:eastAsia="en-GB"/>
        </w:rPr>
        <w:t>1</w:t>
      </w:r>
      <w:r w:rsidRPr="00A5703F">
        <w:rPr>
          <w:lang w:val="en-US" w:eastAsia="en-GB"/>
        </w:rPr>
        <w:t>Institute for Stroke and Dementia (ISD), LMU University Hospital, LMU Medizin, Ludwig-Maximilians-Universität München, Munich, Germany</w:t>
      </w:r>
    </w:p>
    <w:p w14:paraId="4EF82B92" w14:textId="77777777" w:rsidR="00A5703F" w:rsidRPr="00A5703F" w:rsidRDefault="00A5703F" w:rsidP="00A5703F">
      <w:pPr>
        <w:pStyle w:val="Textnoident"/>
        <w:spacing w:after="0" w:line="360" w:lineRule="auto"/>
        <w:rPr>
          <w:vertAlign w:val="superscript"/>
          <w:lang w:val="en-US" w:eastAsia="en-GB"/>
        </w:rPr>
      </w:pPr>
      <w:r w:rsidRPr="00A5703F">
        <w:rPr>
          <w:vertAlign w:val="superscript"/>
          <w:lang w:val="en-US" w:eastAsia="en-GB"/>
        </w:rPr>
        <w:t>2</w:t>
      </w:r>
      <w:r w:rsidRPr="00A5703F">
        <w:rPr>
          <w:lang w:val="en-US" w:eastAsia="en-GB"/>
        </w:rPr>
        <w:t>Department of Nuclear Medicine, LMU University Hospital, LMU Medizin, Ludwig-Maximilians-Universität München, Munich, Germany</w:t>
      </w:r>
    </w:p>
    <w:p w14:paraId="21AC5622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3</w:t>
      </w:r>
      <w:r w:rsidRPr="00A5703F">
        <w:rPr>
          <w:lang w:val="en-US" w:eastAsia="en-GB"/>
        </w:rPr>
        <w:t>Department of Anaesthesiology, LMU University Hospital, LMU Medizin, Ludwig-Maximilians-Universität München, Munich, Germany</w:t>
      </w:r>
    </w:p>
    <w:p w14:paraId="6B7124E0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4</w:t>
      </w:r>
      <w:r w:rsidRPr="00A5703F">
        <w:rPr>
          <w:lang w:val="en-US" w:eastAsia="en-GB"/>
        </w:rPr>
        <w:t xml:space="preserve">Department of Nuclear Medicine, Hannover Medical School (MHH), Hannover, Germany </w:t>
      </w:r>
    </w:p>
    <w:p w14:paraId="6EA08D00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5</w:t>
      </w:r>
      <w:r w:rsidRPr="00A5703F">
        <w:rPr>
          <w:lang w:val="en-US" w:eastAsia="en-GB"/>
        </w:rPr>
        <w:t xml:space="preserve">German Center for Neurodegenerative Diseases (DZNE), Munich, Germany </w:t>
      </w:r>
    </w:p>
    <w:p w14:paraId="204E1AEF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6</w:t>
      </w:r>
      <w:r w:rsidRPr="00A5703F">
        <w:rPr>
          <w:lang w:val="en-US" w:eastAsia="en-GB"/>
        </w:rPr>
        <w:t>Department of Neurology, LMU University Hospital, LMU Medizin, Ludwig-Maximilians-Universität München, Munich, Germany</w:t>
      </w:r>
    </w:p>
    <w:p w14:paraId="6F6C05E2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7</w:t>
      </w:r>
      <w:r w:rsidRPr="00A5703F">
        <w:rPr>
          <w:lang w:val="en-US" w:eastAsia="en-GB"/>
        </w:rPr>
        <w:t>Institute of Neuroradiology, LMU University Hospital, LMU Medizin, Ludwig-Maximilians-Universität München, Munich, Germany</w:t>
      </w:r>
    </w:p>
    <w:p w14:paraId="1E2A9EBF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8</w:t>
      </w:r>
      <w:r w:rsidRPr="00A5703F">
        <w:rPr>
          <w:lang w:val="en-US" w:eastAsia="en-GB"/>
        </w:rPr>
        <w:t xml:space="preserve">Munich Cluster for Systems Neurology (SyNergy), Munich, Germany </w:t>
      </w:r>
    </w:p>
    <w:p w14:paraId="6418D196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9</w:t>
      </w:r>
      <w:r w:rsidRPr="00A5703F">
        <w:rPr>
          <w:lang w:val="en-US" w:eastAsia="en-GB"/>
        </w:rPr>
        <w:t>Department of Psychiatry and Psychotherapy, LMU Hospital, LMU Munich, 81377 Munich, Germany</w:t>
      </w:r>
    </w:p>
    <w:p w14:paraId="272D5D48" w14:textId="77777777" w:rsidR="00A5703F" w:rsidRPr="00A5703F" w:rsidRDefault="00A5703F" w:rsidP="00A5703F">
      <w:pPr>
        <w:spacing w:line="360" w:lineRule="auto"/>
        <w:rPr>
          <w:rFonts w:ascii="Arial" w:hAnsi="Arial" w:cs="Arial"/>
          <w:sz w:val="20"/>
          <w:szCs w:val="20"/>
          <w:lang w:val="en-US" w:eastAsia="en-GB"/>
        </w:rPr>
      </w:pPr>
      <w:r w:rsidRPr="00A5703F">
        <w:rPr>
          <w:rFonts w:ascii="Arial" w:hAnsi="Arial" w:cs="Arial"/>
          <w:sz w:val="20"/>
          <w:szCs w:val="20"/>
          <w:vertAlign w:val="superscript"/>
          <w:lang w:val="en-GB"/>
        </w:rPr>
        <w:t>10</w:t>
      </w:r>
      <w:r w:rsidRPr="00A5703F">
        <w:rPr>
          <w:rFonts w:ascii="Arial" w:hAnsi="Arial" w:cs="Arial"/>
          <w:sz w:val="20"/>
          <w:szCs w:val="20"/>
          <w:lang w:val="en-GB"/>
        </w:rPr>
        <w:t>Barcelona</w:t>
      </w:r>
      <w:r w:rsidRPr="00A5703F">
        <w:rPr>
          <w:rFonts w:ascii="Arial" w:hAnsi="Arial" w:cs="Arial"/>
          <w:sz w:val="20"/>
          <w:szCs w:val="20"/>
        </w:rPr>
        <w:t>β</w:t>
      </w:r>
      <w:r w:rsidRPr="00A5703F">
        <w:rPr>
          <w:rFonts w:ascii="Arial" w:hAnsi="Arial" w:cs="Arial"/>
          <w:sz w:val="20"/>
          <w:szCs w:val="20"/>
          <w:lang w:val="en-GB"/>
        </w:rPr>
        <w:t>eta Brain Research Center, Pasqual Maragall Foundation, Barcelona, Spain</w:t>
      </w:r>
    </w:p>
    <w:p w14:paraId="12605B51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11</w:t>
      </w:r>
      <w:r w:rsidRPr="00A5703F">
        <w:rPr>
          <w:lang w:val="en-US" w:eastAsia="en-GB"/>
        </w:rPr>
        <w:t>Department of Nuclear Medicine, University Hospital Cologne, Cologne, Germany</w:t>
      </w:r>
    </w:p>
    <w:p w14:paraId="159BE2D5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12</w:t>
      </w:r>
      <w:r w:rsidRPr="00A5703F">
        <w:rPr>
          <w:lang w:val="en-US" w:eastAsia="en-GB"/>
        </w:rPr>
        <w:t>Life Molecular Imaging GmbH, a Lantheus Company, Berlin, Germany</w:t>
      </w:r>
    </w:p>
    <w:p w14:paraId="1859C5E5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13</w:t>
      </w:r>
      <w:r w:rsidRPr="00A5703F">
        <w:rPr>
          <w:lang w:val="en-US" w:eastAsia="en-GB"/>
        </w:rPr>
        <w:t>Ageing Epidemiology (AGE) Research Unit, School of Public Health, Imperial College, London, UK</w:t>
      </w:r>
    </w:p>
    <w:p w14:paraId="4709A4BA" w14:textId="77777777" w:rsidR="00A5703F" w:rsidRPr="00A5703F" w:rsidRDefault="00A5703F" w:rsidP="00A5703F">
      <w:pPr>
        <w:pStyle w:val="Textnoident"/>
        <w:spacing w:after="0" w:line="360" w:lineRule="auto"/>
        <w:rPr>
          <w:lang w:val="en-US" w:eastAsia="en-GB"/>
        </w:rPr>
      </w:pPr>
      <w:r w:rsidRPr="00A5703F">
        <w:rPr>
          <w:vertAlign w:val="superscript"/>
          <w:lang w:val="en-US" w:eastAsia="en-GB"/>
        </w:rPr>
        <w:t>14</w:t>
      </w:r>
      <w:r w:rsidRPr="00A5703F">
        <w:rPr>
          <w:lang w:val="en-US" w:eastAsia="en-GB"/>
        </w:rPr>
        <w:t>International Registry for Alzheimer´s Disease and Other Dementias (InRAD) Foundation, Deventer, Netherlands</w:t>
      </w:r>
    </w:p>
    <w:bookmarkEnd w:id="1"/>
    <w:p w14:paraId="3CE93CD0" w14:textId="77777777" w:rsidR="00BC698E" w:rsidRPr="00D3045F" w:rsidRDefault="00BC698E" w:rsidP="00BC698E">
      <w:pPr>
        <w:pStyle w:val="Textnoident"/>
        <w:spacing w:after="0" w:line="360" w:lineRule="auto"/>
        <w:jc w:val="left"/>
        <w:rPr>
          <w:lang w:val="en-US" w:eastAsia="en-GB"/>
        </w:rPr>
      </w:pPr>
    </w:p>
    <w:p w14:paraId="5ACECD94" w14:textId="77777777" w:rsidR="00BC698E" w:rsidRPr="00A5703F" w:rsidRDefault="00BC698E" w:rsidP="00BC698E">
      <w:pPr>
        <w:pStyle w:val="Textnoident"/>
        <w:spacing w:after="0" w:line="360" w:lineRule="auto"/>
        <w:rPr>
          <w:b/>
          <w:bCs/>
          <w:sz w:val="16"/>
          <w:szCs w:val="16"/>
          <w:lang w:val="en-US" w:eastAsia="en-GB"/>
        </w:rPr>
      </w:pPr>
      <w:r w:rsidRPr="00A5703F">
        <w:rPr>
          <w:b/>
          <w:bCs/>
          <w:sz w:val="16"/>
          <w:szCs w:val="16"/>
          <w:lang w:val="en-US" w:eastAsia="en-GB"/>
        </w:rPr>
        <w:t>Corresponding Author</w:t>
      </w:r>
    </w:p>
    <w:p w14:paraId="4AB194AF" w14:textId="2C001531" w:rsidR="00BC698E" w:rsidRPr="00A5703F" w:rsidRDefault="00A2286B" w:rsidP="00BC698E">
      <w:pPr>
        <w:pStyle w:val="Textnoident"/>
        <w:spacing w:after="0" w:line="360" w:lineRule="auto"/>
        <w:rPr>
          <w:color w:val="0070C0"/>
          <w:sz w:val="16"/>
          <w:szCs w:val="16"/>
          <w:lang w:val="en-US" w:eastAsia="en-GB"/>
        </w:rPr>
      </w:pPr>
      <w:r w:rsidRPr="00A5703F">
        <w:rPr>
          <w:color w:val="0070C0"/>
          <w:sz w:val="16"/>
          <w:szCs w:val="16"/>
          <w:lang w:val="en-US" w:eastAsia="en-GB"/>
        </w:rPr>
        <w:t xml:space="preserve">Dr. med. </w:t>
      </w:r>
      <w:r w:rsidR="00BC698E" w:rsidRPr="00A5703F">
        <w:rPr>
          <w:color w:val="0070C0"/>
          <w:sz w:val="16"/>
          <w:szCs w:val="16"/>
          <w:lang w:val="en-US" w:eastAsia="en-GB"/>
        </w:rPr>
        <w:t>Lukas Frontzkowski</w:t>
      </w:r>
    </w:p>
    <w:p w14:paraId="19A1E953" w14:textId="77777777" w:rsidR="00BC698E" w:rsidRPr="00A5703F" w:rsidRDefault="00BC698E" w:rsidP="00BC698E">
      <w:pPr>
        <w:pStyle w:val="Textnoident"/>
        <w:spacing w:after="0" w:line="360" w:lineRule="auto"/>
        <w:rPr>
          <w:color w:val="0070C0"/>
          <w:sz w:val="16"/>
          <w:szCs w:val="16"/>
          <w:lang w:val="en-US" w:eastAsia="en-GB"/>
        </w:rPr>
      </w:pPr>
      <w:r w:rsidRPr="00A5703F">
        <w:rPr>
          <w:color w:val="0070C0"/>
          <w:sz w:val="16"/>
          <w:szCs w:val="16"/>
          <w:lang w:val="en-US" w:eastAsia="en-GB"/>
        </w:rPr>
        <w:t>Institute for Stroke and Dementia (ISD), University Hospital, LMU Munich</w:t>
      </w:r>
    </w:p>
    <w:p w14:paraId="7380D045" w14:textId="77777777" w:rsidR="00BC698E" w:rsidRPr="00A5703F" w:rsidRDefault="00BC698E" w:rsidP="00BC698E">
      <w:pPr>
        <w:pStyle w:val="Textnoident"/>
        <w:spacing w:after="0" w:line="360" w:lineRule="auto"/>
        <w:rPr>
          <w:color w:val="0070C0"/>
          <w:sz w:val="16"/>
          <w:szCs w:val="16"/>
          <w:lang w:val="en-US" w:eastAsia="en-GB"/>
        </w:rPr>
      </w:pPr>
      <w:r w:rsidRPr="00A5703F">
        <w:rPr>
          <w:color w:val="0070C0"/>
          <w:sz w:val="16"/>
          <w:szCs w:val="16"/>
          <w:lang w:val="en-US" w:eastAsia="en-GB"/>
        </w:rPr>
        <w:t>Marchioninistr. 15, 81377 Munich, Germany</w:t>
      </w:r>
    </w:p>
    <w:p w14:paraId="2F24CF09" w14:textId="49A5ADB0" w:rsidR="00846DE7" w:rsidRPr="00A5703F" w:rsidRDefault="00BC698E" w:rsidP="00BC698E">
      <w:pPr>
        <w:pStyle w:val="Textnoident"/>
        <w:spacing w:after="0" w:line="360" w:lineRule="auto"/>
        <w:rPr>
          <w:color w:val="0070C0"/>
          <w:sz w:val="16"/>
          <w:szCs w:val="16"/>
          <w:lang w:val="en-US"/>
        </w:rPr>
      </w:pPr>
      <w:r w:rsidRPr="00A5703F">
        <w:rPr>
          <w:color w:val="0070C0"/>
          <w:sz w:val="16"/>
          <w:szCs w:val="16"/>
          <w:lang w:val="en-US"/>
        </w:rPr>
        <w:t>lukas.frontzkowski@med.uni-muenchen.de</w:t>
      </w:r>
    </w:p>
    <w:p w14:paraId="2C069789" w14:textId="48A85E08" w:rsidR="00846DE7" w:rsidRPr="00A5703F" w:rsidRDefault="000C3EF7" w:rsidP="00BC698E">
      <w:pPr>
        <w:pStyle w:val="Textnoident"/>
        <w:spacing w:after="0" w:line="360" w:lineRule="auto"/>
        <w:rPr>
          <w:color w:val="0070C0"/>
          <w:sz w:val="16"/>
          <w:szCs w:val="16"/>
          <w:lang w:val="en-US"/>
        </w:rPr>
      </w:pPr>
      <w:r w:rsidRPr="00A5703F">
        <w:rPr>
          <w:color w:val="0070C0"/>
          <w:sz w:val="16"/>
          <w:szCs w:val="16"/>
          <w:lang w:val="en-US"/>
        </w:rPr>
        <w:t>* shared senior author</w:t>
      </w:r>
    </w:p>
    <w:p w14:paraId="7B0FDECA" w14:textId="77777777" w:rsidR="000C3EF7" w:rsidRPr="00A5703F" w:rsidRDefault="000C3EF7" w:rsidP="00BC698E">
      <w:pPr>
        <w:pStyle w:val="Textnoident"/>
        <w:spacing w:after="0" w:line="360" w:lineRule="auto"/>
        <w:rPr>
          <w:color w:val="0070C0"/>
          <w:sz w:val="16"/>
          <w:szCs w:val="16"/>
          <w:lang w:val="en-US"/>
        </w:rPr>
      </w:pPr>
    </w:p>
    <w:p w14:paraId="3CA2D7F4" w14:textId="740514FC" w:rsidR="00846DE7" w:rsidRPr="00A5703F" w:rsidRDefault="00846DE7" w:rsidP="00BC698E">
      <w:pPr>
        <w:pStyle w:val="Textnoident"/>
        <w:spacing w:after="0" w:line="360" w:lineRule="auto"/>
        <w:rPr>
          <w:sz w:val="16"/>
          <w:szCs w:val="16"/>
        </w:rPr>
      </w:pPr>
      <w:r w:rsidRPr="00A5703F">
        <w:rPr>
          <w:rStyle w:val="Strong"/>
          <w:sz w:val="16"/>
          <w:szCs w:val="16"/>
        </w:rPr>
        <w:t>Keywords:</w:t>
      </w:r>
      <w:r w:rsidRPr="00A5703F">
        <w:rPr>
          <w:sz w:val="16"/>
          <w:szCs w:val="16"/>
        </w:rPr>
        <w:t xml:space="preserve"> [¹⁸F]F</w:t>
      </w:r>
      <w:r w:rsidR="00DA4F10" w:rsidRPr="00A5703F">
        <w:rPr>
          <w:sz w:val="16"/>
          <w:szCs w:val="16"/>
        </w:rPr>
        <w:t>-</w:t>
      </w:r>
      <w:r w:rsidRPr="00A5703F">
        <w:rPr>
          <w:sz w:val="16"/>
          <w:szCs w:val="16"/>
        </w:rPr>
        <w:t xml:space="preserve">DED · MAO-B · image-derived input function · IDIF · </w:t>
      </w:r>
      <w:r w:rsidR="00AB436C" w:rsidRPr="00A5703F">
        <w:rPr>
          <w:sz w:val="16"/>
          <w:szCs w:val="16"/>
        </w:rPr>
        <w:t>Patlak</w:t>
      </w:r>
      <w:r w:rsidRPr="00A5703F">
        <w:rPr>
          <w:sz w:val="16"/>
          <w:szCs w:val="16"/>
        </w:rPr>
        <w:t xml:space="preserve"> graphical analysis · PET quantification</w:t>
      </w:r>
    </w:p>
    <w:p w14:paraId="30290A45" w14:textId="1AEDFADF" w:rsidR="00A93BB2" w:rsidRPr="00A5703F" w:rsidRDefault="00846DE7" w:rsidP="00BC698E">
      <w:pPr>
        <w:pStyle w:val="Textnoident"/>
        <w:spacing w:after="0" w:line="360" w:lineRule="auto"/>
        <w:rPr>
          <w:color w:val="0070C0"/>
          <w:sz w:val="16"/>
          <w:szCs w:val="16"/>
          <w:lang w:val="en-US"/>
        </w:rPr>
      </w:pPr>
      <w:r w:rsidRPr="00A5703F">
        <w:rPr>
          <w:b/>
          <w:bCs/>
          <w:sz w:val="16"/>
          <w:szCs w:val="16"/>
        </w:rPr>
        <w:t>Word count</w:t>
      </w:r>
      <w:r w:rsidRPr="00A5703F">
        <w:rPr>
          <w:sz w:val="16"/>
          <w:szCs w:val="16"/>
        </w:rPr>
        <w:t>: -</w:t>
      </w:r>
    </w:p>
    <w:p w14:paraId="7C890568" w14:textId="14B6F149" w:rsidR="00696E28" w:rsidRPr="00470783" w:rsidRDefault="007B7B8F" w:rsidP="00696E28">
      <w:pPr>
        <w:pStyle w:val="Textnoident"/>
        <w:keepNext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322322" wp14:editId="50B4D2AB">
                <wp:simplePos x="0" y="0"/>
                <wp:positionH relativeFrom="column">
                  <wp:posOffset>-47059</wp:posOffset>
                </wp:positionH>
                <wp:positionV relativeFrom="paragraph">
                  <wp:posOffset>2822599</wp:posOffset>
                </wp:positionV>
                <wp:extent cx="5612765" cy="1441450"/>
                <wp:effectExtent l="0" t="0" r="0" b="0"/>
                <wp:wrapSquare wrapText="bothSides"/>
                <wp:docPr id="20267632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2765" cy="1441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EF2540" w14:textId="02F4CC9B" w:rsidR="00D551B4" w:rsidRPr="007B7B8F" w:rsidRDefault="00D551B4" w:rsidP="00D551B4">
                            <w:pPr>
                              <w:pStyle w:val="Caption"/>
                              <w:jc w:val="both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</w:rPr>
                              <w:t xml:space="preserve">Supplementary Figure </w:t>
                            </w:r>
                            <w:r w:rsidRPr="00FA381E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</w:rPr>
                              <w:t>1</w:t>
                            </w:r>
                            <w:r w:rsidR="00FA381E" w:rsidRPr="00FA381E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7B7B8F" w:rsidRPr="007B7B8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(A)</w:t>
                            </w:r>
                            <w:r w:rsidR="007B7B8F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FA381E" w:rsidRPr="00FA381E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High-performance liquid chromatography (HPLC) radio-chromatograms of arterial plasma from a representative subject, acquired at six sampling times after [¹⁸F]F-DED injection (4</w:t>
                            </w:r>
                            <w:r w:rsidR="00240C75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-</w:t>
                            </w:r>
                            <w:r w:rsidR="00FA381E" w:rsidRPr="00FA381E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60 min; colour-coded), with HPLC retention time on the x-axis. The intact parent tracer </w:t>
                            </w:r>
                            <w:r w:rsidR="00900224" w:rsidRPr="00900224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lang w:val="en-US"/>
                              </w:rPr>
                              <w:t>(</w:t>
                            </w:r>
                            <w:r w:rsidR="00900224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lang w:val="en-US"/>
                              </w:rPr>
                              <w:t xml:space="preserve">right peak) </w:t>
                            </w:r>
                            <w:r w:rsidR="00FA381E" w:rsidRPr="00FA381E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elutes at the latest retention time, while three more polar (hydrophilic), presumably non-brain-penetrant radiometabolites </w:t>
                            </w:r>
                            <w:r w:rsidR="00900224" w:rsidRPr="00900224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lang w:val="en-US"/>
                              </w:rPr>
                              <w:t>ar</w:t>
                            </w:r>
                            <w:r w:rsidR="00900224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lang w:val="en-US"/>
                              </w:rPr>
                              <w:t>e present until 60 min p.i.</w:t>
                            </w:r>
                            <w:r w:rsidR="00FA381E" w:rsidRPr="00FA381E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.</w:t>
                            </w:r>
                            <w:r w:rsidR="007B7B8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7B7B8F" w:rsidRPr="007B7B8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</w:rPr>
                              <w:t>(B) 30-60 min standardized-uptake-value (SUV) normalized [</w:t>
                            </w:r>
                            <w:r w:rsidR="007B7B8F" w:rsidRPr="007B7B8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  <w:vertAlign w:val="superscript"/>
                              </w:rPr>
                              <w:t>18</w:t>
                            </w:r>
                            <w:r w:rsidR="007B7B8F" w:rsidRPr="007B7B8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</w:rPr>
                              <w:t>F]F-DED images show no specific binding pattern in a patient with Parkinson’s disease treated with Rasaglinie (MAOB blocker) in the upper row, whereas a specific MAOB binding pattern (highest signal in the caudate nucleus, lowest signal in the cerebellum) is present in a Patient with Parkinson’s disease not receiving any MAOB related treatment. Together with the radiometabolite analysis (A), lacking of a specific binding pattern under MAOB blockade indicates no relevant brain uptake of radiometabolites, in line with their polar profile.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C32232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.7pt;margin-top:222.25pt;width:441.95pt;height:1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" filled="f" stroked="f" strokeweight=".5pt">
                <v:textbox>
                  <w:txbxContent>
                    <w:p w14:paraId="52EF2540" w14:textId="02F4CC9B" w:rsidR="00D551B4" w:rsidRPr="007B7B8F" w:rsidRDefault="00D551B4" w:rsidP="00D551B4">
                      <w:pPr>
                        <w:pStyle w:val="Caption"/>
                        <w:jc w:val="both"/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</w:rPr>
                        <w:t xml:space="preserve">Supplementary Figure </w:t>
                      </w:r>
                      <w:r w:rsidRPr="00FA381E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</w:rPr>
                        <w:t>1</w:t>
                      </w:r>
                      <w:r w:rsidR="00FA381E" w:rsidRPr="00FA381E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</w:rPr>
                        <w:t xml:space="preserve"> </w:t>
                      </w:r>
                      <w:r w:rsidR="007B7B8F" w:rsidRPr="007B7B8F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(A)</w:t>
                      </w:r>
                      <w:r w:rsidR="007B7B8F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</w:rPr>
                        <w:t xml:space="preserve"> </w:t>
                      </w:r>
                      <w:r w:rsidR="00FA381E" w:rsidRPr="00FA381E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High-performance liquid chromatography (HPLC) radio-chromatograms of arterial plasma from a representative subject, acquired at six sampling times after [¹⁸F]F-DED injection (4</w:t>
                      </w:r>
                      <w:r w:rsidR="00240C75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-</w:t>
                      </w:r>
                      <w:r w:rsidR="00FA381E" w:rsidRPr="00FA381E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60 min; colour-coded), with HPLC retention time on the x-axis. The intact parent tracer </w:t>
                      </w:r>
                      <w:r w:rsidR="00900224" w:rsidRPr="00900224">
                        <w:rPr>
                          <w:rFonts w:ascii="Times New Roman" w:hAnsi="Times New Roman" w:cs="Times New Roman"/>
                          <w:i w:val="0"/>
                          <w:iCs w:val="0"/>
                          <w:lang w:val="en-US"/>
                        </w:rPr>
                        <w:t>(</w:t>
                      </w:r>
                      <w:r w:rsidR="00900224">
                        <w:rPr>
                          <w:rFonts w:ascii="Times New Roman" w:hAnsi="Times New Roman" w:cs="Times New Roman"/>
                          <w:i w:val="0"/>
                          <w:iCs w:val="0"/>
                          <w:lang w:val="en-US"/>
                        </w:rPr>
                        <w:t xml:space="preserve">right peak) </w:t>
                      </w:r>
                      <w:r w:rsidR="00FA381E" w:rsidRPr="00FA381E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elutes at the latest retention time, while three more polar (hydrophilic), presumably non-brain-penetrant radiometabolites </w:t>
                      </w:r>
                      <w:r w:rsidR="00900224" w:rsidRPr="00900224">
                        <w:rPr>
                          <w:rFonts w:ascii="Times New Roman" w:hAnsi="Times New Roman" w:cs="Times New Roman"/>
                          <w:i w:val="0"/>
                          <w:iCs w:val="0"/>
                          <w:lang w:val="en-US"/>
                        </w:rPr>
                        <w:t>ar</w:t>
                      </w:r>
                      <w:r w:rsidR="00900224">
                        <w:rPr>
                          <w:rFonts w:ascii="Times New Roman" w:hAnsi="Times New Roman" w:cs="Times New Roman"/>
                          <w:i w:val="0"/>
                          <w:iCs w:val="0"/>
                          <w:lang w:val="en-US"/>
                        </w:rPr>
                        <w:t>e present until 60 min p.i.</w:t>
                      </w:r>
                      <w:r w:rsidR="00FA381E" w:rsidRPr="00FA381E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.</w:t>
                      </w:r>
                      <w:r w:rsidR="007B7B8F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 </w:t>
                      </w:r>
                      <w:r w:rsidR="007B7B8F" w:rsidRPr="007B7B8F"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</w:rPr>
                        <w:t xml:space="preserve">(B) </w:t>
                      </w:r>
                      <w:r w:rsidR="007B7B8F" w:rsidRPr="007B7B8F"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</w:rPr>
                        <w:t>30-60 min standardized-uptake-value (SUV) normalized [</w:t>
                      </w:r>
                      <w:r w:rsidR="007B7B8F" w:rsidRPr="007B7B8F"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  <w:vertAlign w:val="superscript"/>
                        </w:rPr>
                        <w:t>18</w:t>
                      </w:r>
                      <w:r w:rsidR="007B7B8F" w:rsidRPr="007B7B8F"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</w:rPr>
                        <w:t>F]F-DED images show no specific binding pattern in a patient with Parkinson’s disease treated with Rasaglinie (MAOB blocker) in the upper row, whereas a specific MAOB binding pattern (highest signal in the caudate nucleus, lowest signal in the cerebellum) is present in a Patient with Parkinson’s disease not receiving any MAOB related treatment. Together with the radiometabolite analysis (A), lacking of a specific binding pattern under MAOB blockade indicates no relevant brain uptake of radiometabolites, in line with their polar profile.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29718468" wp14:editId="172F7C73">
            <wp:simplePos x="0" y="0"/>
            <wp:positionH relativeFrom="column">
              <wp:posOffset>-46990</wp:posOffset>
            </wp:positionH>
            <wp:positionV relativeFrom="paragraph">
              <wp:posOffset>346710</wp:posOffset>
            </wp:positionV>
            <wp:extent cx="5731510" cy="2475865"/>
            <wp:effectExtent l="0" t="0" r="0" b="635"/>
            <wp:wrapTopAndBottom/>
            <wp:docPr id="18487989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798929" name="Picture 184879892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75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6E28" w:rsidRPr="00470783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 w:rsidR="00696E28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04BD1A73" w14:textId="57F13CEA" w:rsidR="00D551B4" w:rsidRDefault="00D551B4" w:rsidP="00D551B4">
      <w:pPr>
        <w:keepNext/>
      </w:pPr>
    </w:p>
    <w:p w14:paraId="51122F71" w14:textId="60614C52" w:rsidR="00696E28" w:rsidRDefault="00696E28">
      <w:pPr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  <w14:ligatures w14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FE51317" w14:textId="5B985D1D" w:rsidR="00E628AC" w:rsidRPr="00470783" w:rsidRDefault="00470783" w:rsidP="00E628AC">
      <w:pPr>
        <w:pStyle w:val="Textnoident"/>
        <w:keepNext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7078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Supplementary Figure </w:t>
      </w:r>
      <w:r w:rsidR="00696E28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7F3379B1" w14:textId="3A3EE58F" w:rsidR="00470783" w:rsidRDefault="008D08F7" w:rsidP="00E628AC">
      <w:pPr>
        <w:pStyle w:val="Textnoident"/>
        <w:keepNext/>
        <w:spacing w:after="0" w:line="360" w:lineRule="auto"/>
      </w:pPr>
      <w:r w:rsidRPr="00470783">
        <w:rPr>
          <w:noProof/>
        </w:rPr>
        <w:drawing>
          <wp:anchor distT="0" distB="0" distL="114300" distR="114300" simplePos="0" relativeHeight="251659264" behindDoc="0" locked="0" layoutInCell="1" allowOverlap="1" wp14:anchorId="4CCD073D" wp14:editId="36BE09BD">
            <wp:simplePos x="0" y="0"/>
            <wp:positionH relativeFrom="column">
              <wp:posOffset>-205105</wp:posOffset>
            </wp:positionH>
            <wp:positionV relativeFrom="paragraph">
              <wp:posOffset>211455</wp:posOffset>
            </wp:positionV>
            <wp:extent cx="5731510" cy="4076700"/>
            <wp:effectExtent l="0" t="0" r="0" b="0"/>
            <wp:wrapTopAndBottom/>
            <wp:docPr id="1939449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449377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D9BCE5" w14:textId="0714A5B4" w:rsidR="00056C6C" w:rsidRDefault="008D08F7" w:rsidP="00E628AC">
      <w:pPr>
        <w:pStyle w:val="Textnoident"/>
        <w:keepNext/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515704" wp14:editId="172F933F">
                <wp:simplePos x="0" y="0"/>
                <wp:positionH relativeFrom="column">
                  <wp:posOffset>-42421</wp:posOffset>
                </wp:positionH>
                <wp:positionV relativeFrom="paragraph">
                  <wp:posOffset>4339453</wp:posOffset>
                </wp:positionV>
                <wp:extent cx="5612765" cy="1151255"/>
                <wp:effectExtent l="0" t="0" r="0" b="0"/>
                <wp:wrapSquare wrapText="bothSides"/>
                <wp:docPr id="2356468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2765" cy="1151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64303" w14:textId="42CD2286" w:rsidR="008D08F7" w:rsidRPr="00A93C51" w:rsidRDefault="008D08F7" w:rsidP="008D08F7">
                            <w:pPr>
                              <w:pStyle w:val="Caption"/>
                              <w:jc w:val="both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</w:rPr>
                              <w:t xml:space="preserve">Supplementary Figure </w:t>
                            </w:r>
                            <w:r w:rsidR="00696E28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</w:rPr>
                              <w:t>2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: Region-level agreement between IDIF- and AIF-derived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net influx constant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Ki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) estimated by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Patlak modeling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. Each panel plots the regional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Ki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 obtained from the IDIF (y-axis) against the AIF reference (x-axis); each point is one subject and colours denote the eight subjects. Rows correspond to the two regions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-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 basal ganglia (top, A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-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C) and frontal cortex (bottom, D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-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F)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-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 and columns to the three input conditions: uncorrected (A, D), plasma- and metabolite-corrected (B, E), and peak-scaled plus plasma-corrected (C, F). For the uncorrected condition the IDIF and AIF are both unprocessed (raw), whereas the plasma-corrected and peak-scaled conditions use the plasma- and metabolite-corrected AIF as reference. The solid black line is the linear regression across subjects and the dashed line the line of identity; the coefficient of determination (</w:t>
                            </w:r>
                            <w:r w:rsidRPr="005275C5">
                              <w:rPr>
                                <w:rFonts w:ascii="Times New Roman" w:hAnsi="Times New Roman" w:cs="Times New Roman"/>
                              </w:rPr>
                              <w:t>R²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) and regression p-value are inset in each panel.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A515704" id="_x0000_s1027" type="#_x0000_t202" style="position:absolute;left:0;text-align:left;margin-left:-3.35pt;margin-top:341.7pt;width:441.95pt;height:9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" filled="f" stroked="f" strokeweight=".5pt">
                <v:textbox>
                  <w:txbxContent>
                    <w:p w14:paraId="74B64303" w14:textId="42CD2286" w:rsidR="008D08F7" w:rsidRPr="00A93C51" w:rsidRDefault="008D08F7" w:rsidP="008D08F7">
                      <w:pPr>
                        <w:pStyle w:val="Caption"/>
                        <w:jc w:val="both"/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</w:rPr>
                        <w:t xml:space="preserve">Supplementary Figure </w:t>
                      </w:r>
                      <w:r w:rsidR="00696E28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</w:rPr>
                        <w:t>2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: Region-level agreement between IDIF- and AIF-derived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net influx constant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Ki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) estimated by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Patlak modeling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. Each panel plots the regional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Ki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 obtained from the IDIF (y-axis) against the AIF reference (x-axis); each point is one subject and colours denote the eight subjects. Rows correspond to the two regions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-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 basal ganglia (top, A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-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C) and frontal cortex (bottom, D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-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F)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-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 and columns to the three input conditions: uncorrected (A, D), plasma- and metabolite-corrected (B, E), and peak-scaled plus plasma-corrected (C, F). For the uncorrected condition the IDIF and AIF are both unprocessed (raw), whereas the plasma-corrected and peak-scaled conditions use the plasma- and metabolite-corrected AIF as reference. The solid black line is the linear regression across subjects and the dashed line the line of identity; the coefficient of determination (</w:t>
                      </w:r>
                      <w:r w:rsidRPr="005275C5">
                        <w:rPr>
                          <w:rFonts w:ascii="Times New Roman" w:hAnsi="Times New Roman" w:cs="Times New Roman"/>
                        </w:rPr>
                        <w:t>R²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) and regression p-value are inset in each panel.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BBBFFC" w14:textId="1086310E" w:rsidR="00056C6C" w:rsidRDefault="00056C6C" w:rsidP="00E628AC">
      <w:pPr>
        <w:pStyle w:val="Textnoident"/>
        <w:keepNext/>
        <w:spacing w:after="0" w:line="360" w:lineRule="auto"/>
      </w:pPr>
    </w:p>
    <w:p w14:paraId="1641C9C8" w14:textId="57EF0F49" w:rsidR="00056C6C" w:rsidRDefault="00056C6C" w:rsidP="00E628AC">
      <w:pPr>
        <w:pStyle w:val="Textnoident"/>
        <w:keepNext/>
        <w:spacing w:after="0" w:line="360" w:lineRule="auto"/>
      </w:pPr>
    </w:p>
    <w:p w14:paraId="2567B718" w14:textId="614727E8" w:rsidR="00056C6C" w:rsidRDefault="00056C6C" w:rsidP="00E628AC">
      <w:pPr>
        <w:pStyle w:val="Textnoident"/>
        <w:keepNext/>
        <w:spacing w:after="0" w:line="360" w:lineRule="auto"/>
      </w:pPr>
    </w:p>
    <w:p w14:paraId="3E7BBF22" w14:textId="4777ADC5" w:rsidR="00470783" w:rsidRDefault="00470783" w:rsidP="00E628AC">
      <w:pPr>
        <w:pStyle w:val="Textnoident"/>
        <w:keepNext/>
        <w:spacing w:after="0" w:line="360" w:lineRule="auto"/>
      </w:pPr>
    </w:p>
    <w:p w14:paraId="037AEF77" w14:textId="5ABE3946" w:rsidR="00470783" w:rsidRDefault="00470783" w:rsidP="00E628AC">
      <w:pPr>
        <w:pStyle w:val="Textnoident"/>
        <w:keepNext/>
        <w:spacing w:after="0" w:line="360" w:lineRule="auto"/>
      </w:pPr>
    </w:p>
    <w:p w14:paraId="4ABE9391" w14:textId="46C7F2A0" w:rsidR="00470783" w:rsidRDefault="00470783" w:rsidP="00E628AC">
      <w:pPr>
        <w:pStyle w:val="Textnoident"/>
        <w:keepNext/>
        <w:spacing w:after="0" w:line="360" w:lineRule="auto"/>
      </w:pPr>
    </w:p>
    <w:p w14:paraId="272A1021" w14:textId="236B39EE" w:rsidR="00470783" w:rsidRDefault="00470783" w:rsidP="00E628AC">
      <w:pPr>
        <w:pStyle w:val="Textnoident"/>
        <w:keepNext/>
        <w:spacing w:after="0" w:line="360" w:lineRule="auto"/>
      </w:pPr>
    </w:p>
    <w:p w14:paraId="4E1E196B" w14:textId="65DE288D" w:rsidR="00470783" w:rsidRDefault="00470783" w:rsidP="00E628AC">
      <w:pPr>
        <w:pStyle w:val="Textnoident"/>
        <w:keepNext/>
        <w:spacing w:after="0" w:line="360" w:lineRule="auto"/>
      </w:pPr>
    </w:p>
    <w:p w14:paraId="730995A2" w14:textId="22FEA010" w:rsidR="00470783" w:rsidRDefault="00470783" w:rsidP="00E628AC">
      <w:pPr>
        <w:pStyle w:val="Textnoident"/>
        <w:keepNext/>
        <w:spacing w:after="0" w:line="360" w:lineRule="auto"/>
      </w:pPr>
    </w:p>
    <w:p w14:paraId="0D014FBA" w14:textId="06C4E499" w:rsidR="00056C6C" w:rsidRDefault="00056C6C" w:rsidP="00056C6C">
      <w:pPr>
        <w:pStyle w:val="Textnoident"/>
        <w:keepNext/>
        <w:spacing w:after="0" w:line="360" w:lineRule="auto"/>
      </w:pPr>
    </w:p>
    <w:p w14:paraId="5F396ED3" w14:textId="1A02A59B" w:rsidR="00056C6C" w:rsidRPr="00ED2CD2" w:rsidRDefault="008D08F7" w:rsidP="00E628AC">
      <w:pPr>
        <w:pStyle w:val="Textnoident"/>
        <w:keepNext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7078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22F9A61F" wp14:editId="19DB889E">
            <wp:simplePos x="0" y="0"/>
            <wp:positionH relativeFrom="column">
              <wp:posOffset>-314960</wp:posOffset>
            </wp:positionH>
            <wp:positionV relativeFrom="paragraph">
              <wp:posOffset>391160</wp:posOffset>
            </wp:positionV>
            <wp:extent cx="5731510" cy="4111625"/>
            <wp:effectExtent l="0" t="0" r="0" b="3175"/>
            <wp:wrapTopAndBottom/>
            <wp:docPr id="1633175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17502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783" w:rsidRPr="00ED2CD2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 w:rsidR="00696E28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015AB6F2" w14:textId="06C2DEB4" w:rsidR="00470783" w:rsidRDefault="00470783" w:rsidP="00E628AC">
      <w:pPr>
        <w:pStyle w:val="Textnoident"/>
        <w:keepNext/>
        <w:spacing w:after="0" w:line="360" w:lineRule="auto"/>
      </w:pPr>
    </w:p>
    <w:p w14:paraId="1163234F" w14:textId="7027B2DE" w:rsidR="00470783" w:rsidRDefault="008D08F7" w:rsidP="00E628AC">
      <w:pPr>
        <w:pStyle w:val="Textnoident"/>
        <w:keepNext/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05E5B6" wp14:editId="034A42B9">
                <wp:simplePos x="0" y="0"/>
                <wp:positionH relativeFrom="column">
                  <wp:posOffset>0</wp:posOffset>
                </wp:positionH>
                <wp:positionV relativeFrom="paragraph">
                  <wp:posOffset>220980</wp:posOffset>
                </wp:positionV>
                <wp:extent cx="5612765" cy="1151255"/>
                <wp:effectExtent l="0" t="0" r="0" b="0"/>
                <wp:wrapSquare wrapText="bothSides"/>
                <wp:docPr id="17981511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2765" cy="1151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F46086" w14:textId="4AABCFC4" w:rsidR="008D08F7" w:rsidRPr="00A93C51" w:rsidRDefault="008D08F7" w:rsidP="008D08F7">
                            <w:pPr>
                              <w:pStyle w:val="Caption"/>
                              <w:jc w:val="both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</w:rPr>
                              <w:t xml:space="preserve">Supplementary Figure </w:t>
                            </w:r>
                            <w:r w:rsidR="00696E28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</w:rPr>
                              <w:t>3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: Region-level agreement between IDIF- and AIF-derived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total distribution volume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VT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) estimated by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1T2K modeling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. Each panel plots the regional VT obtained from the IDIF (y-axis) against the AIF reference (x-axis); each point is one subject and colours denote the eight subjects. Rows correspond to the two regions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-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 basal ganglia (top, A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-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C) and frontal cortex (bottom, D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-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F)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-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 xml:space="preserve"> and columns to the three input conditions: uncorrected (A, D), plasma- and metabolite-corrected (B, E), and peak-scaled plus plasma-corrected (C, F). For the uncorrected condition the IDIF and AIF are both unprocessed (raw), whereas the plasma-corrected and peak-scaled conditions use the plasma- and metabolite-corrected AIF as reference. The solid black line is the linear regression across subjects and the dashed line the line of identity; the coefficient of determination (</w:t>
                            </w:r>
                            <w:r w:rsidRPr="005275C5">
                              <w:rPr>
                                <w:rFonts w:ascii="Times New Roman" w:hAnsi="Times New Roman" w:cs="Times New Roman"/>
                              </w:rPr>
                              <w:t>R²</w:t>
                            </w:r>
                            <w:r w:rsidRPr="00A93C5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</w:rPr>
                              <w:t>) and regression p-value are inset in each panel.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E05E5B6" id="_x0000_s1028" type="#_x0000_t202" style="position:absolute;left:0;text-align:left;margin-left:0;margin-top:17.4pt;width:441.95pt;height:9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" filled="f" stroked="f" strokeweight=".5pt">
                <v:textbox>
                  <w:txbxContent>
                    <w:p w14:paraId="2EF46086" w14:textId="4AABCFC4" w:rsidR="008D08F7" w:rsidRPr="00A93C51" w:rsidRDefault="008D08F7" w:rsidP="008D08F7">
                      <w:pPr>
                        <w:pStyle w:val="Caption"/>
                        <w:jc w:val="both"/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</w:rPr>
                        <w:t xml:space="preserve">Supplementary Figure </w:t>
                      </w:r>
                      <w:r w:rsidR="00696E28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</w:rPr>
                        <w:t>3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: Region-level agreement between IDIF- and AIF-derived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total distribution volume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VT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) estimated by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1T2K modeling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. Each panel plots the regional VT obtained from the IDIF (y-axis) against the AIF reference (x-axis); each point is one subject and colours denote the eight subjects. Rows correspond to the two regions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-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 basal ganglia (top, A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-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C) and frontal cortex (bottom, D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-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F)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-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 xml:space="preserve"> and columns to the three input conditions: uncorrected (A, D), plasma- and metabolite-corrected (B, E), and peak-scaled plus plasma-corrected (C, F). For the uncorrected condition the IDIF and AIF are both unprocessed (raw), whereas the plasma-corrected and peak-scaled conditions use the plasma- and metabolite-corrected AIF as reference. The solid black line is the linear regression across subjects and the dashed line the line of identity; the coefficient of determination (</w:t>
                      </w:r>
                      <w:r w:rsidRPr="005275C5">
                        <w:rPr>
                          <w:rFonts w:ascii="Times New Roman" w:hAnsi="Times New Roman" w:cs="Times New Roman"/>
                        </w:rPr>
                        <w:t>R²</w:t>
                      </w:r>
                      <w:r w:rsidRPr="00A93C51">
                        <w:rPr>
                          <w:rFonts w:ascii="Times New Roman" w:hAnsi="Times New Roman" w:cs="Times New Roman"/>
                          <w:i w:val="0"/>
                          <w:iCs w:val="0"/>
                        </w:rPr>
                        <w:t>) and regression p-value are inset in each panel.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08D2DF" w14:textId="71056575" w:rsidR="00470783" w:rsidRDefault="00470783" w:rsidP="00E628AC">
      <w:pPr>
        <w:pStyle w:val="Textnoident"/>
        <w:keepNext/>
        <w:spacing w:after="0" w:line="360" w:lineRule="auto"/>
      </w:pPr>
    </w:p>
    <w:p w14:paraId="409D4166" w14:textId="285F1856" w:rsidR="00470783" w:rsidRDefault="00470783" w:rsidP="00E628AC">
      <w:pPr>
        <w:pStyle w:val="Textnoident"/>
        <w:keepNext/>
        <w:spacing w:after="0" w:line="360" w:lineRule="auto"/>
      </w:pPr>
    </w:p>
    <w:p w14:paraId="719CDBDB" w14:textId="77777777" w:rsidR="00470783" w:rsidRDefault="00470783" w:rsidP="00E628AC">
      <w:pPr>
        <w:pStyle w:val="Textnoident"/>
        <w:keepNext/>
        <w:spacing w:after="0" w:line="360" w:lineRule="auto"/>
      </w:pPr>
    </w:p>
    <w:p w14:paraId="2C6D0474" w14:textId="77777777" w:rsidR="00470783" w:rsidRDefault="00470783" w:rsidP="00E628AC">
      <w:pPr>
        <w:pStyle w:val="Textnoident"/>
        <w:keepNext/>
        <w:spacing w:after="0" w:line="360" w:lineRule="auto"/>
      </w:pPr>
    </w:p>
    <w:p w14:paraId="497F38BF" w14:textId="77777777" w:rsidR="00470783" w:rsidRDefault="00470783" w:rsidP="00E628AC">
      <w:pPr>
        <w:pStyle w:val="Textnoident"/>
        <w:keepNext/>
        <w:spacing w:after="0" w:line="360" w:lineRule="auto"/>
      </w:pPr>
    </w:p>
    <w:p w14:paraId="0A5D2F7D" w14:textId="77777777" w:rsidR="00470783" w:rsidRDefault="00470783" w:rsidP="00E628AC">
      <w:pPr>
        <w:pStyle w:val="Textnoident"/>
        <w:keepNext/>
        <w:spacing w:after="0" w:line="360" w:lineRule="auto"/>
      </w:pPr>
    </w:p>
    <w:p w14:paraId="1E7D4224" w14:textId="77777777" w:rsidR="00470783" w:rsidRDefault="00470783" w:rsidP="00E628AC">
      <w:pPr>
        <w:pStyle w:val="Textnoident"/>
        <w:keepNext/>
        <w:spacing w:after="0" w:line="360" w:lineRule="auto"/>
      </w:pPr>
    </w:p>
    <w:p w14:paraId="4AECC583" w14:textId="77777777" w:rsidR="00470783" w:rsidRDefault="00470783" w:rsidP="00E628AC">
      <w:pPr>
        <w:pStyle w:val="Textnoident"/>
        <w:keepNext/>
        <w:spacing w:after="0" w:line="360" w:lineRule="auto"/>
      </w:pPr>
    </w:p>
    <w:p w14:paraId="50BB287F" w14:textId="46D9B180" w:rsidR="00BC698E" w:rsidRPr="00FB3B36" w:rsidRDefault="00833E25" w:rsidP="00FB3B36">
      <w:pPr>
        <w:rPr>
          <w:rFonts w:ascii="Arial" w:hAnsi="Arial" w:cs="Arial"/>
          <w:kern w:val="0"/>
          <w:sz w:val="20"/>
          <w:szCs w:val="20"/>
          <w:lang w:val="en-US"/>
          <w14:ligatures w14:val="none"/>
        </w:rPr>
      </w:pPr>
      <w:r>
        <w:rPr>
          <w:lang w:val="en-US"/>
        </w:rPr>
        <w:br w:type="page"/>
      </w:r>
      <w:bookmarkEnd w:id="0"/>
    </w:p>
    <w:sectPr w:rsidR="00BC698E" w:rsidRPr="00FB3B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66129F"/>
    <w:multiLevelType w:val="hybridMultilevel"/>
    <w:tmpl w:val="42E0F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9000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2e55twv8wwvpde20tl5eavdstprdrx5vdr9&quot;&gt;Endnote_LF&lt;record-ids&gt;&lt;item&gt;68&lt;/item&gt;&lt;item&gt;69&lt;/item&gt;&lt;item&gt;78&lt;/item&gt;&lt;item&gt;80&lt;/item&gt;&lt;item&gt;81&lt;/item&gt;&lt;item&gt;82&lt;/item&gt;&lt;/record-ids&gt;&lt;/item&gt;&lt;/Libraries&gt;"/>
  </w:docVars>
  <w:rsids>
    <w:rsidRoot w:val="00BC698E"/>
    <w:rsid w:val="00005DDF"/>
    <w:rsid w:val="000060EB"/>
    <w:rsid w:val="00020CC0"/>
    <w:rsid w:val="000223A1"/>
    <w:rsid w:val="00024096"/>
    <w:rsid w:val="00024800"/>
    <w:rsid w:val="00025EB3"/>
    <w:rsid w:val="000439EC"/>
    <w:rsid w:val="000448FE"/>
    <w:rsid w:val="00046E94"/>
    <w:rsid w:val="0005635A"/>
    <w:rsid w:val="00056C6C"/>
    <w:rsid w:val="00061FF5"/>
    <w:rsid w:val="00062B15"/>
    <w:rsid w:val="00067FDB"/>
    <w:rsid w:val="0007140B"/>
    <w:rsid w:val="00071B05"/>
    <w:rsid w:val="000722E3"/>
    <w:rsid w:val="0008691A"/>
    <w:rsid w:val="000911BE"/>
    <w:rsid w:val="00092246"/>
    <w:rsid w:val="00096836"/>
    <w:rsid w:val="000A0360"/>
    <w:rsid w:val="000A2E75"/>
    <w:rsid w:val="000A41AC"/>
    <w:rsid w:val="000B44E6"/>
    <w:rsid w:val="000C3EF7"/>
    <w:rsid w:val="000D2AC8"/>
    <w:rsid w:val="000D7E9A"/>
    <w:rsid w:val="000E1D52"/>
    <w:rsid w:val="000F0D51"/>
    <w:rsid w:val="000F3CB6"/>
    <w:rsid w:val="000F618A"/>
    <w:rsid w:val="00101405"/>
    <w:rsid w:val="001040B8"/>
    <w:rsid w:val="00105468"/>
    <w:rsid w:val="00106226"/>
    <w:rsid w:val="001074C1"/>
    <w:rsid w:val="00120FCA"/>
    <w:rsid w:val="001340CD"/>
    <w:rsid w:val="001407B7"/>
    <w:rsid w:val="001428D5"/>
    <w:rsid w:val="00154C72"/>
    <w:rsid w:val="001613DF"/>
    <w:rsid w:val="00170318"/>
    <w:rsid w:val="00174994"/>
    <w:rsid w:val="0017542A"/>
    <w:rsid w:val="001911EC"/>
    <w:rsid w:val="00192918"/>
    <w:rsid w:val="00194D88"/>
    <w:rsid w:val="001A2AE0"/>
    <w:rsid w:val="001A4966"/>
    <w:rsid w:val="001A56CE"/>
    <w:rsid w:val="001C0888"/>
    <w:rsid w:val="001C2590"/>
    <w:rsid w:val="001C5A82"/>
    <w:rsid w:val="001C6606"/>
    <w:rsid w:val="001D4F93"/>
    <w:rsid w:val="001D6496"/>
    <w:rsid w:val="001E2EFC"/>
    <w:rsid w:val="001E7FE4"/>
    <w:rsid w:val="001F14D0"/>
    <w:rsid w:val="001F3185"/>
    <w:rsid w:val="001F534B"/>
    <w:rsid w:val="001F5488"/>
    <w:rsid w:val="00201E72"/>
    <w:rsid w:val="00213282"/>
    <w:rsid w:val="0021328E"/>
    <w:rsid w:val="002139A5"/>
    <w:rsid w:val="00214388"/>
    <w:rsid w:val="002158A2"/>
    <w:rsid w:val="00222185"/>
    <w:rsid w:val="002226B3"/>
    <w:rsid w:val="00222BBE"/>
    <w:rsid w:val="00223DEA"/>
    <w:rsid w:val="00235A9B"/>
    <w:rsid w:val="00240C75"/>
    <w:rsid w:val="0024727E"/>
    <w:rsid w:val="002501DD"/>
    <w:rsid w:val="00254788"/>
    <w:rsid w:val="00257ED7"/>
    <w:rsid w:val="00263934"/>
    <w:rsid w:val="00267F4B"/>
    <w:rsid w:val="00271F8C"/>
    <w:rsid w:val="002736E7"/>
    <w:rsid w:val="002759DE"/>
    <w:rsid w:val="00277D7F"/>
    <w:rsid w:val="00281140"/>
    <w:rsid w:val="0028379E"/>
    <w:rsid w:val="00293F63"/>
    <w:rsid w:val="002954A8"/>
    <w:rsid w:val="00296741"/>
    <w:rsid w:val="002A0A9D"/>
    <w:rsid w:val="002A0CFF"/>
    <w:rsid w:val="002A5981"/>
    <w:rsid w:val="002A65EE"/>
    <w:rsid w:val="002A7419"/>
    <w:rsid w:val="002A7C59"/>
    <w:rsid w:val="002B012A"/>
    <w:rsid w:val="002B14F5"/>
    <w:rsid w:val="002B3103"/>
    <w:rsid w:val="002B31E8"/>
    <w:rsid w:val="002B3E35"/>
    <w:rsid w:val="002B558A"/>
    <w:rsid w:val="002B7B4D"/>
    <w:rsid w:val="002C26BF"/>
    <w:rsid w:val="002C49CA"/>
    <w:rsid w:val="002C4D2B"/>
    <w:rsid w:val="002C5306"/>
    <w:rsid w:val="002D287E"/>
    <w:rsid w:val="002D6474"/>
    <w:rsid w:val="002D6FF3"/>
    <w:rsid w:val="002E2718"/>
    <w:rsid w:val="002F1ACB"/>
    <w:rsid w:val="002F2930"/>
    <w:rsid w:val="00300E8E"/>
    <w:rsid w:val="00301338"/>
    <w:rsid w:val="003062ED"/>
    <w:rsid w:val="00333F2D"/>
    <w:rsid w:val="003411D3"/>
    <w:rsid w:val="00344722"/>
    <w:rsid w:val="00350D11"/>
    <w:rsid w:val="003520A8"/>
    <w:rsid w:val="003531A3"/>
    <w:rsid w:val="003724B9"/>
    <w:rsid w:val="003758AD"/>
    <w:rsid w:val="003768A8"/>
    <w:rsid w:val="0038487D"/>
    <w:rsid w:val="003A6579"/>
    <w:rsid w:val="003A7A4E"/>
    <w:rsid w:val="003B517F"/>
    <w:rsid w:val="003B7744"/>
    <w:rsid w:val="003C0A32"/>
    <w:rsid w:val="003C253B"/>
    <w:rsid w:val="003C7999"/>
    <w:rsid w:val="003D29C1"/>
    <w:rsid w:val="003E3BFC"/>
    <w:rsid w:val="003E6458"/>
    <w:rsid w:val="003E7B80"/>
    <w:rsid w:val="003F4D90"/>
    <w:rsid w:val="003F7BCE"/>
    <w:rsid w:val="004003E6"/>
    <w:rsid w:val="0042079A"/>
    <w:rsid w:val="004218A0"/>
    <w:rsid w:val="00421A3F"/>
    <w:rsid w:val="00425D8C"/>
    <w:rsid w:val="00431A97"/>
    <w:rsid w:val="004358A5"/>
    <w:rsid w:val="00436473"/>
    <w:rsid w:val="004553C9"/>
    <w:rsid w:val="00465B5C"/>
    <w:rsid w:val="00470783"/>
    <w:rsid w:val="00471826"/>
    <w:rsid w:val="00475E08"/>
    <w:rsid w:val="00476D9C"/>
    <w:rsid w:val="00477790"/>
    <w:rsid w:val="00480DF4"/>
    <w:rsid w:val="004825A4"/>
    <w:rsid w:val="004841BE"/>
    <w:rsid w:val="0049085F"/>
    <w:rsid w:val="004A23DB"/>
    <w:rsid w:val="004B064F"/>
    <w:rsid w:val="004B290F"/>
    <w:rsid w:val="004B2AB6"/>
    <w:rsid w:val="004C1799"/>
    <w:rsid w:val="004C2FF4"/>
    <w:rsid w:val="004D5201"/>
    <w:rsid w:val="004D756C"/>
    <w:rsid w:val="004D7590"/>
    <w:rsid w:val="004E07C1"/>
    <w:rsid w:val="004E3ACB"/>
    <w:rsid w:val="004F1855"/>
    <w:rsid w:val="004F4882"/>
    <w:rsid w:val="004F6129"/>
    <w:rsid w:val="00500742"/>
    <w:rsid w:val="0051597E"/>
    <w:rsid w:val="005165F4"/>
    <w:rsid w:val="005203D3"/>
    <w:rsid w:val="00521A55"/>
    <w:rsid w:val="00526EF6"/>
    <w:rsid w:val="00527932"/>
    <w:rsid w:val="0053614B"/>
    <w:rsid w:val="00553021"/>
    <w:rsid w:val="00553570"/>
    <w:rsid w:val="00560C95"/>
    <w:rsid w:val="00562024"/>
    <w:rsid w:val="005620EF"/>
    <w:rsid w:val="00563DD3"/>
    <w:rsid w:val="005668A8"/>
    <w:rsid w:val="00577DB7"/>
    <w:rsid w:val="005811B1"/>
    <w:rsid w:val="00583138"/>
    <w:rsid w:val="00584F60"/>
    <w:rsid w:val="00591644"/>
    <w:rsid w:val="00593B06"/>
    <w:rsid w:val="00594B37"/>
    <w:rsid w:val="00596DDB"/>
    <w:rsid w:val="005A23A5"/>
    <w:rsid w:val="005A6446"/>
    <w:rsid w:val="005A6EF4"/>
    <w:rsid w:val="005A77BE"/>
    <w:rsid w:val="005B0A8F"/>
    <w:rsid w:val="005B5770"/>
    <w:rsid w:val="005C090C"/>
    <w:rsid w:val="005C131F"/>
    <w:rsid w:val="005C3381"/>
    <w:rsid w:val="005C5862"/>
    <w:rsid w:val="005C7109"/>
    <w:rsid w:val="005D266C"/>
    <w:rsid w:val="005D34F6"/>
    <w:rsid w:val="005E12D2"/>
    <w:rsid w:val="005E2110"/>
    <w:rsid w:val="005E77F1"/>
    <w:rsid w:val="005E7DE7"/>
    <w:rsid w:val="005F30AE"/>
    <w:rsid w:val="00603982"/>
    <w:rsid w:val="0060572F"/>
    <w:rsid w:val="00610506"/>
    <w:rsid w:val="006215A8"/>
    <w:rsid w:val="00630870"/>
    <w:rsid w:val="00640608"/>
    <w:rsid w:val="0064219F"/>
    <w:rsid w:val="006423E3"/>
    <w:rsid w:val="0065096C"/>
    <w:rsid w:val="00651AF1"/>
    <w:rsid w:val="00652ACB"/>
    <w:rsid w:val="0066110A"/>
    <w:rsid w:val="00661972"/>
    <w:rsid w:val="00665866"/>
    <w:rsid w:val="0066701B"/>
    <w:rsid w:val="00667CED"/>
    <w:rsid w:val="00674C28"/>
    <w:rsid w:val="00675EB7"/>
    <w:rsid w:val="00681BCC"/>
    <w:rsid w:val="00683367"/>
    <w:rsid w:val="0069572A"/>
    <w:rsid w:val="00696E28"/>
    <w:rsid w:val="006979B2"/>
    <w:rsid w:val="006A0226"/>
    <w:rsid w:val="006A525E"/>
    <w:rsid w:val="006A5529"/>
    <w:rsid w:val="006A6E79"/>
    <w:rsid w:val="006B477B"/>
    <w:rsid w:val="006B5A26"/>
    <w:rsid w:val="006C0658"/>
    <w:rsid w:val="006C51D0"/>
    <w:rsid w:val="006D59C9"/>
    <w:rsid w:val="006E400E"/>
    <w:rsid w:val="006E7B23"/>
    <w:rsid w:val="006F6D05"/>
    <w:rsid w:val="00702FBC"/>
    <w:rsid w:val="0071123D"/>
    <w:rsid w:val="007139E2"/>
    <w:rsid w:val="007144C5"/>
    <w:rsid w:val="007204D7"/>
    <w:rsid w:val="007212FF"/>
    <w:rsid w:val="007251A2"/>
    <w:rsid w:val="0072593E"/>
    <w:rsid w:val="00736D2E"/>
    <w:rsid w:val="00740310"/>
    <w:rsid w:val="00741DC9"/>
    <w:rsid w:val="00744F95"/>
    <w:rsid w:val="00745B90"/>
    <w:rsid w:val="00747C00"/>
    <w:rsid w:val="00747DC7"/>
    <w:rsid w:val="0075285B"/>
    <w:rsid w:val="00753DBD"/>
    <w:rsid w:val="00756362"/>
    <w:rsid w:val="00764A1E"/>
    <w:rsid w:val="0077059E"/>
    <w:rsid w:val="00776017"/>
    <w:rsid w:val="0078725B"/>
    <w:rsid w:val="00794073"/>
    <w:rsid w:val="00796047"/>
    <w:rsid w:val="007B1045"/>
    <w:rsid w:val="007B7B8F"/>
    <w:rsid w:val="007C2235"/>
    <w:rsid w:val="007C50F9"/>
    <w:rsid w:val="007E398C"/>
    <w:rsid w:val="007F0F66"/>
    <w:rsid w:val="007F1F9B"/>
    <w:rsid w:val="007F22DD"/>
    <w:rsid w:val="007F479C"/>
    <w:rsid w:val="0080237B"/>
    <w:rsid w:val="00813C06"/>
    <w:rsid w:val="008228C6"/>
    <w:rsid w:val="0082655F"/>
    <w:rsid w:val="008313D8"/>
    <w:rsid w:val="00833713"/>
    <w:rsid w:val="00833E25"/>
    <w:rsid w:val="0083572A"/>
    <w:rsid w:val="008441A6"/>
    <w:rsid w:val="00845268"/>
    <w:rsid w:val="00846DE7"/>
    <w:rsid w:val="008526C6"/>
    <w:rsid w:val="00856B12"/>
    <w:rsid w:val="00863441"/>
    <w:rsid w:val="00866611"/>
    <w:rsid w:val="008673D4"/>
    <w:rsid w:val="00870D1B"/>
    <w:rsid w:val="008731F8"/>
    <w:rsid w:val="008903D3"/>
    <w:rsid w:val="0089131F"/>
    <w:rsid w:val="00893202"/>
    <w:rsid w:val="00895ED7"/>
    <w:rsid w:val="0089702A"/>
    <w:rsid w:val="008A416E"/>
    <w:rsid w:val="008A4CBC"/>
    <w:rsid w:val="008A7A14"/>
    <w:rsid w:val="008B2695"/>
    <w:rsid w:val="008C5E4E"/>
    <w:rsid w:val="008C5F34"/>
    <w:rsid w:val="008C7133"/>
    <w:rsid w:val="008D08F7"/>
    <w:rsid w:val="008D3271"/>
    <w:rsid w:val="008D50B1"/>
    <w:rsid w:val="008F40BB"/>
    <w:rsid w:val="008F549F"/>
    <w:rsid w:val="00900224"/>
    <w:rsid w:val="00906FFE"/>
    <w:rsid w:val="009075C5"/>
    <w:rsid w:val="00912067"/>
    <w:rsid w:val="00913718"/>
    <w:rsid w:val="00917A71"/>
    <w:rsid w:val="0092282C"/>
    <w:rsid w:val="0092354B"/>
    <w:rsid w:val="009364ED"/>
    <w:rsid w:val="009366FD"/>
    <w:rsid w:val="009410C5"/>
    <w:rsid w:val="00941EC2"/>
    <w:rsid w:val="00944EB8"/>
    <w:rsid w:val="00950D87"/>
    <w:rsid w:val="009532A5"/>
    <w:rsid w:val="0095660B"/>
    <w:rsid w:val="0095719E"/>
    <w:rsid w:val="00967D63"/>
    <w:rsid w:val="00970C9E"/>
    <w:rsid w:val="0097564D"/>
    <w:rsid w:val="00990F79"/>
    <w:rsid w:val="00994114"/>
    <w:rsid w:val="009946F5"/>
    <w:rsid w:val="009A0758"/>
    <w:rsid w:val="009A1E0B"/>
    <w:rsid w:val="009B4A45"/>
    <w:rsid w:val="009C1C01"/>
    <w:rsid w:val="009C662C"/>
    <w:rsid w:val="009D01B7"/>
    <w:rsid w:val="009D0FC3"/>
    <w:rsid w:val="009D33F9"/>
    <w:rsid w:val="009D4A73"/>
    <w:rsid w:val="009E3494"/>
    <w:rsid w:val="009F1576"/>
    <w:rsid w:val="009F4AEB"/>
    <w:rsid w:val="009F7435"/>
    <w:rsid w:val="00A00506"/>
    <w:rsid w:val="00A11C7E"/>
    <w:rsid w:val="00A126A6"/>
    <w:rsid w:val="00A2098F"/>
    <w:rsid w:val="00A2159A"/>
    <w:rsid w:val="00A22251"/>
    <w:rsid w:val="00A2286B"/>
    <w:rsid w:val="00A26499"/>
    <w:rsid w:val="00A26FED"/>
    <w:rsid w:val="00A30BB3"/>
    <w:rsid w:val="00A3750B"/>
    <w:rsid w:val="00A409DE"/>
    <w:rsid w:val="00A41A55"/>
    <w:rsid w:val="00A428CB"/>
    <w:rsid w:val="00A43C4B"/>
    <w:rsid w:val="00A45890"/>
    <w:rsid w:val="00A51997"/>
    <w:rsid w:val="00A5206C"/>
    <w:rsid w:val="00A53A15"/>
    <w:rsid w:val="00A54978"/>
    <w:rsid w:val="00A56FF6"/>
    <w:rsid w:val="00A5703F"/>
    <w:rsid w:val="00A603BD"/>
    <w:rsid w:val="00A71BFA"/>
    <w:rsid w:val="00A84BB5"/>
    <w:rsid w:val="00A90DA7"/>
    <w:rsid w:val="00A93BB2"/>
    <w:rsid w:val="00A95A23"/>
    <w:rsid w:val="00A9659B"/>
    <w:rsid w:val="00AA4F9D"/>
    <w:rsid w:val="00AB3850"/>
    <w:rsid w:val="00AB39AA"/>
    <w:rsid w:val="00AB436C"/>
    <w:rsid w:val="00AC15BE"/>
    <w:rsid w:val="00AD061A"/>
    <w:rsid w:val="00AD0A26"/>
    <w:rsid w:val="00AD18CD"/>
    <w:rsid w:val="00AD3CEE"/>
    <w:rsid w:val="00AD66A7"/>
    <w:rsid w:val="00AD66D6"/>
    <w:rsid w:val="00AD7F9D"/>
    <w:rsid w:val="00AE009C"/>
    <w:rsid w:val="00AE23E5"/>
    <w:rsid w:val="00AE3E1E"/>
    <w:rsid w:val="00AE6215"/>
    <w:rsid w:val="00AE7EF9"/>
    <w:rsid w:val="00AF0D9C"/>
    <w:rsid w:val="00AF6E5A"/>
    <w:rsid w:val="00B0310B"/>
    <w:rsid w:val="00B168DD"/>
    <w:rsid w:val="00B1693E"/>
    <w:rsid w:val="00B16EF6"/>
    <w:rsid w:val="00B42CF8"/>
    <w:rsid w:val="00B432DB"/>
    <w:rsid w:val="00B43ABC"/>
    <w:rsid w:val="00B4450E"/>
    <w:rsid w:val="00B465E8"/>
    <w:rsid w:val="00B6507B"/>
    <w:rsid w:val="00B70A0E"/>
    <w:rsid w:val="00B712A1"/>
    <w:rsid w:val="00B72A17"/>
    <w:rsid w:val="00B80183"/>
    <w:rsid w:val="00B8032B"/>
    <w:rsid w:val="00B825AA"/>
    <w:rsid w:val="00B82F41"/>
    <w:rsid w:val="00B9063B"/>
    <w:rsid w:val="00B917A4"/>
    <w:rsid w:val="00B94B72"/>
    <w:rsid w:val="00B978A4"/>
    <w:rsid w:val="00BB54E6"/>
    <w:rsid w:val="00BC5F09"/>
    <w:rsid w:val="00BC618E"/>
    <w:rsid w:val="00BC698E"/>
    <w:rsid w:val="00BD1B39"/>
    <w:rsid w:val="00BD262D"/>
    <w:rsid w:val="00BD5581"/>
    <w:rsid w:val="00BE0A3E"/>
    <w:rsid w:val="00BE5259"/>
    <w:rsid w:val="00BE6CC1"/>
    <w:rsid w:val="00BF3FB9"/>
    <w:rsid w:val="00C02D0D"/>
    <w:rsid w:val="00C1017B"/>
    <w:rsid w:val="00C13147"/>
    <w:rsid w:val="00C243A3"/>
    <w:rsid w:val="00C334BD"/>
    <w:rsid w:val="00C35AD6"/>
    <w:rsid w:val="00C426EB"/>
    <w:rsid w:val="00C65B46"/>
    <w:rsid w:val="00C837C3"/>
    <w:rsid w:val="00C90200"/>
    <w:rsid w:val="00C93E3F"/>
    <w:rsid w:val="00CA1855"/>
    <w:rsid w:val="00CA2C17"/>
    <w:rsid w:val="00CA37EA"/>
    <w:rsid w:val="00CA6D4F"/>
    <w:rsid w:val="00CB1770"/>
    <w:rsid w:val="00CB2028"/>
    <w:rsid w:val="00CB3356"/>
    <w:rsid w:val="00CB7A74"/>
    <w:rsid w:val="00CC140B"/>
    <w:rsid w:val="00CC5796"/>
    <w:rsid w:val="00CD4B19"/>
    <w:rsid w:val="00CE2C7F"/>
    <w:rsid w:val="00CE30B4"/>
    <w:rsid w:val="00CE4229"/>
    <w:rsid w:val="00CE4A57"/>
    <w:rsid w:val="00CE7CC9"/>
    <w:rsid w:val="00CF7F25"/>
    <w:rsid w:val="00D04465"/>
    <w:rsid w:val="00D10F52"/>
    <w:rsid w:val="00D146B2"/>
    <w:rsid w:val="00D20976"/>
    <w:rsid w:val="00D21114"/>
    <w:rsid w:val="00D22EFC"/>
    <w:rsid w:val="00D26D06"/>
    <w:rsid w:val="00D32A30"/>
    <w:rsid w:val="00D460AF"/>
    <w:rsid w:val="00D46AC7"/>
    <w:rsid w:val="00D551B4"/>
    <w:rsid w:val="00D57CF8"/>
    <w:rsid w:val="00D71D3D"/>
    <w:rsid w:val="00D8460C"/>
    <w:rsid w:val="00D84E4A"/>
    <w:rsid w:val="00DA38E9"/>
    <w:rsid w:val="00DA4F10"/>
    <w:rsid w:val="00DB0518"/>
    <w:rsid w:val="00DB3581"/>
    <w:rsid w:val="00DB4721"/>
    <w:rsid w:val="00DB4E31"/>
    <w:rsid w:val="00DB72F9"/>
    <w:rsid w:val="00DC157B"/>
    <w:rsid w:val="00DC1A63"/>
    <w:rsid w:val="00DC325D"/>
    <w:rsid w:val="00DD3DE6"/>
    <w:rsid w:val="00DD70DB"/>
    <w:rsid w:val="00DD741C"/>
    <w:rsid w:val="00DE1A89"/>
    <w:rsid w:val="00DE3225"/>
    <w:rsid w:val="00DE4401"/>
    <w:rsid w:val="00DE7C5A"/>
    <w:rsid w:val="00DF4E12"/>
    <w:rsid w:val="00E00729"/>
    <w:rsid w:val="00E019C0"/>
    <w:rsid w:val="00E02596"/>
    <w:rsid w:val="00E05097"/>
    <w:rsid w:val="00E05259"/>
    <w:rsid w:val="00E058CA"/>
    <w:rsid w:val="00E06E9E"/>
    <w:rsid w:val="00E22A88"/>
    <w:rsid w:val="00E24AE3"/>
    <w:rsid w:val="00E26B59"/>
    <w:rsid w:val="00E27AB9"/>
    <w:rsid w:val="00E3347E"/>
    <w:rsid w:val="00E35C88"/>
    <w:rsid w:val="00E42423"/>
    <w:rsid w:val="00E43019"/>
    <w:rsid w:val="00E43BC4"/>
    <w:rsid w:val="00E47122"/>
    <w:rsid w:val="00E53A3F"/>
    <w:rsid w:val="00E567B9"/>
    <w:rsid w:val="00E57B81"/>
    <w:rsid w:val="00E628AC"/>
    <w:rsid w:val="00E634F3"/>
    <w:rsid w:val="00E64AB5"/>
    <w:rsid w:val="00E65035"/>
    <w:rsid w:val="00E65A0A"/>
    <w:rsid w:val="00E73C48"/>
    <w:rsid w:val="00E75DAA"/>
    <w:rsid w:val="00E77C74"/>
    <w:rsid w:val="00E83B67"/>
    <w:rsid w:val="00E846A0"/>
    <w:rsid w:val="00E87A86"/>
    <w:rsid w:val="00E933C2"/>
    <w:rsid w:val="00E95F61"/>
    <w:rsid w:val="00E97BDA"/>
    <w:rsid w:val="00EA11A8"/>
    <w:rsid w:val="00EB2AE1"/>
    <w:rsid w:val="00EB49CA"/>
    <w:rsid w:val="00EC28A4"/>
    <w:rsid w:val="00EC4404"/>
    <w:rsid w:val="00EC5BEA"/>
    <w:rsid w:val="00EC60D2"/>
    <w:rsid w:val="00EC7031"/>
    <w:rsid w:val="00ED14E9"/>
    <w:rsid w:val="00ED2CD2"/>
    <w:rsid w:val="00EE0C3D"/>
    <w:rsid w:val="00EE47C7"/>
    <w:rsid w:val="00EF24EA"/>
    <w:rsid w:val="00EF51CA"/>
    <w:rsid w:val="00EF5644"/>
    <w:rsid w:val="00F01DBE"/>
    <w:rsid w:val="00F06D86"/>
    <w:rsid w:val="00F10096"/>
    <w:rsid w:val="00F10A86"/>
    <w:rsid w:val="00F11AB4"/>
    <w:rsid w:val="00F156E0"/>
    <w:rsid w:val="00F15D01"/>
    <w:rsid w:val="00F21355"/>
    <w:rsid w:val="00F2360D"/>
    <w:rsid w:val="00F31165"/>
    <w:rsid w:val="00F31E68"/>
    <w:rsid w:val="00F32BC2"/>
    <w:rsid w:val="00F50429"/>
    <w:rsid w:val="00F523F0"/>
    <w:rsid w:val="00F52B32"/>
    <w:rsid w:val="00F53ED3"/>
    <w:rsid w:val="00F56CE9"/>
    <w:rsid w:val="00F659C0"/>
    <w:rsid w:val="00F765C2"/>
    <w:rsid w:val="00F84F9B"/>
    <w:rsid w:val="00F859AB"/>
    <w:rsid w:val="00F92440"/>
    <w:rsid w:val="00F930D3"/>
    <w:rsid w:val="00FA18EE"/>
    <w:rsid w:val="00FA381E"/>
    <w:rsid w:val="00FA3EF6"/>
    <w:rsid w:val="00FA6079"/>
    <w:rsid w:val="00FA6A72"/>
    <w:rsid w:val="00FB1EFC"/>
    <w:rsid w:val="00FB3B36"/>
    <w:rsid w:val="00FB3E86"/>
    <w:rsid w:val="00FC0107"/>
    <w:rsid w:val="00FC0722"/>
    <w:rsid w:val="00FD561D"/>
    <w:rsid w:val="00FE163F"/>
    <w:rsid w:val="00FE77A4"/>
    <w:rsid w:val="00FF06B4"/>
    <w:rsid w:val="00FF2D3E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F7603C"/>
  <w15:chartTrackingRefBased/>
  <w15:docId w15:val="{F716439F-5EC8-424D-AE43-F379E165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9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6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69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69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9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9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9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9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9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C6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C6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9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9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9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9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9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9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9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9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9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98E"/>
    <w:rPr>
      <w:b/>
      <w:bCs/>
      <w:smallCaps/>
      <w:color w:val="0F4761" w:themeColor="accent1" w:themeShade="BF"/>
      <w:spacing w:val="5"/>
    </w:rPr>
  </w:style>
  <w:style w:type="paragraph" w:customStyle="1" w:styleId="Textnoident">
    <w:name w:val="Text no ident"/>
    <w:basedOn w:val="Normal"/>
    <w:qFormat/>
    <w:rsid w:val="00BC698E"/>
    <w:pPr>
      <w:spacing w:after="160" w:line="480" w:lineRule="auto"/>
      <w:jc w:val="both"/>
    </w:pPr>
    <w:rPr>
      <w:rFonts w:ascii="Arial" w:hAnsi="Arial" w:cs="Arial"/>
      <w:kern w:val="0"/>
      <w:sz w:val="20"/>
      <w:szCs w:val="20"/>
      <w:lang w:val="en-GB"/>
      <w14:ligatures w14:val="none"/>
    </w:rPr>
  </w:style>
  <w:style w:type="paragraph" w:customStyle="1" w:styleId="Titel1">
    <w:name w:val="Titel1"/>
    <w:basedOn w:val="Normal"/>
    <w:link w:val="Titel1Zchn"/>
    <w:qFormat/>
    <w:rsid w:val="00BC698E"/>
    <w:pPr>
      <w:spacing w:before="240" w:line="480" w:lineRule="auto"/>
      <w:jc w:val="both"/>
    </w:pPr>
    <w:rPr>
      <w:rFonts w:ascii="Arial" w:hAnsi="Arial" w:cs="Arial"/>
      <w:b/>
      <w:bCs/>
      <w:kern w:val="0"/>
      <w:sz w:val="28"/>
      <w:szCs w:val="28"/>
      <w:lang w:val="en-GB"/>
      <w14:ligatures w14:val="none"/>
    </w:rPr>
  </w:style>
  <w:style w:type="character" w:customStyle="1" w:styleId="Titel1Zchn">
    <w:name w:val="Titel1 Zchn"/>
    <w:basedOn w:val="DefaultParagraphFont"/>
    <w:link w:val="Titel1"/>
    <w:rsid w:val="00BC698E"/>
    <w:rPr>
      <w:rFonts w:ascii="Arial" w:hAnsi="Arial" w:cs="Arial"/>
      <w:b/>
      <w:bCs/>
      <w:kern w:val="0"/>
      <w:sz w:val="28"/>
      <w:szCs w:val="28"/>
      <w:lang w:val="en-GB"/>
      <w14:ligatures w14:val="none"/>
    </w:rPr>
  </w:style>
  <w:style w:type="paragraph" w:customStyle="1" w:styleId="font-claude-response-body">
    <w:name w:val="font-claude-response-body"/>
    <w:basedOn w:val="Normal"/>
    <w:rsid w:val="00BC698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C698E"/>
    <w:rPr>
      <w:b/>
      <w:bCs/>
    </w:rPr>
  </w:style>
  <w:style w:type="character" w:styleId="Emphasis">
    <w:name w:val="Emphasis"/>
    <w:basedOn w:val="DefaultParagraphFont"/>
    <w:uiPriority w:val="20"/>
    <w:qFormat/>
    <w:rsid w:val="00BC698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BC698E"/>
    <w:pPr>
      <w:spacing w:after="200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9C1C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194D88"/>
    <w:pPr>
      <w:jc w:val="center"/>
    </w:pPr>
    <w:rPr>
      <w:rFonts w:ascii="Aptos" w:hAnsi="Aptos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94D88"/>
    <w:rPr>
      <w:rFonts w:ascii="Aptos" w:hAnsi="Aptos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94D88"/>
    <w:rPr>
      <w:rFonts w:ascii="Aptos" w:hAnsi="Aptos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94D88"/>
    <w:rPr>
      <w:rFonts w:ascii="Aptos" w:hAnsi="Aptos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A3EF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C3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E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E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E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Karl Frontzkowski</dc:creator>
  <cp:keywords/>
  <dc:description/>
  <cp:lastModifiedBy>Lukas Karl Frontzkowski</cp:lastModifiedBy>
  <cp:revision>3</cp:revision>
  <dcterms:created xsi:type="dcterms:W3CDTF">2026-09-07T10:35:00Z</dcterms:created>
  <dcterms:modified xsi:type="dcterms:W3CDTF">2026-09-09T13:55:00Z</dcterms:modified>
</cp:coreProperties>
</file>