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0F3CB" w14:textId="48C35BFF" w:rsidR="00A77E9B" w:rsidRPr="009A154C" w:rsidRDefault="00A77E9B" w:rsidP="00B70FC6">
      <w:pPr>
        <w:spacing w:line="480" w:lineRule="auto"/>
        <w:jc w:val="center"/>
        <w:rPr>
          <w:b/>
          <w:bCs/>
        </w:rPr>
      </w:pPr>
      <w:r w:rsidRPr="009A154C">
        <w:rPr>
          <w:b/>
          <w:bCs/>
        </w:rPr>
        <w:t>Supplementary Materials</w:t>
      </w:r>
    </w:p>
    <w:p w14:paraId="3AE61947" w14:textId="524E5208" w:rsidR="005B416D" w:rsidRPr="002F7863" w:rsidRDefault="005B416D" w:rsidP="00B70FC6">
      <w:pPr>
        <w:spacing w:line="480" w:lineRule="auto"/>
        <w:rPr>
          <w:b/>
          <w:bCs/>
        </w:rPr>
      </w:pPr>
      <w:r w:rsidRPr="002F7863">
        <w:rPr>
          <w:b/>
          <w:bCs/>
        </w:rPr>
        <w:t xml:space="preserve">Sensitivity Analyses </w:t>
      </w:r>
    </w:p>
    <w:p w14:paraId="64ACE132" w14:textId="4D75316F" w:rsidR="002F7863" w:rsidRDefault="00B70FC6" w:rsidP="008C6ABF">
      <w:pPr>
        <w:spacing w:line="480" w:lineRule="auto"/>
        <w:ind w:firstLine="720"/>
      </w:pPr>
      <w:r>
        <w:t>To bolster confidence in our outcomes, we ran a series of additional analyses</w:t>
      </w:r>
      <w:r w:rsidR="006C1F2A">
        <w:t>. These analyses</w:t>
      </w:r>
      <w:r w:rsidR="00E75373">
        <w:t xml:space="preserve"> </w:t>
      </w:r>
      <w:r w:rsidR="00F667C6">
        <w:t>test</w:t>
      </w:r>
      <w:r w:rsidR="006C1F2A">
        <w:t>ed</w:t>
      </w:r>
      <w:r w:rsidR="00E75373">
        <w:t xml:space="preserve"> </w:t>
      </w:r>
      <w:r w:rsidR="008C6ABF">
        <w:t xml:space="preserve">for possible differences due to sample selection, </w:t>
      </w:r>
      <w:r w:rsidR="00A4665E">
        <w:t>for</w:t>
      </w:r>
      <w:r w:rsidR="00E75373">
        <w:t xml:space="preserve"> </w:t>
      </w:r>
      <w:r w:rsidR="00823AF1">
        <w:t>systematic differences in data completeness</w:t>
      </w:r>
      <w:r w:rsidR="00C55552">
        <w:t xml:space="preserve">, and </w:t>
      </w:r>
      <w:r w:rsidR="00A4665E">
        <w:t xml:space="preserve">for </w:t>
      </w:r>
      <w:r w:rsidR="00C55552">
        <w:t xml:space="preserve">possible </w:t>
      </w:r>
      <w:r w:rsidR="001D3897">
        <w:t xml:space="preserve">effects of post-surgery recovery. </w:t>
      </w:r>
      <w:r w:rsidR="00EA569D">
        <w:t xml:space="preserve"> </w:t>
      </w:r>
      <w:r w:rsidR="00C55552">
        <w:t xml:space="preserve"> </w:t>
      </w:r>
      <w:r>
        <w:t xml:space="preserve"> </w:t>
      </w:r>
    </w:p>
    <w:p w14:paraId="0515451F" w14:textId="551C6BB6" w:rsidR="002F7863" w:rsidRPr="002F7863" w:rsidRDefault="002F7863" w:rsidP="002F7863">
      <w:pPr>
        <w:spacing w:line="480" w:lineRule="auto"/>
        <w:rPr>
          <w:b/>
          <w:bCs/>
          <w:i/>
          <w:iCs/>
        </w:rPr>
      </w:pPr>
      <w:r w:rsidRPr="002F7863">
        <w:rPr>
          <w:b/>
          <w:bCs/>
          <w:i/>
          <w:iCs/>
        </w:rPr>
        <w:t>Subgroup Comparison</w:t>
      </w:r>
    </w:p>
    <w:p w14:paraId="28649E53" w14:textId="5C97A0C5" w:rsidR="005B416D" w:rsidRDefault="00904502" w:rsidP="00943788">
      <w:pPr>
        <w:spacing w:line="480" w:lineRule="auto"/>
        <w:ind w:firstLine="720"/>
      </w:pPr>
      <w:r w:rsidRPr="009A154C">
        <w:t>Given the reduction in potential records</w:t>
      </w:r>
      <w:r w:rsidR="009F1FC9">
        <w:t xml:space="preserve"> seen in the </w:t>
      </w:r>
      <w:r w:rsidR="006D3A0D">
        <w:t>selection flow (</w:t>
      </w:r>
      <w:r w:rsidR="009F1FC9">
        <w:t>Figure 1 of the main body</w:t>
      </w:r>
      <w:r w:rsidR="006D3A0D">
        <w:t>)</w:t>
      </w:r>
      <w:r w:rsidRPr="009A154C">
        <w:t xml:space="preserve">, </w:t>
      </w:r>
      <w:r w:rsidR="005B416D" w:rsidRPr="009A154C">
        <w:t xml:space="preserve">we </w:t>
      </w:r>
      <w:r w:rsidR="006D3A0D">
        <w:t xml:space="preserve">first </w:t>
      </w:r>
      <w:r w:rsidR="005B416D" w:rsidRPr="009A154C">
        <w:t>conducted a subgroup comparison</w:t>
      </w:r>
      <w:r w:rsidR="002B34EB">
        <w:t xml:space="preserve"> to ensure </w:t>
      </w:r>
      <w:r w:rsidR="002B34EB" w:rsidRPr="009A154C">
        <w:t xml:space="preserve">that patients missing postoperative scores were not different from </w:t>
      </w:r>
      <w:r w:rsidR="002B34EB">
        <w:t xml:space="preserve">patients </w:t>
      </w:r>
      <w:r w:rsidR="002B34EB" w:rsidRPr="009A154C">
        <w:t>with postoperative scores</w:t>
      </w:r>
      <w:r w:rsidR="002B34EB">
        <w:t xml:space="preserve">. </w:t>
      </w:r>
      <w:r w:rsidR="00BE5E65">
        <w:t xml:space="preserve">To this end, </w:t>
      </w:r>
      <w:r w:rsidR="00973F98">
        <w:t>w</w:t>
      </w:r>
      <w:r w:rsidR="005B416D" w:rsidRPr="009A154C">
        <w:t xml:space="preserve">e compared preoperative pain scores between </w:t>
      </w:r>
      <w:r w:rsidR="003C246A">
        <w:t>patients with and without a postoperative pain score</w:t>
      </w:r>
      <w:r w:rsidR="00973F98">
        <w:t xml:space="preserve"> to test for the possibility that </w:t>
      </w:r>
      <w:r w:rsidR="0089441D">
        <w:t xml:space="preserve">patients without postoperative data </w:t>
      </w:r>
      <w:r w:rsidR="00943788">
        <w:t xml:space="preserve">had worse baseline scores (and therefore, were qualitatively different). </w:t>
      </w:r>
      <w:r w:rsidR="005B416D" w:rsidRPr="009A154C">
        <w:t>Pain scores at preoperative visits did not differ between the group with complete scores (</w:t>
      </w:r>
      <w:r w:rsidR="005B416D" w:rsidRPr="009A154C">
        <w:rPr>
          <w:i/>
          <w:iCs/>
        </w:rPr>
        <w:t>Mean</w:t>
      </w:r>
      <w:r w:rsidR="005B416D" w:rsidRPr="009A154C">
        <w:t xml:space="preserve"> = 7.42) and the group missing their postoperative score (</w:t>
      </w:r>
      <w:r w:rsidR="005B416D" w:rsidRPr="009A154C">
        <w:rPr>
          <w:i/>
          <w:iCs/>
        </w:rPr>
        <w:t>Mean</w:t>
      </w:r>
      <w:r w:rsidR="005B416D" w:rsidRPr="009A154C">
        <w:t xml:space="preserve"> = 7.35), </w:t>
      </w:r>
      <w:proofErr w:type="gramStart"/>
      <w:r w:rsidR="005B416D" w:rsidRPr="009A154C">
        <w:rPr>
          <w:i/>
          <w:iCs/>
        </w:rPr>
        <w:t>t</w:t>
      </w:r>
      <w:r w:rsidR="005B416D" w:rsidRPr="009A154C">
        <w:t>(</w:t>
      </w:r>
      <w:proofErr w:type="gramEnd"/>
      <w:r w:rsidR="005B416D" w:rsidRPr="009A154C">
        <w:t xml:space="preserve">203) = 0.25, </w:t>
      </w:r>
      <w:r w:rsidR="005B416D" w:rsidRPr="009A154C">
        <w:rPr>
          <w:i/>
          <w:iCs/>
        </w:rPr>
        <w:t>P</w:t>
      </w:r>
      <w:r w:rsidR="005B416D" w:rsidRPr="009A154C">
        <w:t xml:space="preserve"> = .81. This supports </w:t>
      </w:r>
      <w:r w:rsidR="005C78FD">
        <w:t xml:space="preserve">our supposition </w:t>
      </w:r>
      <w:r w:rsidR="005B416D" w:rsidRPr="009A154C">
        <w:t xml:space="preserve">that </w:t>
      </w:r>
      <w:r w:rsidR="0025569B">
        <w:t xml:space="preserve">missing data was not due to </w:t>
      </w:r>
      <w:r w:rsidR="005B416D" w:rsidRPr="009A154C">
        <w:t xml:space="preserve">pain severity. </w:t>
      </w:r>
    </w:p>
    <w:p w14:paraId="68FA2542" w14:textId="7BB874D1" w:rsidR="007057BC" w:rsidRPr="00C9525C" w:rsidRDefault="00C9525C" w:rsidP="007057BC">
      <w:pPr>
        <w:spacing w:line="480" w:lineRule="auto"/>
        <w:rPr>
          <w:b/>
          <w:bCs/>
          <w:i/>
          <w:iCs/>
        </w:rPr>
      </w:pPr>
      <w:r w:rsidRPr="00C9525C">
        <w:rPr>
          <w:b/>
          <w:bCs/>
          <w:i/>
          <w:iCs/>
        </w:rPr>
        <w:t>Full versus Complete Cases Analysis</w:t>
      </w:r>
    </w:p>
    <w:p w14:paraId="371A8E59" w14:textId="1B985C9A" w:rsidR="005B416D" w:rsidRDefault="005B416D" w:rsidP="007E04D0">
      <w:pPr>
        <w:spacing w:line="480" w:lineRule="auto"/>
        <w:ind w:firstLine="720"/>
      </w:pPr>
      <w:r w:rsidRPr="009A154C">
        <w:t>Our second series of sensitivity analyses compared the “</w:t>
      </w:r>
      <w:r w:rsidRPr="009A154C">
        <w:rPr>
          <w:i/>
          <w:iCs/>
        </w:rPr>
        <w:t>full</w:t>
      </w:r>
      <w:r w:rsidRPr="009A154C">
        <w:t xml:space="preserve">” data set (i.e., patients with a preoperative </w:t>
      </w:r>
      <w:r w:rsidRPr="009A154C">
        <w:rPr>
          <w:i/>
          <w:iCs/>
        </w:rPr>
        <w:t>or</w:t>
      </w:r>
      <w:r w:rsidRPr="009A154C">
        <w:t xml:space="preserve"> a postoperative score that satisfied all other criteria</w:t>
      </w:r>
      <w:r w:rsidR="00231840">
        <w:t xml:space="preserve">, </w:t>
      </w:r>
      <w:r w:rsidR="00231840" w:rsidRPr="008E7B62">
        <w:rPr>
          <w:i/>
          <w:iCs/>
        </w:rPr>
        <w:t>N</w:t>
      </w:r>
      <w:r w:rsidR="00231840">
        <w:t xml:space="preserve"> = 535</w:t>
      </w:r>
      <w:r w:rsidRPr="009A154C">
        <w:t>) against a smaller data set restricted to only “</w:t>
      </w:r>
      <w:r w:rsidRPr="009A154C">
        <w:rPr>
          <w:i/>
          <w:iCs/>
        </w:rPr>
        <w:t>complete cases</w:t>
      </w:r>
      <w:r w:rsidRPr="009A154C">
        <w:t xml:space="preserve">” (i.e., only patients with both preoperative </w:t>
      </w:r>
      <w:r w:rsidRPr="009A154C">
        <w:rPr>
          <w:i/>
          <w:iCs/>
        </w:rPr>
        <w:t>and</w:t>
      </w:r>
      <w:r w:rsidRPr="009A154C">
        <w:t xml:space="preserve"> postoperative scores</w:t>
      </w:r>
      <w:r w:rsidR="00231840">
        <w:t xml:space="preserve">, </w:t>
      </w:r>
      <w:r w:rsidR="00231840" w:rsidRPr="00231840">
        <w:rPr>
          <w:i/>
          <w:iCs/>
        </w:rPr>
        <w:t>N</w:t>
      </w:r>
      <w:r w:rsidR="00231840">
        <w:t xml:space="preserve"> = 251</w:t>
      </w:r>
      <w:r w:rsidRPr="009A154C">
        <w:t xml:space="preserve">). </w:t>
      </w:r>
      <w:r w:rsidR="0036756A">
        <w:t>A</w:t>
      </w:r>
      <w:r w:rsidRPr="009A154C">
        <w:t>nalyses replicated</w:t>
      </w:r>
      <w:r w:rsidR="0036756A">
        <w:t xml:space="preserve"> </w:t>
      </w:r>
      <w:r w:rsidR="007E04D0">
        <w:t>t</w:t>
      </w:r>
      <w:r w:rsidR="00B83C22">
        <w:t>he t</w:t>
      </w:r>
      <w:r w:rsidR="007E04D0">
        <w:t xml:space="preserve">rends in significance </w:t>
      </w:r>
      <w:r w:rsidR="0036756A">
        <w:t>across all 12 outcomes</w:t>
      </w:r>
      <w:r w:rsidRPr="009A154C">
        <w:t xml:space="preserve">. </w:t>
      </w:r>
      <w:r w:rsidR="0036756A">
        <w:t xml:space="preserve">See Supplementary Table 1, column “No Covariates.” </w:t>
      </w:r>
      <w:r w:rsidR="006545D5">
        <w:t xml:space="preserve">Moving forward, we compared the </w:t>
      </w:r>
      <w:r w:rsidRPr="009A154C">
        <w:t>“</w:t>
      </w:r>
      <w:r w:rsidRPr="009A154C">
        <w:rPr>
          <w:i/>
          <w:iCs/>
        </w:rPr>
        <w:t>full</w:t>
      </w:r>
      <w:r w:rsidRPr="009A154C">
        <w:t>” and “</w:t>
      </w:r>
      <w:r w:rsidRPr="009A154C">
        <w:rPr>
          <w:i/>
          <w:iCs/>
        </w:rPr>
        <w:t>complete cases</w:t>
      </w:r>
      <w:r w:rsidRPr="009A154C">
        <w:t xml:space="preserve">” data sets </w:t>
      </w:r>
      <w:r w:rsidR="006545D5">
        <w:t xml:space="preserve">in all subsequent </w:t>
      </w:r>
      <w:r w:rsidRPr="009A154C">
        <w:t xml:space="preserve">analyses. </w:t>
      </w:r>
    </w:p>
    <w:p w14:paraId="2379C5B6" w14:textId="77777777" w:rsidR="00E75373" w:rsidRPr="009A154C" w:rsidRDefault="00E75373" w:rsidP="00E75373">
      <w:pPr>
        <w:spacing w:line="480" w:lineRule="auto"/>
      </w:pPr>
    </w:p>
    <w:p w14:paraId="491E51DF" w14:textId="35C55BCB" w:rsidR="001D47AF" w:rsidRPr="00374A9D" w:rsidRDefault="0074243F" w:rsidP="00374A9D">
      <w:pPr>
        <w:spacing w:line="480" w:lineRule="auto"/>
        <w:rPr>
          <w:b/>
          <w:bCs/>
          <w:i/>
          <w:iCs/>
        </w:rPr>
      </w:pPr>
      <w:r>
        <w:rPr>
          <w:b/>
          <w:bCs/>
          <w:i/>
          <w:iCs/>
        </w:rPr>
        <w:lastRenderedPageBreak/>
        <w:t>Data</w:t>
      </w:r>
      <w:r w:rsidR="006545D5" w:rsidRPr="00715168">
        <w:rPr>
          <w:b/>
          <w:bCs/>
          <w:i/>
          <w:iCs/>
        </w:rPr>
        <w:t xml:space="preserve"> </w:t>
      </w:r>
      <w:r w:rsidR="00757C85">
        <w:rPr>
          <w:b/>
          <w:bCs/>
          <w:i/>
          <w:iCs/>
        </w:rPr>
        <w:t>Completeness</w:t>
      </w:r>
      <w:r>
        <w:rPr>
          <w:b/>
          <w:bCs/>
          <w:i/>
          <w:iCs/>
        </w:rPr>
        <w:t xml:space="preserve"> Over Time</w:t>
      </w:r>
      <w:r w:rsidR="00715168">
        <w:rPr>
          <w:b/>
          <w:bCs/>
          <w:i/>
          <w:iCs/>
        </w:rPr>
        <w:t xml:space="preserve"> Analysis </w:t>
      </w:r>
    </w:p>
    <w:p w14:paraId="54D8B98F" w14:textId="37CBB996" w:rsidR="001D47AF" w:rsidRDefault="00E34D81" w:rsidP="00F30A3A">
      <w:pPr>
        <w:spacing w:line="480" w:lineRule="auto"/>
        <w:ind w:firstLine="720"/>
      </w:pPr>
      <w:r w:rsidRPr="00E34D81">
        <w:t xml:space="preserve">Our third series of sensitivity analyses was based on operational knowledge that record keeping tended to improve over time. To evaluate whether variation in data completeness introduced systematic bias into our primary findings, we ran a sensitivity analysis using a linear mixed-effects model. </w:t>
      </w:r>
      <w:r w:rsidR="00CE18FA">
        <w:t>Analyses were run on both</w:t>
      </w:r>
      <w:r w:rsidR="00CE18FA" w:rsidRPr="009A154C">
        <w:t xml:space="preserve"> “</w:t>
      </w:r>
      <w:r w:rsidR="00CE18FA" w:rsidRPr="009A154C">
        <w:rPr>
          <w:i/>
          <w:iCs/>
        </w:rPr>
        <w:t>full</w:t>
      </w:r>
      <w:r w:rsidR="00CE18FA" w:rsidRPr="009A154C">
        <w:t>” and “</w:t>
      </w:r>
      <w:r w:rsidR="00CE18FA" w:rsidRPr="009A154C">
        <w:rPr>
          <w:i/>
          <w:iCs/>
        </w:rPr>
        <w:t>complete cases</w:t>
      </w:r>
      <w:r w:rsidR="00CE18FA" w:rsidRPr="009A154C">
        <w:t>” data sets.</w:t>
      </w:r>
      <w:r w:rsidR="00440C89">
        <w:t xml:space="preserve"> </w:t>
      </w:r>
      <w:r w:rsidRPr="00E34D81">
        <w:t>Date of the appointment was added as a fixed effect to the model</w:t>
      </w:r>
      <w:r w:rsidR="00440C89">
        <w:t>s</w:t>
      </w:r>
      <w:r w:rsidR="009E1EA8">
        <w:t xml:space="preserve"> and test</w:t>
      </w:r>
      <w:r w:rsidR="002D78D0">
        <w:t>ed as an interaction term</w:t>
      </w:r>
      <w:r w:rsidRPr="00E34D81">
        <w:t xml:space="preserve">, giving us the following formula: OUTCOME ~ Visit × Date + (1|PID). </w:t>
      </w:r>
      <w:r w:rsidR="005933D8">
        <w:t>(See the “</w:t>
      </w:r>
      <w:r w:rsidR="005933D8" w:rsidRPr="00F30A3A">
        <w:rPr>
          <w:i/>
          <w:iCs/>
        </w:rPr>
        <w:t>Controlling for date of data collection</w:t>
      </w:r>
      <w:r w:rsidR="005933D8">
        <w:t xml:space="preserve">” column of the Supplementary Table 1.) </w:t>
      </w:r>
      <w:r w:rsidR="00F30A3A">
        <w:t xml:space="preserve">Only one analysis was significant. </w:t>
      </w:r>
      <w:r w:rsidRPr="00E34D81">
        <w:t xml:space="preserve">In the </w:t>
      </w:r>
      <w:r w:rsidR="006F1131" w:rsidRPr="009A154C">
        <w:t>“</w:t>
      </w:r>
      <w:r w:rsidR="006F1131" w:rsidRPr="009A154C">
        <w:rPr>
          <w:i/>
          <w:iCs/>
        </w:rPr>
        <w:t>complete cases</w:t>
      </w:r>
      <w:r w:rsidR="006F1131" w:rsidRPr="009A154C">
        <w:t xml:space="preserve">” </w:t>
      </w:r>
      <w:r w:rsidRPr="00E34D81">
        <w:t xml:space="preserve">dataset, there was a statistically significant interaction between the type of visit and the appointment date for NRS pain scores, </w:t>
      </w:r>
      <w:r w:rsidRPr="00E34D81">
        <w:rPr>
          <w:i/>
          <w:iCs/>
        </w:rPr>
        <w:t>β</w:t>
      </w:r>
      <w:r w:rsidRPr="00E34D81">
        <w:t xml:space="preserve"> = -0.44, </w:t>
      </w:r>
      <w:proofErr w:type="gramStart"/>
      <w:r w:rsidRPr="00E34D81">
        <w:rPr>
          <w:i/>
          <w:iCs/>
        </w:rPr>
        <w:t>t</w:t>
      </w:r>
      <w:r w:rsidRPr="00E34D81">
        <w:t>(</w:t>
      </w:r>
      <w:proofErr w:type="gramEnd"/>
      <w:r w:rsidRPr="00E34D81">
        <w:t xml:space="preserve">242.2) = -2.16, </w:t>
      </w:r>
      <w:r w:rsidRPr="00E34D81">
        <w:rPr>
          <w:i/>
          <w:iCs/>
        </w:rPr>
        <w:t>P</w:t>
      </w:r>
      <w:r w:rsidRPr="00E34D81">
        <w:t xml:space="preserve"> = 0.032. Decomposing this interaction revealed that preoperative scores rose over time while postoperative scores remained relatively flat. Postoperative follow-up scores were heavily right-skewed, clustered predominantly around 0. This confirms a distinct floor effect, indicating that excision surgery successfully eliminated or reduced pain for a substantial portion of patients. In other words, because pain cannot go below 0, patients presenting with increasingly higher preoperative pain scores over time were compressed into the 0-1 baseline postoperatively. We interpret this pattern as suggesting a steady referral creep in the baseline severity of our patients</w:t>
      </w:r>
      <w:r w:rsidR="00421A69">
        <w:t xml:space="preserve">, such that our surgeons saw increasingly complex cases over time. </w:t>
      </w:r>
      <w:r w:rsidRPr="00E34D81">
        <w:t>Moreover, this pattern demonstrates that our primary analysis (which did not include appointment date) was a</w:t>
      </w:r>
      <w:r w:rsidR="002C2723">
        <w:t>ctually a</w:t>
      </w:r>
      <w:r w:rsidRPr="00E34D81">
        <w:t xml:space="preserve"> conservative </w:t>
      </w:r>
      <w:r w:rsidR="0087449E">
        <w:t>approach</w:t>
      </w:r>
      <w:r w:rsidRPr="00E34D81">
        <w:t xml:space="preserve"> </w:t>
      </w:r>
      <w:r>
        <w:t xml:space="preserve">and that it underestimated </w:t>
      </w:r>
      <w:r w:rsidR="00214085">
        <w:t xml:space="preserve">the size of the effects. </w:t>
      </w:r>
    </w:p>
    <w:p w14:paraId="28F4578C" w14:textId="2CB11677" w:rsidR="00993846" w:rsidRPr="00C17E5C" w:rsidRDefault="00993846" w:rsidP="00993846">
      <w:pPr>
        <w:spacing w:line="480" w:lineRule="auto"/>
        <w:rPr>
          <w:b/>
          <w:bCs/>
          <w:i/>
          <w:iCs/>
        </w:rPr>
      </w:pPr>
      <w:r w:rsidRPr="00C17E5C">
        <w:rPr>
          <w:b/>
          <w:bCs/>
          <w:i/>
          <w:iCs/>
        </w:rPr>
        <w:t xml:space="preserve">Lag in Postoperative Visits Analysis </w:t>
      </w:r>
    </w:p>
    <w:p w14:paraId="1B981250" w14:textId="0FAE667D" w:rsidR="005B416D" w:rsidRPr="009A154C" w:rsidRDefault="005B416D" w:rsidP="005B578F">
      <w:pPr>
        <w:spacing w:line="480" w:lineRule="auto"/>
        <w:ind w:firstLine="720"/>
      </w:pPr>
      <w:r w:rsidRPr="009A154C">
        <w:t xml:space="preserve">Our fourth and final series of sensitivity analyses probed for differences due to variability in postoperative durations: </w:t>
      </w:r>
      <w:r w:rsidR="003C6B9B">
        <w:t>the median lag in postoperative visits was</w:t>
      </w:r>
      <w:r w:rsidR="003B1C51">
        <w:t xml:space="preserve"> 55 days</w:t>
      </w:r>
      <w:r w:rsidR="007871B1">
        <w:t xml:space="preserve"> </w:t>
      </w:r>
      <w:r w:rsidR="00027B14">
        <w:t>after</w:t>
      </w:r>
      <w:r w:rsidR="00E646DE">
        <w:t xml:space="preserve"> surgery </w:t>
      </w:r>
      <w:r w:rsidR="007871B1">
        <w:t>(</w:t>
      </w:r>
      <w:r w:rsidR="007871B1" w:rsidRPr="00934687">
        <w:rPr>
          <w:i/>
          <w:iCs/>
        </w:rPr>
        <w:t>IQR</w:t>
      </w:r>
      <w:r w:rsidR="00934687">
        <w:t xml:space="preserve"> </w:t>
      </w:r>
      <w:r w:rsidR="00934687">
        <w:lastRenderedPageBreak/>
        <w:t>=</w:t>
      </w:r>
      <w:r w:rsidR="00E747B2">
        <w:t xml:space="preserve"> 46 – 87 days).</w:t>
      </w:r>
      <w:r w:rsidR="003B1C51">
        <w:t xml:space="preserve"> </w:t>
      </w:r>
      <w:r w:rsidRPr="009A154C">
        <w:t>These analyses were done to test for the possibility that improvement in outcomes could be due to post-surgery recovery. The presumption was that if improvements reflect post-surgery recovery, then patients with</w:t>
      </w:r>
      <w:r w:rsidR="00272C92">
        <w:t xml:space="preserve"> even</w:t>
      </w:r>
      <w:r w:rsidRPr="009A154C">
        <w:t xml:space="preserve"> longer lag</w:t>
      </w:r>
      <w:r w:rsidR="00272C92">
        <w:t xml:space="preserve"> times in their postoperative visit</w:t>
      </w:r>
      <w:r w:rsidRPr="009A154C">
        <w:t xml:space="preserve"> would </w:t>
      </w:r>
      <w:r w:rsidR="00272C92">
        <w:t xml:space="preserve">demonstrate </w:t>
      </w:r>
      <w:r w:rsidRPr="009A154C">
        <w:t xml:space="preserve">even greater improvements. To this end, we re-ran analyses </w:t>
      </w:r>
      <w:r w:rsidR="00D037E4">
        <w:t>limiting the data to postoperative visits and using</w:t>
      </w:r>
      <w:r w:rsidRPr="009A154C">
        <w:t xml:space="preserve"> </w:t>
      </w:r>
      <w:r w:rsidR="00A87DB7">
        <w:t>“lag time</w:t>
      </w:r>
      <w:r w:rsidR="000E0AD1">
        <w:t>,</w:t>
      </w:r>
      <w:r w:rsidR="00A87DB7">
        <w:t xml:space="preserve">” </w:t>
      </w:r>
      <w:r w:rsidR="0017514F">
        <w:t xml:space="preserve">a variable </w:t>
      </w:r>
      <w:r w:rsidR="00A87DB7">
        <w:t xml:space="preserve">which calculated the number of days between surgery and </w:t>
      </w:r>
      <w:r w:rsidR="000E0AD1">
        <w:t>postoperative visit</w:t>
      </w:r>
      <w:r w:rsidR="00D037E4">
        <w:t>, as a predictor</w:t>
      </w:r>
      <w:r w:rsidR="000E0AD1">
        <w:t xml:space="preserve">. </w:t>
      </w:r>
      <w:r w:rsidRPr="009A154C">
        <w:t xml:space="preserve">(Note that the initial cut-off of postoperative visits at least 6 weeks post-surgery was still enforced.) </w:t>
      </w:r>
      <w:r w:rsidR="00B17357">
        <w:t xml:space="preserve">Lag time did not significantly predict </w:t>
      </w:r>
      <w:r w:rsidR="005B578F">
        <w:t xml:space="preserve">scores in any of the 12 outcomes. This confirms that </w:t>
      </w:r>
      <w:r w:rsidR="00334986">
        <w:t>patients had largely plateaued</w:t>
      </w:r>
      <w:r w:rsidR="00EC265D">
        <w:t xml:space="preserve"> in their surgical recovery. </w:t>
      </w:r>
      <w:r w:rsidR="00334986">
        <w:t xml:space="preserve">  </w:t>
      </w:r>
    </w:p>
    <w:p w14:paraId="2C30FE13" w14:textId="57709F25" w:rsidR="002D7C8E" w:rsidRDefault="002D7C8E">
      <w:r>
        <w:br w:type="page"/>
      </w:r>
    </w:p>
    <w:p w14:paraId="1CD8CDD5" w14:textId="052890AF" w:rsidR="008D1377" w:rsidRPr="009A154C" w:rsidRDefault="008D1377" w:rsidP="00B70FC6">
      <w:pPr>
        <w:spacing w:line="480" w:lineRule="auto"/>
      </w:pPr>
      <w:r w:rsidRPr="009A154C">
        <w:rPr>
          <w:b/>
          <w:bCs/>
        </w:rPr>
        <w:lastRenderedPageBreak/>
        <w:t>Supplementary Table 1</w:t>
      </w:r>
      <w:r w:rsidRPr="009A154C">
        <w:t xml:space="preserve">. Summary of </w:t>
      </w:r>
      <w:r w:rsidR="00FD78C4" w:rsidRPr="009A154C">
        <w:t xml:space="preserve">Sensitivity Analyses </w:t>
      </w:r>
    </w:p>
    <w:p w14:paraId="335F4F1B" w14:textId="6E7866D4" w:rsidR="008D1377" w:rsidRPr="009A154C" w:rsidRDefault="0058225F" w:rsidP="00B70FC6">
      <w:pPr>
        <w:spacing w:line="480" w:lineRule="auto"/>
      </w:pPr>
      <w:r w:rsidRPr="0058225F">
        <w:rPr>
          <w:noProof/>
        </w:rPr>
        <w:drawing>
          <wp:inline distT="0" distB="0" distL="0" distR="0" wp14:anchorId="1C0DBB18" wp14:editId="3B564F58">
            <wp:extent cx="5943600" cy="2339975"/>
            <wp:effectExtent l="0" t="0" r="0" b="3175"/>
            <wp:docPr id="1445560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60805" name=""/>
                    <pic:cNvPicPr/>
                  </pic:nvPicPr>
                  <pic:blipFill>
                    <a:blip r:embed="rId4"/>
                    <a:stretch>
                      <a:fillRect/>
                    </a:stretch>
                  </pic:blipFill>
                  <pic:spPr>
                    <a:xfrm>
                      <a:off x="0" y="0"/>
                      <a:ext cx="5943600" cy="2339975"/>
                    </a:xfrm>
                    <a:prstGeom prst="rect">
                      <a:avLst/>
                    </a:prstGeom>
                  </pic:spPr>
                </pic:pic>
              </a:graphicData>
            </a:graphic>
          </wp:inline>
        </w:drawing>
      </w:r>
    </w:p>
    <w:p w14:paraId="6C0B73AC" w14:textId="77777777" w:rsidR="009A154C" w:rsidRDefault="009A154C" w:rsidP="00B70FC6">
      <w:pPr>
        <w:spacing w:line="480" w:lineRule="auto"/>
      </w:pPr>
    </w:p>
    <w:p w14:paraId="5DF818D9" w14:textId="52BE2ACB" w:rsidR="00087951" w:rsidRPr="009A154C" w:rsidRDefault="008D1377" w:rsidP="00B70FC6">
      <w:pPr>
        <w:spacing w:line="480" w:lineRule="auto"/>
      </w:pPr>
      <w:r w:rsidRPr="009A154C">
        <w:rPr>
          <w:b/>
          <w:bCs/>
        </w:rPr>
        <w:t>Supplementary Table 1 Caption</w:t>
      </w:r>
      <w:r w:rsidRPr="009A154C">
        <w:t xml:space="preserve">. </w:t>
      </w:r>
      <w:r w:rsidR="00CA42F8" w:rsidRPr="009A154C">
        <w:rPr>
          <w:i/>
          <w:iCs/>
        </w:rPr>
        <w:t>Complete cases</w:t>
      </w:r>
      <w:r w:rsidR="00CA42F8" w:rsidRPr="009A154C">
        <w:t xml:space="preserve"> </w:t>
      </w:r>
      <w:r w:rsidR="00DC06A9" w:rsidRPr="009A154C">
        <w:t>(</w:t>
      </w:r>
      <w:r w:rsidR="004C0388" w:rsidRPr="009A154C">
        <w:rPr>
          <w:i/>
          <w:iCs/>
        </w:rPr>
        <w:t>N</w:t>
      </w:r>
      <w:r w:rsidR="004C0388" w:rsidRPr="009A154C">
        <w:t xml:space="preserve"> = 251) </w:t>
      </w:r>
      <w:r w:rsidR="00CA42F8" w:rsidRPr="009A154C">
        <w:t xml:space="preserve">refers to </w:t>
      </w:r>
      <w:r w:rsidR="004C0388" w:rsidRPr="009A154C">
        <w:t>the</w:t>
      </w:r>
      <w:r w:rsidR="00C315D0" w:rsidRPr="009A154C">
        <w:t xml:space="preserve"> subset of </w:t>
      </w:r>
      <w:r w:rsidR="00AD14D6" w:rsidRPr="009A154C">
        <w:t xml:space="preserve">data </w:t>
      </w:r>
      <w:r w:rsidR="00E43FDD" w:rsidRPr="009A154C">
        <w:t xml:space="preserve">cleaned </w:t>
      </w:r>
      <w:r w:rsidR="00AD14D6" w:rsidRPr="009A154C">
        <w:t>with listwise deletion (i.e.,</w:t>
      </w:r>
      <w:r w:rsidR="00FC4578" w:rsidRPr="009A154C">
        <w:t xml:space="preserve"> it includes only patients with both a preoperative and postoperative score</w:t>
      </w:r>
      <w:r w:rsidR="00E1459F" w:rsidRPr="009A154C">
        <w:t xml:space="preserve"> for said analysis</w:t>
      </w:r>
      <w:r w:rsidR="00FC4578" w:rsidRPr="009A154C">
        <w:t xml:space="preserve">). </w:t>
      </w:r>
      <w:r w:rsidR="00E34132" w:rsidRPr="009A154C">
        <w:rPr>
          <w:i/>
          <w:iCs/>
        </w:rPr>
        <w:t>Full cases</w:t>
      </w:r>
      <w:r w:rsidR="00E34132" w:rsidRPr="009A154C">
        <w:t xml:space="preserve"> (</w:t>
      </w:r>
      <w:r w:rsidR="00E34132" w:rsidRPr="009A154C">
        <w:rPr>
          <w:i/>
          <w:iCs/>
        </w:rPr>
        <w:t>N</w:t>
      </w:r>
      <w:r w:rsidR="00E34132" w:rsidRPr="009A154C">
        <w:t xml:space="preserve"> = 535) refers to the data used in the primary analyses and reported in the main body of the paper (i.e., all patient records, including incomplete records that were missing a preoperative or postoperative score). </w:t>
      </w:r>
      <w:r w:rsidR="00A40317" w:rsidRPr="009A154C">
        <w:t xml:space="preserve">All models utilized mixed-effects, with a fixed effect of visit type (preoperative, postoperative) and a random effect of patient ID. </w:t>
      </w:r>
      <w:r w:rsidR="00A23DC3">
        <w:t>In the “</w:t>
      </w:r>
      <w:r w:rsidR="00A23DC3" w:rsidRPr="00852F18">
        <w:rPr>
          <w:i/>
          <w:iCs/>
        </w:rPr>
        <w:t>No Covariates</w:t>
      </w:r>
      <w:r w:rsidR="00A23DC3">
        <w:t xml:space="preserve">” </w:t>
      </w:r>
      <w:r w:rsidR="006F358A">
        <w:t xml:space="preserve">column, </w:t>
      </w:r>
      <w:r w:rsidR="006F358A" w:rsidRPr="006F358A">
        <w:rPr>
          <w:i/>
          <w:iCs/>
        </w:rPr>
        <w:t>P</w:t>
      </w:r>
      <w:r w:rsidR="006F358A">
        <w:t xml:space="preserve"> values represent the effect of visit time (preoperative to postoperative).</w:t>
      </w:r>
      <w:r w:rsidR="008416E5">
        <w:t xml:space="preserve"> In the “</w:t>
      </w:r>
      <w:r w:rsidR="008416E5" w:rsidRPr="00852F18">
        <w:rPr>
          <w:i/>
          <w:iCs/>
        </w:rPr>
        <w:t>Controlling for date of data collection</w:t>
      </w:r>
      <w:r w:rsidR="008416E5">
        <w:t xml:space="preserve">” column, </w:t>
      </w:r>
      <w:r w:rsidR="008416E5" w:rsidRPr="006F358A">
        <w:rPr>
          <w:i/>
          <w:iCs/>
        </w:rPr>
        <w:t>P</w:t>
      </w:r>
      <w:r w:rsidR="008416E5">
        <w:t xml:space="preserve"> values represent the interaction between date and visit time (preoperative to postoperative).</w:t>
      </w:r>
      <w:r w:rsidR="006F358A">
        <w:t xml:space="preserve"> </w:t>
      </w:r>
      <w:r w:rsidR="00852F18">
        <w:t xml:space="preserve">In the final column, </w:t>
      </w:r>
      <w:r w:rsidR="00852F18" w:rsidRPr="00852F18">
        <w:rPr>
          <w:i/>
          <w:iCs/>
        </w:rPr>
        <w:t>P</w:t>
      </w:r>
      <w:r w:rsidR="00852F18">
        <w:t xml:space="preserve"> values represent the effect of lag time on outcome scores. </w:t>
      </w:r>
      <w:r w:rsidR="00A40317" w:rsidRPr="009A154C">
        <w:t>LME = Linear Mixed-Effect. CLMM = Cumulative Link Mixed-Effect Model. GLMM = Generalized Linear Mixed-Effect Model with logit link function.</w:t>
      </w:r>
      <w:r w:rsidR="00087951" w:rsidRPr="009A154C">
        <w:t xml:space="preserve"> </w:t>
      </w:r>
    </w:p>
    <w:sectPr w:rsidR="00087951" w:rsidRPr="009A15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16D"/>
    <w:rsid w:val="000031DA"/>
    <w:rsid w:val="00013A4A"/>
    <w:rsid w:val="00027B14"/>
    <w:rsid w:val="00083FF7"/>
    <w:rsid w:val="00087951"/>
    <w:rsid w:val="000E0AD1"/>
    <w:rsid w:val="00105A21"/>
    <w:rsid w:val="0011317B"/>
    <w:rsid w:val="00116013"/>
    <w:rsid w:val="001336E1"/>
    <w:rsid w:val="00162688"/>
    <w:rsid w:val="00163686"/>
    <w:rsid w:val="001657D3"/>
    <w:rsid w:val="0016746F"/>
    <w:rsid w:val="0017514F"/>
    <w:rsid w:val="00186F7F"/>
    <w:rsid w:val="001D3897"/>
    <w:rsid w:val="001D47AF"/>
    <w:rsid w:val="001F45CE"/>
    <w:rsid w:val="00214085"/>
    <w:rsid w:val="00226899"/>
    <w:rsid w:val="00231840"/>
    <w:rsid w:val="00253CAD"/>
    <w:rsid w:val="0025569B"/>
    <w:rsid w:val="0025744D"/>
    <w:rsid w:val="00272C92"/>
    <w:rsid w:val="002B34EB"/>
    <w:rsid w:val="002C2723"/>
    <w:rsid w:val="002D78D0"/>
    <w:rsid w:val="002D7C8E"/>
    <w:rsid w:val="002F7863"/>
    <w:rsid w:val="003017E2"/>
    <w:rsid w:val="00334986"/>
    <w:rsid w:val="0036756A"/>
    <w:rsid w:val="00374A9D"/>
    <w:rsid w:val="00391398"/>
    <w:rsid w:val="003B1C51"/>
    <w:rsid w:val="003C246A"/>
    <w:rsid w:val="003C6B9B"/>
    <w:rsid w:val="003F1279"/>
    <w:rsid w:val="00412A85"/>
    <w:rsid w:val="004205DC"/>
    <w:rsid w:val="00421A69"/>
    <w:rsid w:val="00435D07"/>
    <w:rsid w:val="004403BE"/>
    <w:rsid w:val="00440C89"/>
    <w:rsid w:val="00464161"/>
    <w:rsid w:val="004C0388"/>
    <w:rsid w:val="004D50FF"/>
    <w:rsid w:val="004E7A0D"/>
    <w:rsid w:val="00545EC3"/>
    <w:rsid w:val="0058225F"/>
    <w:rsid w:val="005933D8"/>
    <w:rsid w:val="005B416D"/>
    <w:rsid w:val="005B578F"/>
    <w:rsid w:val="005C4B33"/>
    <w:rsid w:val="005C78FD"/>
    <w:rsid w:val="006356DD"/>
    <w:rsid w:val="006545D5"/>
    <w:rsid w:val="006654FE"/>
    <w:rsid w:val="006C1F2A"/>
    <w:rsid w:val="006C7F28"/>
    <w:rsid w:val="006D3A0D"/>
    <w:rsid w:val="006F1131"/>
    <w:rsid w:val="006F2EDC"/>
    <w:rsid w:val="006F358A"/>
    <w:rsid w:val="007057BC"/>
    <w:rsid w:val="007116BF"/>
    <w:rsid w:val="00715168"/>
    <w:rsid w:val="0074243F"/>
    <w:rsid w:val="0074418B"/>
    <w:rsid w:val="007558ED"/>
    <w:rsid w:val="00757C85"/>
    <w:rsid w:val="007871B1"/>
    <w:rsid w:val="007E04D0"/>
    <w:rsid w:val="007E0504"/>
    <w:rsid w:val="007E61B2"/>
    <w:rsid w:val="00823AF1"/>
    <w:rsid w:val="00836D78"/>
    <w:rsid w:val="008416E5"/>
    <w:rsid w:val="00852F18"/>
    <w:rsid w:val="008739F3"/>
    <w:rsid w:val="0087449E"/>
    <w:rsid w:val="00885F58"/>
    <w:rsid w:val="0089171B"/>
    <w:rsid w:val="0089441D"/>
    <w:rsid w:val="008A1295"/>
    <w:rsid w:val="008B1A51"/>
    <w:rsid w:val="008C6ABF"/>
    <w:rsid w:val="008D1377"/>
    <w:rsid w:val="008E7B62"/>
    <w:rsid w:val="008F04DA"/>
    <w:rsid w:val="00904502"/>
    <w:rsid w:val="00925BB0"/>
    <w:rsid w:val="00934687"/>
    <w:rsid w:val="00937538"/>
    <w:rsid w:val="00943788"/>
    <w:rsid w:val="009515E5"/>
    <w:rsid w:val="00951640"/>
    <w:rsid w:val="00960C13"/>
    <w:rsid w:val="00973F98"/>
    <w:rsid w:val="00993846"/>
    <w:rsid w:val="009A154C"/>
    <w:rsid w:val="009C26E1"/>
    <w:rsid w:val="009E1EA8"/>
    <w:rsid w:val="009E2C96"/>
    <w:rsid w:val="009F1FC9"/>
    <w:rsid w:val="00A23DC3"/>
    <w:rsid w:val="00A40317"/>
    <w:rsid w:val="00A4665E"/>
    <w:rsid w:val="00A6255A"/>
    <w:rsid w:val="00A77E9B"/>
    <w:rsid w:val="00A87DB7"/>
    <w:rsid w:val="00A95C4B"/>
    <w:rsid w:val="00AD14D6"/>
    <w:rsid w:val="00B04D5F"/>
    <w:rsid w:val="00B12CC4"/>
    <w:rsid w:val="00B17357"/>
    <w:rsid w:val="00B70FC6"/>
    <w:rsid w:val="00B83C22"/>
    <w:rsid w:val="00B8767B"/>
    <w:rsid w:val="00B960EC"/>
    <w:rsid w:val="00BE5E65"/>
    <w:rsid w:val="00BE74BF"/>
    <w:rsid w:val="00BF05D3"/>
    <w:rsid w:val="00BF4DF5"/>
    <w:rsid w:val="00C17E5C"/>
    <w:rsid w:val="00C2131A"/>
    <w:rsid w:val="00C301DC"/>
    <w:rsid w:val="00C315D0"/>
    <w:rsid w:val="00C4194D"/>
    <w:rsid w:val="00C55552"/>
    <w:rsid w:val="00C733F8"/>
    <w:rsid w:val="00C77C3C"/>
    <w:rsid w:val="00C927F5"/>
    <w:rsid w:val="00C933D9"/>
    <w:rsid w:val="00C948B5"/>
    <w:rsid w:val="00C9525C"/>
    <w:rsid w:val="00CA42F8"/>
    <w:rsid w:val="00CE18FA"/>
    <w:rsid w:val="00D037E4"/>
    <w:rsid w:val="00D20447"/>
    <w:rsid w:val="00D20757"/>
    <w:rsid w:val="00D40758"/>
    <w:rsid w:val="00D43AB5"/>
    <w:rsid w:val="00D754F4"/>
    <w:rsid w:val="00DC06A9"/>
    <w:rsid w:val="00DC3AB6"/>
    <w:rsid w:val="00DD6808"/>
    <w:rsid w:val="00E1459F"/>
    <w:rsid w:val="00E2163C"/>
    <w:rsid w:val="00E22B6C"/>
    <w:rsid w:val="00E34132"/>
    <w:rsid w:val="00E34D81"/>
    <w:rsid w:val="00E34FCE"/>
    <w:rsid w:val="00E43FDD"/>
    <w:rsid w:val="00E646DE"/>
    <w:rsid w:val="00E747B2"/>
    <w:rsid w:val="00E75373"/>
    <w:rsid w:val="00EA569D"/>
    <w:rsid w:val="00EC265D"/>
    <w:rsid w:val="00F21844"/>
    <w:rsid w:val="00F30A3A"/>
    <w:rsid w:val="00F6279F"/>
    <w:rsid w:val="00F667C6"/>
    <w:rsid w:val="00F94CE6"/>
    <w:rsid w:val="00F97C81"/>
    <w:rsid w:val="00FC4578"/>
    <w:rsid w:val="00FD38F1"/>
    <w:rsid w:val="00FD770C"/>
    <w:rsid w:val="00FD78C4"/>
    <w:rsid w:val="00FE2C65"/>
    <w:rsid w:val="00FE6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01F2D"/>
  <w15:chartTrackingRefBased/>
  <w15:docId w15:val="{B05B6BB7-8B75-4C80-BFE8-C0AEAA861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16D"/>
  </w:style>
  <w:style w:type="paragraph" w:styleId="Heading1">
    <w:name w:val="heading 1"/>
    <w:basedOn w:val="Normal"/>
    <w:next w:val="Normal"/>
    <w:link w:val="Heading1Char"/>
    <w:uiPriority w:val="9"/>
    <w:qFormat/>
    <w:rsid w:val="005B41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41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416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416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5B416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5B416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B416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B416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B416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16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416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416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416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5B416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5B416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B416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B416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B416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B41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16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16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16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B416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B416D"/>
    <w:rPr>
      <w:i/>
      <w:iCs/>
      <w:color w:val="404040" w:themeColor="text1" w:themeTint="BF"/>
    </w:rPr>
  </w:style>
  <w:style w:type="paragraph" w:styleId="ListParagraph">
    <w:name w:val="List Paragraph"/>
    <w:basedOn w:val="Normal"/>
    <w:uiPriority w:val="34"/>
    <w:qFormat/>
    <w:rsid w:val="005B416D"/>
    <w:pPr>
      <w:ind w:left="720"/>
      <w:contextualSpacing/>
    </w:pPr>
  </w:style>
  <w:style w:type="character" w:styleId="IntenseEmphasis">
    <w:name w:val="Intense Emphasis"/>
    <w:basedOn w:val="DefaultParagraphFont"/>
    <w:uiPriority w:val="21"/>
    <w:qFormat/>
    <w:rsid w:val="005B416D"/>
    <w:rPr>
      <w:i/>
      <w:iCs/>
      <w:color w:val="0F4761" w:themeColor="accent1" w:themeShade="BF"/>
    </w:rPr>
  </w:style>
  <w:style w:type="paragraph" w:styleId="IntenseQuote">
    <w:name w:val="Intense Quote"/>
    <w:basedOn w:val="Normal"/>
    <w:next w:val="Normal"/>
    <w:link w:val="IntenseQuoteChar"/>
    <w:uiPriority w:val="30"/>
    <w:qFormat/>
    <w:rsid w:val="005B41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416D"/>
    <w:rPr>
      <w:i/>
      <w:iCs/>
      <w:color w:val="0F4761" w:themeColor="accent1" w:themeShade="BF"/>
    </w:rPr>
  </w:style>
  <w:style w:type="character" w:styleId="IntenseReference">
    <w:name w:val="Intense Reference"/>
    <w:basedOn w:val="DefaultParagraphFont"/>
    <w:uiPriority w:val="32"/>
    <w:qFormat/>
    <w:rsid w:val="005B416D"/>
    <w:rPr>
      <w:b/>
      <w:bCs/>
      <w:smallCaps/>
      <w:color w:val="0F4761" w:themeColor="accent1" w:themeShade="BF"/>
      <w:spacing w:val="5"/>
    </w:rPr>
  </w:style>
  <w:style w:type="paragraph" w:styleId="Revision">
    <w:name w:val="Revision"/>
    <w:hidden/>
    <w:uiPriority w:val="99"/>
    <w:semiHidden/>
    <w:rsid w:val="00823A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405</TotalTime>
  <Pages>4</Pages>
  <Words>838</Words>
  <Characters>4780</Characters>
  <Application>Microsoft Office Word</Application>
  <DocSecurity>0</DocSecurity>
  <Lines>39</Lines>
  <Paragraphs>11</Paragraphs>
  <ScaleCrop>false</ScaleCrop>
  <Company/>
  <LinksUpToDate>false</LinksUpToDate>
  <CharactersWithSpaces>5607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Dieciuc</dc:creator>
  <cp:keywords/>
  <dc:description/>
  <cp:lastModifiedBy>Michael Dieciuc</cp:lastModifiedBy>
  <cp:revision>163</cp:revision>
  <dcterms:created xsi:type="dcterms:W3CDTF">2026-08-14T16:25:00Z</dcterms:created>
  <dcterms:modified xsi:type="dcterms:W3CDTF">2026-08-21T14:07:00Z</dcterms:modified>
</cp:coreProperties>
</file>