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DD9BE" w14:textId="77777777" w:rsidR="005E32AE" w:rsidRDefault="005E32AE" w:rsidP="005E32AE">
      <w:pPr>
        <w:pStyle w:val="Heading1"/>
        <w:rPr>
          <w:kern w:val="36"/>
        </w:rPr>
      </w:pPr>
      <w:r>
        <w:t>Supplemental Material</w:t>
      </w:r>
    </w:p>
    <w:p w14:paraId="2ED717FB" w14:textId="77777777" w:rsidR="005E32AE" w:rsidRDefault="005E32AE" w:rsidP="005E32AE">
      <w:pPr>
        <w:rPr>
          <w:kern w:val="2"/>
          <w14:ligatures w14:val="standardContextual"/>
        </w:rPr>
      </w:pPr>
      <w:r>
        <w:rPr>
          <w:b/>
          <w:bCs/>
        </w:rPr>
        <w:t>Supplemental Table S1</w:t>
      </w:r>
      <w:r>
        <w:t xml:space="preserve"> </w:t>
      </w:r>
      <w:r>
        <w:rPr>
          <w:i/>
          <w:iCs/>
        </w:rPr>
        <w:t>Primary and Sensitivity Analyses</w:t>
      </w:r>
    </w:p>
    <w:p w14:paraId="0CBFB661" w14:textId="77777777" w:rsidR="005E32AE" w:rsidRDefault="005E32AE" w:rsidP="005E32AE">
      <w:pPr>
        <w:rPr>
          <w:kern w:val="2"/>
          <w14:ligatures w14:val="standardContextual"/>
        </w:rPr>
      </w:pPr>
      <w:r>
        <w:t>Supplemental Table S1 summarizes the primary perspective-taking analysis and its sensitivity checks. Cohort characteristics, evaluator-pool descriptions, training procedures, and broader KCSA psychometric findings reported by Thompson et al. [8] provide shared study context; total-score outcomes from that earlier analysis are not interchangeable with the perspective-taking estimates reported here.</w:t>
      </w:r>
    </w:p>
    <w:tbl>
      <w:tblPr>
        <w:tblStyle w:val="GridTable4-Accent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1"/>
        <w:gridCol w:w="3832"/>
        <w:gridCol w:w="3423"/>
      </w:tblGrid>
      <w:tr w:rsidR="005E32AE" w14:paraId="7C58C06F" w14:textId="77777777" w:rsidTr="000466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hideMark/>
          </w:tcPr>
          <w:p w14:paraId="31C45193" w14:textId="77777777" w:rsidR="005E32AE" w:rsidRPr="00E37808" w:rsidRDefault="005E32AE" w:rsidP="000466B7">
            <w:pPr>
              <w:rPr>
                <w:color w:val="auto"/>
                <w:kern w:val="2"/>
                <w14:ligatures w14:val="standardContextual"/>
              </w:rPr>
            </w:pPr>
            <w:r w:rsidRPr="00E37808">
              <w:rPr>
                <w:color w:val="auto"/>
              </w:rPr>
              <w:t>Analysis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hideMark/>
          </w:tcPr>
          <w:p w14:paraId="537A3FEE" w14:textId="77777777" w:rsidR="005E32AE" w:rsidRPr="00E37808" w:rsidRDefault="005E32AE" w:rsidP="000466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37808">
              <w:rPr>
                <w:color w:val="auto"/>
              </w:rPr>
              <w:t>Key Findings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hideMark/>
          </w:tcPr>
          <w:p w14:paraId="13F36AE6" w14:textId="77777777" w:rsidR="005E32AE" w:rsidRPr="00E37808" w:rsidRDefault="005E32AE" w:rsidP="000466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37808">
              <w:rPr>
                <w:color w:val="auto"/>
              </w:rPr>
              <w:t>Interpretation</w:t>
            </w:r>
          </w:p>
        </w:tc>
      </w:tr>
      <w:tr w:rsidR="005E32AE" w14:paraId="5A5AF88F" w14:textId="77777777" w:rsidTr="00046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73DB5C14" w14:textId="77777777" w:rsidR="005E32AE" w:rsidRDefault="005E32AE" w:rsidP="000466B7">
            <w:r>
              <w:t>Primary categorical-year fixed-effects model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16871E9" w14:textId="77777777" w:rsidR="005E32AE" w:rsidRDefault="005E32AE" w:rsidP="00046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SP–faculty contrasts: Year 1, −0.612 (95% CI [−0.697, −0.526]); Year 2, −0.405 (95% CI [−0.456, −0.354]); Year 3, −0.219 (95% CI [−0.295, −0.143]). Relative narrowing: Year 2, β = 0.207, p &lt; .001; Year 3, β = 0.393, p &lt; .001.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EE6E138" w14:textId="77777777" w:rsidR="005E32AE" w:rsidRDefault="005E32AE" w:rsidP="00046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 ratings were lower in every year, and the evaluator difference was smaller in later curricular years.</w:t>
            </w:r>
          </w:p>
        </w:tc>
      </w:tr>
      <w:tr w:rsidR="005E32AE" w14:paraId="7D1396E4" w14:textId="77777777" w:rsidTr="000466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FE7045" w14:textId="77777777" w:rsidR="005E32AE" w:rsidRDefault="005E32AE" w:rsidP="000466B7">
            <w:r>
              <w:t>Quadratic-year fixed-effects model</w:t>
            </w:r>
          </w:p>
        </w:tc>
        <w:tc>
          <w:tcPr>
            <w:tcW w:w="0" w:type="auto"/>
            <w:hideMark/>
          </w:tcPr>
          <w:p w14:paraId="3225FD9B" w14:textId="77777777" w:rsidR="005E32AE" w:rsidRDefault="005E32AE" w:rsidP="00046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Evaluator β = −0.841 (95% CI [−1.143, −0.539]); Year β = 0.799, p &lt; .001; Year² β = −0.194, p &lt; .001; evaluator-by-year terms were individually nonsignificant. Within-student R² = 0.169.</w:t>
            </w:r>
          </w:p>
        </w:tc>
        <w:tc>
          <w:tcPr>
            <w:tcW w:w="0" w:type="auto"/>
            <w:hideMark/>
          </w:tcPr>
          <w:p w14:paraId="767EE491" w14:textId="77777777" w:rsidR="005E32AE" w:rsidRDefault="005E32AE" w:rsidP="00046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model supported an evaluator difference and nonlinear curricular-time pattern; the categorical-year model provided the directly interpretable year-specific contrasts.</w:t>
            </w:r>
          </w:p>
        </w:tc>
      </w:tr>
      <w:tr w:rsidR="005E32AE" w14:paraId="3A846A0A" w14:textId="77777777" w:rsidTr="00046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390B1B8" w14:textId="77777777" w:rsidR="005E32AE" w:rsidRDefault="005E32AE" w:rsidP="000466B7">
            <w:r>
              <w:t>Block-adjusted quadratic model</w:t>
            </w:r>
          </w:p>
        </w:tc>
        <w:tc>
          <w:tcPr>
            <w:tcW w:w="0" w:type="auto"/>
            <w:shd w:val="clear" w:color="auto" w:fill="auto"/>
            <w:hideMark/>
          </w:tcPr>
          <w:p w14:paraId="10FEDAA8" w14:textId="77777777" w:rsidR="005E32AE" w:rsidRDefault="005E32AE" w:rsidP="00046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Evaluator β = −1.31 (95% CI [−1.63, −0.99]); SP × Year β = 0.631, p &lt; .001; SP × Year² β = −0.089, p = .019. Within-student R² = 0.235.</w:t>
            </w:r>
          </w:p>
        </w:tc>
        <w:tc>
          <w:tcPr>
            <w:tcW w:w="0" w:type="auto"/>
            <w:shd w:val="clear" w:color="auto" w:fill="auto"/>
            <w:hideMark/>
          </w:tcPr>
          <w:p w14:paraId="1C17076C" w14:textId="77777777" w:rsidR="005E32AE" w:rsidRDefault="005E32AE" w:rsidP="00046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Both interaction terms were significant after block adjustment, demonstrating sensitivity to curricular-context parameterization.</w:t>
            </w:r>
          </w:p>
        </w:tc>
      </w:tr>
      <w:tr w:rsidR="005E32AE" w14:paraId="0B8CE135" w14:textId="77777777" w:rsidTr="000466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E4D721" w14:textId="77777777" w:rsidR="005E32AE" w:rsidRDefault="005E32AE" w:rsidP="000466B7">
            <w:r>
              <w:t>Random-intercept mixed-effects model</w:t>
            </w:r>
          </w:p>
        </w:tc>
        <w:tc>
          <w:tcPr>
            <w:tcW w:w="0" w:type="auto"/>
            <w:hideMark/>
          </w:tcPr>
          <w:p w14:paraId="5A1DCA21" w14:textId="77777777" w:rsidR="005E32AE" w:rsidRDefault="005E32AE" w:rsidP="00046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Point estimates closely matched the quadratic fixed-effects model; evaluator β = −0.841, p &lt; .001; evaluator-by-year terms were nonsignificant. Marginal R² = 0.153; conditional R² = 0.206.</w:t>
            </w:r>
          </w:p>
        </w:tc>
        <w:tc>
          <w:tcPr>
            <w:tcW w:w="0" w:type="auto"/>
            <w:hideMark/>
          </w:tcPr>
          <w:p w14:paraId="43E03638" w14:textId="77777777" w:rsidR="005E32AE" w:rsidRDefault="005E32AE" w:rsidP="00046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Evaluator and time point estimates were robust to the alternative student-level specification.</w:t>
            </w:r>
          </w:p>
        </w:tc>
      </w:tr>
      <w:tr w:rsidR="005E32AE" w14:paraId="7C6357DD" w14:textId="77777777" w:rsidTr="00046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6A86015" w14:textId="77777777" w:rsidR="005E32AE" w:rsidRDefault="005E32AE" w:rsidP="000466B7">
            <w:r>
              <w:t>Complete-case analysis</w:t>
            </w:r>
          </w:p>
        </w:tc>
        <w:tc>
          <w:tcPr>
            <w:tcW w:w="0" w:type="auto"/>
            <w:shd w:val="clear" w:color="auto" w:fill="auto"/>
            <w:hideMark/>
          </w:tcPr>
          <w:p w14:paraId="747AD773" w14:textId="77777777" w:rsidR="005E32AE" w:rsidRDefault="005E32AE" w:rsidP="00046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Evaluator β = −0.791, p &lt; .001; Year β = 0.768, p &lt; .001; Year² β = </w:t>
            </w:r>
            <w:r>
              <w:lastRenderedPageBreak/>
              <w:t>−0.178, p &lt; .001; interaction terms were nonsignificant.</w:t>
            </w:r>
          </w:p>
        </w:tc>
        <w:tc>
          <w:tcPr>
            <w:tcW w:w="0" w:type="auto"/>
            <w:shd w:val="clear" w:color="auto" w:fill="auto"/>
            <w:hideMark/>
          </w:tcPr>
          <w:p w14:paraId="27A83E1B" w14:textId="77777777" w:rsidR="005E32AE" w:rsidRDefault="005E32AE" w:rsidP="00046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Polynomial-model findings were broadly consistent without imputation.</w:t>
            </w:r>
          </w:p>
        </w:tc>
      </w:tr>
      <w:tr w:rsidR="005E32AE" w14:paraId="0C3DB597" w14:textId="77777777" w:rsidTr="000466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2EB31F" w14:textId="77777777" w:rsidR="005E32AE" w:rsidRDefault="005E32AE" w:rsidP="000466B7">
            <w:r>
              <w:t>Scenario-count-adjusted model</w:t>
            </w:r>
          </w:p>
        </w:tc>
        <w:tc>
          <w:tcPr>
            <w:tcW w:w="0" w:type="auto"/>
            <w:hideMark/>
          </w:tcPr>
          <w:p w14:paraId="3C9A6D3A" w14:textId="77777777" w:rsidR="005E32AE" w:rsidRDefault="005E32AE" w:rsidP="00046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Number of scenarios β = 0.250, p &lt; .001; evaluator β = −1.11, p &lt; .001; SP × Year β = 0.514, p = .001; SP × Year² β = −0.080, p = .037.</w:t>
            </w:r>
          </w:p>
        </w:tc>
        <w:tc>
          <w:tcPr>
            <w:tcW w:w="0" w:type="auto"/>
            <w:hideMark/>
          </w:tcPr>
          <w:p w14:paraId="0B5D100F" w14:textId="77777777" w:rsidR="005E32AE" w:rsidRDefault="005E32AE" w:rsidP="00046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number of contributing scenarios materially influenced the estimated evaluator-by-time pattern.</w:t>
            </w:r>
          </w:p>
        </w:tc>
      </w:tr>
      <w:tr w:rsidR="005E32AE" w14:paraId="68780DA7" w14:textId="77777777" w:rsidTr="00046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66C26CA" w14:textId="77777777" w:rsidR="005E32AE" w:rsidRDefault="005E32AE" w:rsidP="000466B7">
            <w:r>
              <w:t>Linear-year model</w:t>
            </w:r>
          </w:p>
        </w:tc>
        <w:tc>
          <w:tcPr>
            <w:tcW w:w="0" w:type="auto"/>
            <w:shd w:val="clear" w:color="auto" w:fill="auto"/>
            <w:hideMark/>
          </w:tcPr>
          <w:p w14:paraId="6E18F16A" w14:textId="77777777" w:rsidR="005E32AE" w:rsidRDefault="005E32AE" w:rsidP="00046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Evaluator β = −0.828, p &lt; .001; Year β = 0.022, p = .371; SP × Year β = 0.205, p &lt; .001.</w:t>
            </w:r>
          </w:p>
        </w:tc>
        <w:tc>
          <w:tcPr>
            <w:tcW w:w="0" w:type="auto"/>
            <w:shd w:val="clear" w:color="auto" w:fill="auto"/>
            <w:hideMark/>
          </w:tcPr>
          <w:p w14:paraId="4DF26E23" w14:textId="77777777" w:rsidR="005E32AE" w:rsidRDefault="005E32AE" w:rsidP="00046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Supported a linear reduction in the evaluator difference without an overall linear year effect.</w:t>
            </w:r>
          </w:p>
        </w:tc>
      </w:tr>
      <w:tr w:rsidR="005E32AE" w14:paraId="51693A33" w14:textId="77777777" w:rsidTr="000466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hideMark/>
          </w:tcPr>
          <w:p w14:paraId="60B0B0CF" w14:textId="77777777" w:rsidR="005E32AE" w:rsidRDefault="005E32AE" w:rsidP="000466B7">
            <w:r>
              <w:t>Leave-one-block-out analyses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57BD9AD" w14:textId="77777777" w:rsidR="005E32AE" w:rsidRDefault="005E32AE" w:rsidP="00046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Evaluator coefficients ranged from −1.31 to −0.18, and evaluator-by-time estimates varied in magnitude, direction, and statistical significance across omitted-block models.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B5AB1F1" w14:textId="77777777" w:rsidR="005E32AE" w:rsidRDefault="005E32AE" w:rsidP="00046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Estimates were sensitive to block composition; the evaluator difference was not statistically stable across all omitted-block models.</w:t>
            </w:r>
          </w:p>
        </w:tc>
      </w:tr>
    </w:tbl>
    <w:p w14:paraId="4CEA9396" w14:textId="77777777" w:rsidR="005E32AE" w:rsidRDefault="005E32AE" w:rsidP="005E32AE">
      <w:pPr>
        <w:rPr>
          <w:kern w:val="2"/>
          <w14:ligatures w14:val="standardContextual"/>
        </w:rPr>
      </w:pPr>
      <w:r>
        <w:rPr>
          <w:i/>
          <w:iCs/>
        </w:rPr>
        <w:t>Note.</w:t>
      </w:r>
      <w:r>
        <w:t xml:space="preserve"> β = regression coefficient; CI = confidence interval; R² = coefficient of determination; SP = standardized patient.</w:t>
      </w:r>
    </w:p>
    <w:p w14:paraId="04609B1B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E"/>
    <w:rsid w:val="001D3053"/>
    <w:rsid w:val="001E3A92"/>
    <w:rsid w:val="00217E67"/>
    <w:rsid w:val="002C7D54"/>
    <w:rsid w:val="0033371E"/>
    <w:rsid w:val="005C0D39"/>
    <w:rsid w:val="005E32AE"/>
    <w:rsid w:val="0070406C"/>
    <w:rsid w:val="00724754"/>
    <w:rsid w:val="007B36B1"/>
    <w:rsid w:val="00865714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E2DC2"/>
  <w15:chartTrackingRefBased/>
  <w15:docId w15:val="{42B49B54-0A7D-4092-AF9C-DA6A79DD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2AE"/>
    <w:pPr>
      <w:spacing w:before="120" w:after="12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32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2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2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2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2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2A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2A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2AE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2AE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2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2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2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2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2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2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2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2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2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2A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32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2AE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3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2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32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2AE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32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2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2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2AE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5E32AE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2026-10-01T10:23:00Z</dcterms:created>
  <dcterms:modified xsi:type="dcterms:W3CDTF">2026-10-01T10:23:00Z</dcterms:modified>
</cp:coreProperties>
</file>