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9750C" w14:textId="77777777" w:rsidR="0027263A" w:rsidRPr="006C16AD" w:rsidRDefault="0027263A" w:rsidP="0027263A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 w:rsidRPr="006C16AD">
        <w:rPr>
          <w:rFonts w:ascii="Times New Roman" w:hAnsi="Times New Roman" w:cs="Times New Roman"/>
          <w:color w:val="auto"/>
          <w:sz w:val="24"/>
          <w:szCs w:val="24"/>
        </w:rPr>
        <w:t>Supplementary material</w:t>
      </w:r>
    </w:p>
    <w:p w14:paraId="32CC1ECF" w14:textId="77777777" w:rsidR="0027263A" w:rsidRPr="006C16AD" w:rsidRDefault="0027263A" w:rsidP="0027263A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6C16AD">
        <w:rPr>
          <w:rFonts w:ascii="Times New Roman" w:hAnsi="Times New Roman" w:cs="Times New Roman"/>
          <w:color w:val="auto"/>
          <w:sz w:val="24"/>
          <w:szCs w:val="24"/>
        </w:rPr>
        <w:t>The supplementary figures, tables and methods supplied with this study are summarized in Table 3.</w:t>
      </w:r>
    </w:p>
    <w:p w14:paraId="5BC6AFAF" w14:textId="77777777" w:rsidR="0027263A" w:rsidRPr="006C16AD" w:rsidRDefault="0027263A" w:rsidP="0027263A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6C16AD">
        <w:rPr>
          <w:rFonts w:ascii="Times New Roman" w:hAnsi="Times New Roman" w:cs="Times New Roman"/>
          <w:b/>
          <w:color w:val="auto"/>
          <w:sz w:val="24"/>
          <w:szCs w:val="24"/>
        </w:rPr>
        <w:t>Table 3. Supplementary material accompanying this study.</w:t>
      </w:r>
    </w:p>
    <w:tbl>
      <w:tblPr>
        <w:tblStyle w:val="TableGrid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2100"/>
        <w:gridCol w:w="7260"/>
      </w:tblGrid>
      <w:tr w:rsidR="0027263A" w:rsidRPr="006C16AD" w14:paraId="1E479B02" w14:textId="77777777" w:rsidTr="00E60425">
        <w:trPr>
          <w:cantSplit/>
          <w:tblHeader/>
          <w:jc w:val="center"/>
        </w:trPr>
        <w:tc>
          <w:tcPr>
            <w:tcW w:w="2100" w:type="dxa"/>
            <w:shd w:val="clear" w:color="auto" w:fill="EEF3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4EA729" w14:textId="77777777" w:rsidR="0027263A" w:rsidRPr="006C16AD" w:rsidRDefault="0027263A" w:rsidP="00E604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16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Item</w:t>
            </w:r>
          </w:p>
        </w:tc>
        <w:tc>
          <w:tcPr>
            <w:tcW w:w="7260" w:type="dxa"/>
            <w:shd w:val="clear" w:color="auto" w:fill="EEF3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6FC0E4" w14:textId="77777777" w:rsidR="0027263A" w:rsidRPr="006C16AD" w:rsidRDefault="0027263A" w:rsidP="00E604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16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Content</w:t>
            </w:r>
          </w:p>
        </w:tc>
      </w:tr>
      <w:tr w:rsidR="0027263A" w:rsidRPr="006C16AD" w14:paraId="726C7A33" w14:textId="77777777" w:rsidTr="00E60425">
        <w:trPr>
          <w:cantSplit/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126DB3" w14:textId="77777777" w:rsidR="0027263A" w:rsidRPr="006C16AD" w:rsidRDefault="0027263A" w:rsidP="00E604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16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Supplementary Figure S1</w:t>
            </w:r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073AEE" w14:textId="77777777" w:rsidR="0027263A" w:rsidRPr="006C16AD" w:rsidRDefault="0027263A" w:rsidP="00E604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16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Human and mouse tau-bin counts and peak-expression summaries.</w:t>
            </w:r>
          </w:p>
        </w:tc>
      </w:tr>
      <w:tr w:rsidR="0027263A" w:rsidRPr="006C16AD" w14:paraId="1068B6F1" w14:textId="77777777" w:rsidTr="00E60425">
        <w:trPr>
          <w:cantSplit/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98EA24" w14:textId="77777777" w:rsidR="0027263A" w:rsidRPr="006C16AD" w:rsidRDefault="0027263A" w:rsidP="00E604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16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Supplementary Figure S2</w:t>
            </w:r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5B4B68" w14:textId="77777777" w:rsidR="0027263A" w:rsidRPr="006C16AD" w:rsidRDefault="0027263A" w:rsidP="00E604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16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Top- and bottom-decile correlation distributions for promoters and gene bodies.</w:t>
            </w:r>
          </w:p>
        </w:tc>
      </w:tr>
      <w:tr w:rsidR="0027263A" w:rsidRPr="006C16AD" w14:paraId="1C5576FF" w14:textId="77777777" w:rsidTr="00E60425">
        <w:trPr>
          <w:cantSplit/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3EED3B" w14:textId="77777777" w:rsidR="0027263A" w:rsidRPr="006C16AD" w:rsidRDefault="0027263A" w:rsidP="00E604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16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Supplementary Figure S3</w:t>
            </w:r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1FB452" w14:textId="77777777" w:rsidR="0027263A" w:rsidRPr="006C16AD" w:rsidRDefault="0027263A" w:rsidP="00E604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16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All-tissue and 15 tissue-specific human–mouse Venn diagrams for tau &gt;0.8 and tau &lt;0.4.</w:t>
            </w:r>
          </w:p>
        </w:tc>
      </w:tr>
      <w:tr w:rsidR="0027263A" w:rsidRPr="006C16AD" w14:paraId="2F541CBB" w14:textId="77777777" w:rsidTr="00E60425">
        <w:trPr>
          <w:cantSplit/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C2D9E0" w14:textId="77777777" w:rsidR="0027263A" w:rsidRPr="006C16AD" w:rsidRDefault="0027263A" w:rsidP="00E604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16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Supplementary Table S1</w:t>
            </w:r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2D138E" w14:textId="77777777" w:rsidR="0027263A" w:rsidRPr="006C16AD" w:rsidRDefault="0027263A" w:rsidP="00E604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16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Per-gene human correlations with Pearson, Spearman and false-discovery-rate values.</w:t>
            </w:r>
          </w:p>
        </w:tc>
      </w:tr>
      <w:tr w:rsidR="0027263A" w:rsidRPr="006C16AD" w14:paraId="51934876" w14:textId="77777777" w:rsidTr="00E60425">
        <w:trPr>
          <w:cantSplit/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DF0C5F" w14:textId="77777777" w:rsidR="0027263A" w:rsidRPr="006C16AD" w:rsidRDefault="0027263A" w:rsidP="00E604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16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Supplementary Table S2</w:t>
            </w:r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EA7B91" w14:textId="77777777" w:rsidR="0027263A" w:rsidRPr="006C16AD" w:rsidRDefault="0027263A" w:rsidP="00E604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16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Per-gene mouse correlations with Pearson, Spearman and false-discovery-rate values.</w:t>
            </w:r>
          </w:p>
        </w:tc>
      </w:tr>
      <w:tr w:rsidR="0027263A" w:rsidRPr="006C16AD" w14:paraId="2A455A90" w14:textId="77777777" w:rsidTr="00E60425">
        <w:trPr>
          <w:cantSplit/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4FA818" w14:textId="77777777" w:rsidR="0027263A" w:rsidRPr="006C16AD" w:rsidRDefault="0027263A" w:rsidP="00E604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16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Supplementary Table S3</w:t>
            </w:r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F0504B" w14:textId="77777777" w:rsidR="0027263A" w:rsidRPr="006C16AD" w:rsidRDefault="0027263A" w:rsidP="00E604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16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One-to-one orthologue overlap and tissue assignments.</w:t>
            </w:r>
          </w:p>
        </w:tc>
      </w:tr>
      <w:tr w:rsidR="0027263A" w:rsidRPr="006C16AD" w14:paraId="258A3E1D" w14:textId="77777777" w:rsidTr="00E60425">
        <w:trPr>
          <w:cantSplit/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B00FF8" w14:textId="77777777" w:rsidR="0027263A" w:rsidRPr="006C16AD" w:rsidRDefault="0027263A" w:rsidP="00E604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16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Supplementary Table S4</w:t>
            </w:r>
          </w:p>
        </w:tc>
        <w:tc>
          <w:tcPr>
            <w:tcW w:w="7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6165C7" w14:textId="77777777" w:rsidR="0027263A" w:rsidRPr="006C16AD" w:rsidRDefault="0027263A" w:rsidP="00E604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16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Fixed-threshold group summaries and statistical comparisons.</w:t>
            </w:r>
          </w:p>
        </w:tc>
      </w:tr>
      <w:tr w:rsidR="0027263A" w:rsidRPr="006C16AD" w14:paraId="303FE952" w14:textId="77777777" w:rsidTr="00E60425">
        <w:trPr>
          <w:cantSplit/>
          <w:jc w:val="center"/>
        </w:trPr>
        <w:tc>
          <w:tcPr>
            <w:tcW w:w="2100" w:type="dxa"/>
          </w:tcPr>
          <w:p w14:paraId="437DA890" w14:textId="77777777" w:rsidR="0027263A" w:rsidRPr="006C16AD" w:rsidRDefault="0027263A" w:rsidP="00E604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16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Supplementary Table S5</w:t>
            </w:r>
          </w:p>
        </w:tc>
        <w:tc>
          <w:tcPr>
            <w:tcW w:w="7260" w:type="dxa"/>
          </w:tcPr>
          <w:p w14:paraId="46B887D6" w14:textId="77777777" w:rsidR="0027263A" w:rsidRPr="006C16AD" w:rsidRDefault="0027263A" w:rsidP="00E604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16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Same-biospecimen human validation results.</w:t>
            </w:r>
          </w:p>
        </w:tc>
      </w:tr>
      <w:tr w:rsidR="0027263A" w:rsidRPr="006C16AD" w14:paraId="311D009F" w14:textId="77777777" w:rsidTr="00E60425">
        <w:trPr>
          <w:cantSplit/>
          <w:jc w:val="center"/>
        </w:trPr>
        <w:tc>
          <w:tcPr>
            <w:tcW w:w="2100" w:type="dxa"/>
          </w:tcPr>
          <w:p w14:paraId="1EE6BAB2" w14:textId="77777777" w:rsidR="0027263A" w:rsidRPr="006C16AD" w:rsidRDefault="0027263A" w:rsidP="00E604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16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Supplementary Table S6</w:t>
            </w:r>
          </w:p>
        </w:tc>
        <w:tc>
          <w:tcPr>
            <w:tcW w:w="7260" w:type="dxa"/>
          </w:tcPr>
          <w:p w14:paraId="1494F238" w14:textId="77777777" w:rsidR="0027263A" w:rsidRPr="006C16AD" w:rsidRDefault="0027263A" w:rsidP="00E604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16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Probe- and gene-architecture-matched human sensitivity analysis.</w:t>
            </w:r>
          </w:p>
        </w:tc>
      </w:tr>
      <w:tr w:rsidR="0027263A" w:rsidRPr="006C16AD" w14:paraId="187B5176" w14:textId="77777777" w:rsidTr="00E60425">
        <w:trPr>
          <w:cantSplit/>
          <w:jc w:val="center"/>
        </w:trPr>
        <w:tc>
          <w:tcPr>
            <w:tcW w:w="2100" w:type="dxa"/>
          </w:tcPr>
          <w:p w14:paraId="40ADA908" w14:textId="77777777" w:rsidR="0027263A" w:rsidRPr="006C16AD" w:rsidRDefault="0027263A" w:rsidP="00E604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16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Supplementary Table S7</w:t>
            </w:r>
          </w:p>
        </w:tc>
        <w:tc>
          <w:tcPr>
            <w:tcW w:w="7260" w:type="dxa"/>
          </w:tcPr>
          <w:p w14:paraId="613A6681" w14:textId="77777777" w:rsidR="0027263A" w:rsidRPr="006C16AD" w:rsidRDefault="0027263A" w:rsidP="00E604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16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Sex-stratified somatic-tissue sensitivity analysis.</w:t>
            </w:r>
          </w:p>
        </w:tc>
      </w:tr>
      <w:tr w:rsidR="0027263A" w:rsidRPr="006C16AD" w14:paraId="21F0D349" w14:textId="77777777" w:rsidTr="00E60425">
        <w:trPr>
          <w:cantSplit/>
          <w:jc w:val="center"/>
        </w:trPr>
        <w:tc>
          <w:tcPr>
            <w:tcW w:w="2100" w:type="dxa"/>
          </w:tcPr>
          <w:p w14:paraId="4DF0D33D" w14:textId="77777777" w:rsidR="0027263A" w:rsidRPr="006C16AD" w:rsidRDefault="0027263A" w:rsidP="00E604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16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Supplementary Table S8</w:t>
            </w:r>
          </w:p>
        </w:tc>
        <w:tc>
          <w:tcPr>
            <w:tcW w:w="7260" w:type="dxa"/>
          </w:tcPr>
          <w:p w14:paraId="2AE4ADEB" w14:textId="77777777" w:rsidR="0027263A" w:rsidRPr="006C16AD" w:rsidRDefault="0027263A" w:rsidP="00E604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16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Independent paired mouse-liver replication.</w:t>
            </w:r>
          </w:p>
        </w:tc>
      </w:tr>
      <w:tr w:rsidR="0027263A" w:rsidRPr="006C16AD" w14:paraId="5826209B" w14:textId="77777777" w:rsidTr="00E60425">
        <w:trPr>
          <w:cantSplit/>
          <w:jc w:val="center"/>
        </w:trPr>
        <w:tc>
          <w:tcPr>
            <w:tcW w:w="2100" w:type="dxa"/>
          </w:tcPr>
          <w:p w14:paraId="2EE652DD" w14:textId="77777777" w:rsidR="0027263A" w:rsidRPr="006C16AD" w:rsidRDefault="0027263A" w:rsidP="00E604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16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Supplementary Table S9</w:t>
            </w:r>
          </w:p>
        </w:tc>
        <w:tc>
          <w:tcPr>
            <w:tcW w:w="7260" w:type="dxa"/>
          </w:tcPr>
          <w:p w14:paraId="5505BCBA" w14:textId="77777777" w:rsidR="0027263A" w:rsidRPr="006C16AD" w:rsidRDefault="0027263A" w:rsidP="00E604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16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Data sources, mapping rules, limitations and provenance notes.</w:t>
            </w:r>
          </w:p>
        </w:tc>
      </w:tr>
      <w:tr w:rsidR="0027263A" w:rsidRPr="006C16AD" w14:paraId="51E61841" w14:textId="77777777" w:rsidTr="00E60425">
        <w:trPr>
          <w:cantSplit/>
          <w:jc w:val="center"/>
        </w:trPr>
        <w:tc>
          <w:tcPr>
            <w:tcW w:w="2100" w:type="dxa"/>
          </w:tcPr>
          <w:p w14:paraId="49BDCFDF" w14:textId="77777777" w:rsidR="0027263A" w:rsidRPr="006C16AD" w:rsidRDefault="0027263A" w:rsidP="00E604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16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Supplementary Methods</w:t>
            </w:r>
          </w:p>
        </w:tc>
        <w:tc>
          <w:tcPr>
            <w:tcW w:w="7260" w:type="dxa"/>
          </w:tcPr>
          <w:p w14:paraId="11DC77A1" w14:textId="77777777" w:rsidR="0027263A" w:rsidRPr="006C16AD" w:rsidRDefault="0027263A" w:rsidP="00E604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16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Accession manifest, software information, analysis definitions and sensitivity specifications.</w:t>
            </w:r>
          </w:p>
        </w:tc>
      </w:tr>
    </w:tbl>
    <w:p w14:paraId="033D5B5F" w14:textId="77777777" w:rsidR="0027263A" w:rsidRPr="006C16AD" w:rsidRDefault="0027263A" w:rsidP="0027263A">
      <w:pPr>
        <w:spacing w:after="20"/>
        <w:rPr>
          <w:rFonts w:ascii="Times New Roman" w:hAnsi="Times New Roman" w:cs="Times New Roman"/>
          <w:color w:val="auto"/>
          <w:sz w:val="24"/>
          <w:szCs w:val="24"/>
        </w:rPr>
      </w:pPr>
    </w:p>
    <w:p w14:paraId="021C712B" w14:textId="77777777" w:rsidR="00E023F9" w:rsidRDefault="00E023F9"/>
    <w:sectPr w:rsidR="00E023F9" w:rsidSect="0027263A">
      <w:footerReference w:type="default" r:id="rId4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6F23F" w14:textId="77777777" w:rsidR="0027263A" w:rsidRDefault="0027263A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63A"/>
    <w:rsid w:val="000C4033"/>
    <w:rsid w:val="00173ED8"/>
    <w:rsid w:val="0027263A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F4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D80C8"/>
  <w15:chartTrackingRefBased/>
  <w15:docId w15:val="{36B867BF-DD0A-4776-9D0B-6AD7F915D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63A"/>
    <w:pPr>
      <w:spacing w:line="319" w:lineRule="auto"/>
      <w:jc w:val="both"/>
    </w:pPr>
    <w:rPr>
      <w:rFonts w:ascii="Calibri" w:eastAsiaTheme="minorEastAsia" w:hAnsi="Calibri"/>
      <w:color w:val="111111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263A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263A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263A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263A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263A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263A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263A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263A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263A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26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26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26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26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26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26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26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26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26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263A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726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263A"/>
    <w:pPr>
      <w:numPr>
        <w:ilvl w:val="1"/>
      </w:numPr>
      <w:spacing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726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263A"/>
    <w:pPr>
      <w:spacing w:before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726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263A"/>
    <w:pPr>
      <w:spacing w:line="278" w:lineRule="auto"/>
      <w:ind w:left="720"/>
      <w:contextualSpacing/>
      <w:jc w:val="left"/>
    </w:pPr>
    <w:rPr>
      <w:rFonts w:asciiTheme="minorHAnsi" w:eastAsiaTheme="minorHAnsi" w:hAnsiTheme="minorHAnsi"/>
      <w:color w:val="auto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726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26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26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263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726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63A"/>
    <w:rPr>
      <w:rFonts w:ascii="Calibri" w:eastAsiaTheme="minorEastAsia" w:hAnsi="Calibri"/>
      <w:color w:val="111111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59"/>
    <w:rsid w:val="0027263A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2026-09-14T10:30:00Z</dcterms:created>
  <dcterms:modified xsi:type="dcterms:W3CDTF">2026-09-14T10:30:00Z</dcterms:modified>
</cp:coreProperties>
</file>