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rFonts w:ascii="Times New Roman" w:hAnsi="Times New Roman" w:eastAsia="Times New Roman"/>
          <w:b/>
          <w:i w:val="0"/>
          <w:sz w:val="34"/>
        </w:rPr>
        <w:t>Additional file 1: Supplementary methods and figures</w:t>
      </w:r>
    </w:p>
    <w:p>
      <w:pPr>
        <w:pStyle w:val="Heading1"/>
      </w:pPr>
      <w:r>
        <w:rPr>
          <w:rFonts w:ascii="Times New Roman" w:hAnsi="Times New Roman" w:eastAsia="Times New Roman"/>
          <w:b/>
          <w:i w:val="0"/>
          <w:sz w:val="30"/>
        </w:rPr>
        <w:t>Multiple-imputation diagnostics</w:t>
      </w:r>
    </w:p>
    <w:p>
      <w:pPr>
        <w:jc w:val="both"/>
      </w:pPr>
      <w:r>
        <w:rPr>
          <w:rFonts w:ascii="Times New Roman" w:hAnsi="Times New Roman" w:eastAsia="Times New Roman"/>
          <w:b w:val="0"/>
          <w:i w:val="0"/>
          <w:sz w:val="24"/>
        </w:rPr>
        <w:t>Covariate missingness, observed and imputed distributions, trace summaries, range checks, passive-constraint checks, fraction of missing information, and Monte Carlo error are reported in Tables S1–S3. The unchanged internal 0.10 standardized-drift screen flagged three cognition components (0.128, 0.166, and 0.174). It was an unplanned warning threshold rather than a validated convergence rejection rule. The traces showed no sustained trend; no out-of-range imputations or passive-constraint violations were found; and numerical error was small relative to total standard error. The initial alert and the author-authorized manual adjudication remain permanently documented in the project audit trail.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943600" cy="390579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ureS1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0579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="240" w:lineRule="auto" w:after="160"/>
        <w:jc w:val="left"/>
      </w:pPr>
      <w:r>
        <w:rPr>
          <w:rFonts w:ascii="Times New Roman" w:hAnsi="Times New Roman" w:eastAsia="Times New Roman"/>
          <w:b w:val="0"/>
          <w:i/>
          <w:sz w:val="20"/>
        </w:rPr>
        <w:t>Figure S1. Multiple-imputation chain diagnostics.</w:t>
      </w:r>
      <w:r>
        <w:rPr>
          <w:rFonts w:ascii="Times New Roman" w:hAnsi="Times New Roman" w:eastAsia="Times New Roman"/>
          <w:b w:val="0"/>
          <w:i/>
          <w:sz w:val="20"/>
        </w:rPr>
        <w:t xml:space="preserve"> Lines show the mean imputed-cell value across 50 independently seeded chains over 10 cycles; shaded bands show the fifth to 95th percentiles. The displayed variables were selected for their missingness or substantive role. The plot is a diagnostic and does not establish that the missing-at-random assumption holds.</w:t>
      </w:r>
    </w:p>
    <w:p>
      <w:pPr>
        <w:pStyle w:val="Heading1"/>
      </w:pPr>
      <w:r>
        <w:rPr>
          <w:rFonts w:ascii="Times New Roman" w:hAnsi="Times New Roman" w:eastAsia="Times New Roman"/>
          <w:b/>
          <w:i w:val="0"/>
          <w:sz w:val="30"/>
        </w:rPr>
        <w:t>Temporal structure and identifying uncertainty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943600" cy="3396342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ureS3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963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="240" w:lineRule="auto" w:after="160"/>
        <w:jc w:val="left"/>
      </w:pPr>
      <w:r>
        <w:rPr>
          <w:rFonts w:ascii="Times New Roman" w:hAnsi="Times New Roman" w:eastAsia="Times New Roman"/>
          <w:b w:val="0"/>
          <w:i/>
          <w:sz w:val="20"/>
        </w:rPr>
        <w:t>Figure S3. Temporal structure and sources of identifying uncertainty.</w:t>
      </w:r>
      <w:r>
        <w:rPr>
          <w:rFonts w:ascii="Times New Roman" w:hAnsi="Times New Roman" w:eastAsia="Times New Roman"/>
          <w:b w:val="0"/>
          <w:i/>
          <w:sz w:val="20"/>
        </w:rPr>
        <w:t xml:space="preserve"> The diagram separates historical eligibility, time-zero activity classification, and outcome follow-up while displaying possible influences of latent health change, contemporaneous adjustment variables, self-report error, and regression to the mean. Dashed arrows denote measurement or timing ambiguity rather than identified causal pathways.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24" w:right="1296" w:bottom="1224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 w:eastAsia="Times New Roman"/>
        <w:sz w:val="18"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Times New Roman" w:hAnsi="Times New Roman" w:eastAsia="Times New Roman"/>
        <w:i/>
        <w:color w:val="5A5A5A"/>
        <w:sz w:val="18"/>
      </w:rPr>
      <w:t>Total activity-volume attainment and functional outcomes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1F4E79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2F5478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2F5478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 w:eastAsia="Times New Roman"/>
      <w:b/>
      <w:color w:val="1F4E79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Attainment of 600 Total MET-Minutes per Week and Subsequent ADL Disability or Death</dc:title>
  <dc:subject>Reviewer-strengthened integrated manuscript</dc:subject>
  <dc:creator>python-docx</dc:creator>
  <cp:keywords/>
  <dc:description>Generated from the locked reviewer-strengthened integrated Markdown manuscript; figures embedded.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