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8105B">
      <w:pPr>
        <w:spacing w:before="120" w:after="120"/>
        <w:jc w:val="left"/>
        <w:rPr>
          <w:rFonts w:ascii="Times New Roman" w:hAnsi="Times New Roman" w:cs="Times New Roman"/>
          <w:color w:val="auto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4"/>
          <w:szCs w:val="22"/>
        </w:rPr>
        <w:t>Supplementary Material</w:t>
      </w:r>
    </w:p>
    <w:p w14:paraId="4889F4A3">
      <w:pPr>
        <w:spacing w:after="360" w:line="320" w:lineRule="auto"/>
        <w:rPr>
          <w:rFonts w:ascii="Times New Roman" w:hAnsi="Times New Roman" w:eastAsia="Times New Roman" w:cs="Times New Roman"/>
          <w:b/>
          <w:color w:val="auto"/>
          <w:sz w:val="25"/>
          <w:szCs w:val="22"/>
        </w:rPr>
      </w:pPr>
      <w:r>
        <w:rPr>
          <w:rFonts w:ascii="Times New Roman" w:hAnsi="Times New Roman" w:eastAsia="Times New Roman" w:cs="Times New Roman"/>
          <w:b/>
          <w:color w:val="auto"/>
          <w:sz w:val="25"/>
          <w:szCs w:val="22"/>
        </w:rPr>
        <w:t>for: Efficacy and Safety of Fecal Microbiota Transplantation in Children with Refractory Functional Abdominal Pain Disorders: An Open-Label Pilot Trial with Exploratory Microbiome Analyses</w:t>
      </w:r>
    </w:p>
    <w:p w14:paraId="51A0BAE8">
      <w:pPr>
        <w:pStyle w:val="2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2"/>
        </w:rPr>
        <w:t>Supplementary Methods</w:t>
      </w:r>
    </w:p>
    <w:p w14:paraId="574AB962">
      <w:pPr>
        <w:pStyle w:val="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25"/>
          <w:szCs w:val="22"/>
        </w:rPr>
        <w:t>16S ribosomal RNA gene sequencing</w:t>
      </w:r>
    </w:p>
    <w:p w14:paraId="71F0BFF2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color w:val="auto"/>
          <w:sz w:val="24"/>
          <w:szCs w:val="22"/>
        </w:rPr>
        <w:t>Genomic DNA was extracted from fecal samples using the QIAamp® PowerFecal Pro DNA Kit (Qiagen) according to the manufacturer’s protocol. The hypervariable V3–V4 region of the 16S rRNA gene was amplified with primers 338F (5′-ACTCCTACGGGAGGCAGCA-3′) and 806R (5′-GGACTACHVGGGTWTCTAAT-3′), and libraries were sequenced on an Illumina NovaSeq 6000 platform (paired-end, 2 × 250 bp). Extraction blanks were processed in parallel as negative controls.</w:t>
      </w:r>
    </w:p>
    <w:p w14:paraId="31EF11D6">
      <w:pPr>
        <w:pStyle w:val="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25"/>
          <w:szCs w:val="22"/>
        </w:rPr>
        <w:t>Sequence processing</w:t>
      </w:r>
    </w:p>
    <w:p w14:paraId="124C5148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color w:val="auto"/>
          <w:sz w:val="24"/>
          <w:szCs w:val="22"/>
        </w:rPr>
        <w:t>Raw reads were processed in QIIME2 (v2020.2). Primer trimming, paired-end merging, quality filtering, and denoising were performed to generate amplicon sequence variants (100% sequence identity). Features detected in fewer than 2 samples were discarded, yielding a median depth of 23,814 reads/sample across the study. Taxonomy was assigned against the SILVA 138 reference database, and samples were rarefied to an even sequencing depth before diversity analyses.</w:t>
      </w:r>
    </w:p>
    <w:p w14:paraId="18859CE5">
      <w:pPr>
        <w:pStyle w:val="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25"/>
          <w:szCs w:val="22"/>
        </w:rPr>
        <w:t>Bacterial community analysis</w:t>
      </w:r>
    </w:p>
    <w:p w14:paraId="4DEFD62B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color w:val="auto"/>
          <w:sz w:val="24"/>
          <w:szCs w:val="22"/>
        </w:rPr>
        <w:t>α-diversity (Chao1 and Shannon indices) was compared using Mann–Whitney U tests (independent groups), paired Wilcoxon signed-rank tests (pre- vs. post-FMT), or the Kruskal–Wallis H test (donors and pre/post-FMT patients); significance was denoted as *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2"/>
        </w:rPr>
        <w:t>P</w:t>
      </w:r>
      <w:r>
        <w:rPr>
          <w:rFonts w:ascii="Times New Roman" w:hAnsi="Times New Roman" w:eastAsia="Times New Roman" w:cs="Times New Roman"/>
          <w:color w:val="auto"/>
          <w:sz w:val="24"/>
          <w:szCs w:val="22"/>
        </w:rPr>
        <w:t xml:space="preserve"> &lt; 0.05, **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2"/>
        </w:rPr>
        <w:t>P</w:t>
      </w:r>
      <w:r>
        <w:rPr>
          <w:rFonts w:ascii="Times New Roman" w:hAnsi="Times New Roman" w:eastAsia="Times New Roman" w:cs="Times New Roman"/>
          <w:color w:val="auto"/>
          <w:sz w:val="24"/>
          <w:szCs w:val="22"/>
        </w:rPr>
        <w:t xml:space="preserve"> &lt; 0.01, ***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2"/>
        </w:rPr>
        <w:t>P</w:t>
      </w:r>
      <w:r>
        <w:rPr>
          <w:rFonts w:ascii="Times New Roman" w:hAnsi="Times New Roman" w:eastAsia="Times New Roman" w:cs="Times New Roman"/>
          <w:color w:val="auto"/>
          <w:sz w:val="24"/>
          <w:szCs w:val="22"/>
        </w:rPr>
        <w:t xml:space="preserve"> &lt; 0.001. β-diversity was evaluated using weighted and unweighted UniFrac distances and tested by PERMANOVA (9,999 permutations). Differential taxa were identified by linear discriminant analysis effect size (LEfSe; LDA score &gt; 2.0), with P values adjusted using the Benjamini–Hochberg false discovery rate procedure (q &lt; 0.05). The Gut Microbiome Health Index (GMHI) and Microbial Dysbiosis Index (MDI) were computed as described previously.</w:t>
      </w:r>
    </w:p>
    <w:p w14:paraId="508AB9F7">
      <w:pPr>
        <w:pStyle w:val="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25"/>
          <w:szCs w:val="22"/>
        </w:rPr>
        <w:t>Functional prediction</w:t>
      </w:r>
    </w:p>
    <w:p w14:paraId="00625AF5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color w:val="auto"/>
          <w:sz w:val="24"/>
          <w:szCs w:val="22"/>
        </w:rPr>
        <w:t>Functional profiles were inferred from 16S rRNA data using PICRUSt2 against the KEGG database; predicted pathway abundances are reported as fold changes and interpreted as exploratory inferences.</w:t>
      </w:r>
    </w:p>
    <w:p w14:paraId="5CE4B269">
      <w:pPr>
        <w:pStyle w:val="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25"/>
          <w:szCs w:val="22"/>
        </w:rPr>
        <w:t>Machine-learning analysis</w:t>
      </w:r>
    </w:p>
    <w:p w14:paraId="59D7DBF7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color w:val="auto"/>
          <w:sz w:val="24"/>
          <w:szCs w:val="22"/>
        </w:rPr>
        <w:t>Random forest classifiers (R package randomForest; ntree = 500, mtry = √p, nodesize = 1, otherwise default settings) were trained on genus-level abundances of LEfSe-preselected candidate genera. Internal validation comprised leave-one-out cross-validation (pooled predicted probabilities; 95% CIs from 2,000 bootstrap resamples), repeated stratified five-fold cross-validation (10 repeats), and bootstrap optimism correction (60 resamples, Harrell’s method). Sensitivity and specificity were computed at the Youden-optimal cutoff; calibration (intercept, slope, Brier score) and decision-curve analysis were performed on pooled cross-validated probabilities. Analyses were conducted in R (version 4.6.1) using the randomForest, pROC, and rmda packages.</w:t>
      </w:r>
    </w:p>
    <w:p w14:paraId="7EB62315">
      <w:pPr>
        <w:pStyle w:val="2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2"/>
        </w:rPr>
        <w:t>Supplementary Figures</w:t>
      </w:r>
    </w:p>
    <w:p w14:paraId="30F0104D">
      <w:pPr>
        <w:spacing w:before="160" w:after="80" w:line="300" w:lineRule="auto"/>
        <w:rPr>
          <w:rFonts w:ascii="Times New Roman" w:hAnsi="Times New Roman" w:eastAsia="Times New Roman" w:cs="Times New Roman"/>
          <w:color w:val="auto"/>
          <w:sz w:val="22"/>
        </w:rPr>
      </w:pPr>
      <w:r>
        <w:rPr>
          <w:rFonts w:ascii="Times New Roman" w:hAnsi="Times New Roman" w:eastAsia="Times New Roman" w:cs="Times New Roman"/>
          <w:b/>
          <w:color w:val="auto"/>
          <w:sz w:val="22"/>
          <w:szCs w:val="22"/>
        </w:rPr>
        <w:t xml:space="preserve">Supplementary Figure S1.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Internal validation of the random forest models. Receiver operating characteristic curves based on apparent (out-of-bag) predictions and pooled leave-one-out cross-validation (LOOCV) predictions for (A) the 7-genus diagnostic model (n = 86) and (B) the 4-genus response-prediction model (n = 26).</w:t>
      </w:r>
    </w:p>
    <w:p w14:paraId="6229BDA9">
      <w:pPr>
        <w:spacing w:before="160" w:after="80" w:line="300" w:lineRule="auto"/>
        <w:rPr>
          <w:rFonts w:ascii="Times New Roman" w:hAnsi="Times New Roman" w:eastAsia="Times New Roman" w:cs="Times New Roman"/>
          <w:color w:val="auto"/>
          <w:sz w:val="22"/>
        </w:rPr>
      </w:pPr>
      <w:r>
        <w:rPr>
          <w:rFonts w:hint="default" w:ascii="Times New Roman" w:hAnsi="Times New Roman" w:eastAsia="宋体" w:cs="Times New Roman"/>
          <w:color w:val="auto"/>
          <w:lang w:val="en-US" w:eastAsia="zh-CN"/>
        </w:rPr>
        <w:drawing>
          <wp:inline distT="0" distB="0" distL="114300" distR="114300">
            <wp:extent cx="5266690" cy="2422525"/>
            <wp:effectExtent l="0" t="0" r="3810" b="3175"/>
            <wp:docPr id="1" name="图片 1" descr="FigS_ROC_internal_valid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S_ROC_internal_validation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2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B515F">
      <w:pPr>
        <w:spacing w:before="160" w:after="80" w:line="300" w:lineRule="auto"/>
        <w:rPr>
          <w:rFonts w:ascii="Times New Roman" w:hAnsi="Times New Roman" w:eastAsia="Times New Roman" w:cs="Times New Roman"/>
          <w:color w:val="auto"/>
          <w:sz w:val="22"/>
        </w:rPr>
      </w:pPr>
      <w:r>
        <w:rPr>
          <w:rFonts w:ascii="Times New Roman" w:hAnsi="Times New Roman" w:eastAsia="Times New Roman" w:cs="Times New Roman"/>
          <w:b/>
          <w:color w:val="auto"/>
          <w:sz w:val="22"/>
          <w:szCs w:val="22"/>
        </w:rPr>
        <w:t xml:space="preserve">Supplementary Figure S2.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Calibration and decision-curve analyses of the random forest models. (A, B) Calibration curves of LOOCV-pooled predicted probabilities against observed event rates; (C, D) decision-curve analyses comparing net benefit of the models with treat-all and treat-none strategies</w:t>
      </w:r>
    </w:p>
    <w:p w14:paraId="3AF23328">
      <w:pPr>
        <w:spacing w:before="160" w:after="80" w:line="300" w:lineRule="auto"/>
        <w:rPr>
          <w:rFonts w:ascii="Times New Roman" w:hAnsi="Times New Roman" w:eastAsia="Times New Roman" w:cs="Times New Roman"/>
          <w:color w:val="auto"/>
          <w:sz w:val="22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2"/>
          <w:sz w:val="21"/>
          <w:szCs w:val="21"/>
          <w:shd w:val="clear" w:color="auto" w:fill="FFFFFF"/>
          <w:lang w:val="en-US" w:eastAsia="zh-CN" w:bidi="ar"/>
        </w:rPr>
        <w:drawing>
          <wp:inline distT="0" distB="0" distL="114300" distR="114300">
            <wp:extent cx="5266690" cy="4476750"/>
            <wp:effectExtent l="0" t="0" r="3810" b="6350"/>
            <wp:docPr id="2" name="图片 2" descr="FigS_Calibration_D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S_Calibration_DC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85635">
      <w:pPr>
        <w:pStyle w:val="2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2"/>
        </w:rPr>
        <w:t>Supplementary Tables</w:t>
      </w:r>
    </w:p>
    <w:p w14:paraId="64DFCBB8">
      <w:pPr>
        <w:keepNext/>
        <w:spacing w:before="240" w:after="8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22"/>
          <w:szCs w:val="22"/>
        </w:rPr>
        <w:t>Supplementary Table 1. Quality-control summary of the colon-soluble gelatin empty capsules (condensed from the manufacturer's certificate of analysis, Doc. No. COA-40061-02; batch 2206220)</w:t>
      </w:r>
    </w:p>
    <w:tbl>
      <w:tblPr>
        <w:tblStyle w:val="5"/>
        <w:tblW w:w="5000" w:type="pct"/>
        <w:tblInd w:w="0" w:type="dxa"/>
        <w:tblBorders>
          <w:top w:val="single" w:color="37474F" w:sz="12" w:space="0"/>
          <w:left w:val="none" w:color="auto" w:sz="0" w:space="0"/>
          <w:bottom w:val="single" w:color="37474F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31"/>
        <w:gridCol w:w="3484"/>
        <w:gridCol w:w="2068"/>
        <w:gridCol w:w="1415"/>
      </w:tblGrid>
      <w:tr w14:paraId="78EB4DDF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831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B2DB5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Inspection item</w:t>
            </w:r>
          </w:p>
        </w:tc>
        <w:tc>
          <w:tcPr>
            <w:tcW w:w="3484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1C796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Specification (Chinese Pharmacopoeia 2020, Vol. IV)</w:t>
            </w:r>
          </w:p>
        </w:tc>
        <w:tc>
          <w:tcPr>
            <w:tcW w:w="2068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DA7CA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Result</w:t>
            </w:r>
          </w:p>
        </w:tc>
        <w:tc>
          <w:tcPr>
            <w:tcW w:w="1415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99CD6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Conclusion</w:t>
            </w:r>
          </w:p>
        </w:tc>
      </w:tr>
      <w:tr w14:paraId="231C260B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87B77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Appearance/characteristics</w:t>
            </w:r>
          </w:p>
        </w:tc>
        <w:tc>
          <w:tcPr>
            <w:tcW w:w="3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90256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Hard, elastic hollow capsule; cap and body lockable; smooth, uniform color, no deformation, no odor</w:t>
            </w:r>
          </w:p>
        </w:tc>
        <w:tc>
          <w:tcPr>
            <w:tcW w:w="20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EB761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Complies</w:t>
            </w:r>
          </w:p>
        </w:tc>
        <w:tc>
          <w:tcPr>
            <w:tcW w:w="141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2A28B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Meets the requirements</w:t>
            </w:r>
          </w:p>
        </w:tc>
      </w:tr>
      <w:tr w14:paraId="7A361B89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A113C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Identification (reactions 1–3)</w:t>
            </w:r>
          </w:p>
        </w:tc>
        <w:tc>
          <w:tcPr>
            <w:tcW w:w="3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DCCC7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Positive</w:t>
            </w:r>
          </w:p>
        </w:tc>
        <w:tc>
          <w:tcPr>
            <w:tcW w:w="20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96244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All positive</w:t>
            </w:r>
          </w:p>
        </w:tc>
        <w:tc>
          <w:tcPr>
            <w:tcW w:w="141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493F3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Meets the requirements</w:t>
            </w:r>
          </w:p>
        </w:tc>
      </w:tr>
      <w:tr w14:paraId="220D31A9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2D211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Friability (grains)</w:t>
            </w:r>
          </w:p>
        </w:tc>
        <w:tc>
          <w:tcPr>
            <w:tcW w:w="3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FE7A0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≤5</w:t>
            </w:r>
          </w:p>
        </w:tc>
        <w:tc>
          <w:tcPr>
            <w:tcW w:w="20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5F596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</w:t>
            </w:r>
          </w:p>
        </w:tc>
        <w:tc>
          <w:tcPr>
            <w:tcW w:w="141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0F299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Meets the requirements</w:t>
            </w:r>
          </w:p>
        </w:tc>
      </w:tr>
      <w:tr w14:paraId="22D9E10C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4B01F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Disintegration, artificial gastric juice (min)</w:t>
            </w:r>
          </w:p>
        </w:tc>
        <w:tc>
          <w:tcPr>
            <w:tcW w:w="3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503B2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≥120</w:t>
            </w:r>
          </w:p>
        </w:tc>
        <w:tc>
          <w:tcPr>
            <w:tcW w:w="20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24CA0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&gt;120</w:t>
            </w:r>
          </w:p>
        </w:tc>
        <w:tc>
          <w:tcPr>
            <w:tcW w:w="141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4D0E7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Meets the requirements</w:t>
            </w:r>
          </w:p>
        </w:tc>
      </w:tr>
      <w:tr w14:paraId="7DB75DC4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5D7A1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Disintegration, artificial intestinal fluid (min)</w:t>
            </w:r>
          </w:p>
        </w:tc>
        <w:tc>
          <w:tcPr>
            <w:tcW w:w="3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A1E84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≥180</w:t>
            </w:r>
          </w:p>
        </w:tc>
        <w:tc>
          <w:tcPr>
            <w:tcW w:w="20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DAEE1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&gt;180</w:t>
            </w:r>
          </w:p>
        </w:tc>
        <w:tc>
          <w:tcPr>
            <w:tcW w:w="141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6F1BD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Meets the requirements</w:t>
            </w:r>
          </w:p>
        </w:tc>
      </w:tr>
      <w:tr w14:paraId="7875578C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8BCF1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Disintegration, artificial colonic fluid (min)</w:t>
            </w:r>
          </w:p>
        </w:tc>
        <w:tc>
          <w:tcPr>
            <w:tcW w:w="3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A33A8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≤60</w:t>
            </w:r>
          </w:p>
        </w:tc>
        <w:tc>
          <w:tcPr>
            <w:tcW w:w="20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53ED1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&lt;60</w:t>
            </w:r>
          </w:p>
        </w:tc>
        <w:tc>
          <w:tcPr>
            <w:tcW w:w="141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7E1FC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Meets the requirements</w:t>
            </w:r>
          </w:p>
        </w:tc>
      </w:tr>
      <w:tr w14:paraId="5C71F6FF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952AD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Sulfite (%, as SO₂)</w:t>
            </w:r>
          </w:p>
        </w:tc>
        <w:tc>
          <w:tcPr>
            <w:tcW w:w="3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FE11F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≤0.01</w:t>
            </w:r>
          </w:p>
        </w:tc>
        <w:tc>
          <w:tcPr>
            <w:tcW w:w="20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9F484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&lt;0.01</w:t>
            </w:r>
          </w:p>
        </w:tc>
        <w:tc>
          <w:tcPr>
            <w:tcW w:w="141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2B6D3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Meets the requirements</w:t>
            </w:r>
          </w:p>
        </w:tc>
      </w:tr>
      <w:tr w14:paraId="620FF83B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55BB8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Loss on drying (%)</w:t>
            </w:r>
          </w:p>
        </w:tc>
        <w:tc>
          <w:tcPr>
            <w:tcW w:w="3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E2934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10.0–16.0</w:t>
            </w:r>
          </w:p>
        </w:tc>
        <w:tc>
          <w:tcPr>
            <w:tcW w:w="20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C27A1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13.7</w:t>
            </w:r>
          </w:p>
        </w:tc>
        <w:tc>
          <w:tcPr>
            <w:tcW w:w="141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01071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Meets the requirements</w:t>
            </w:r>
          </w:p>
        </w:tc>
      </w:tr>
      <w:tr w14:paraId="5938E3B7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F6412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Residue on ignition (%)</w:t>
            </w:r>
          </w:p>
        </w:tc>
        <w:tc>
          <w:tcPr>
            <w:tcW w:w="3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056DB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≤5.0</w:t>
            </w:r>
          </w:p>
        </w:tc>
        <w:tc>
          <w:tcPr>
            <w:tcW w:w="20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E488C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2.2</w:t>
            </w:r>
          </w:p>
        </w:tc>
        <w:tc>
          <w:tcPr>
            <w:tcW w:w="141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3657F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Meets the requirements</w:t>
            </w:r>
          </w:p>
        </w:tc>
      </w:tr>
      <w:tr w14:paraId="7729C1FE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FEDAC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Chromium (%)</w:t>
            </w:r>
          </w:p>
        </w:tc>
        <w:tc>
          <w:tcPr>
            <w:tcW w:w="3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437BD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≤0.0002</w:t>
            </w:r>
          </w:p>
        </w:tc>
        <w:tc>
          <w:tcPr>
            <w:tcW w:w="20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717A6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0.000054</w:t>
            </w:r>
          </w:p>
        </w:tc>
        <w:tc>
          <w:tcPr>
            <w:tcW w:w="141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9E9DD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Meets the requirements</w:t>
            </w:r>
          </w:p>
        </w:tc>
      </w:tr>
      <w:tr w14:paraId="73B227FD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97035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Heavy metals (%)</w:t>
            </w:r>
          </w:p>
        </w:tc>
        <w:tc>
          <w:tcPr>
            <w:tcW w:w="3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4B713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≤0.002</w:t>
            </w:r>
          </w:p>
        </w:tc>
        <w:tc>
          <w:tcPr>
            <w:tcW w:w="20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EC0C9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&lt;0.002</w:t>
            </w:r>
          </w:p>
        </w:tc>
        <w:tc>
          <w:tcPr>
            <w:tcW w:w="141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99082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Meets the requirements</w:t>
            </w:r>
          </w:p>
        </w:tc>
      </w:tr>
      <w:tr w14:paraId="02C7E838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32D5C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Total aerobic microbial count (cfu/g)</w:t>
            </w:r>
          </w:p>
        </w:tc>
        <w:tc>
          <w:tcPr>
            <w:tcW w:w="3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F131E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≤10³</w:t>
            </w:r>
          </w:p>
        </w:tc>
        <w:tc>
          <w:tcPr>
            <w:tcW w:w="20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E2BF3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&lt;10</w:t>
            </w:r>
          </w:p>
        </w:tc>
        <w:tc>
          <w:tcPr>
            <w:tcW w:w="141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87D15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Meets the requirements</w:t>
            </w:r>
          </w:p>
        </w:tc>
      </w:tr>
      <w:tr w14:paraId="420F9566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2E412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Molds and yeasts (cfu/g)</w:t>
            </w:r>
          </w:p>
        </w:tc>
        <w:tc>
          <w:tcPr>
            <w:tcW w:w="3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E9427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≤10²</w:t>
            </w:r>
          </w:p>
        </w:tc>
        <w:tc>
          <w:tcPr>
            <w:tcW w:w="20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52B33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&lt;10</w:t>
            </w:r>
          </w:p>
        </w:tc>
        <w:tc>
          <w:tcPr>
            <w:tcW w:w="141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8B089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Meets the requirements</w:t>
            </w:r>
          </w:p>
        </w:tc>
      </w:tr>
      <w:tr w14:paraId="2D8F580E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A3227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Escherichia coli (1 g)</w:t>
            </w:r>
          </w:p>
        </w:tc>
        <w:tc>
          <w:tcPr>
            <w:tcW w:w="3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D3B04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Not detectable</w:t>
            </w:r>
          </w:p>
        </w:tc>
        <w:tc>
          <w:tcPr>
            <w:tcW w:w="20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CF39E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Not detected</w:t>
            </w:r>
          </w:p>
        </w:tc>
        <w:tc>
          <w:tcPr>
            <w:tcW w:w="141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49253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Meets the requirements</w:t>
            </w:r>
          </w:p>
        </w:tc>
      </w:tr>
      <w:tr w14:paraId="0BD37995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3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39981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Salmonella (10 g)</w:t>
            </w:r>
          </w:p>
        </w:tc>
        <w:tc>
          <w:tcPr>
            <w:tcW w:w="34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CC525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Not detectable</w:t>
            </w:r>
          </w:p>
        </w:tc>
        <w:tc>
          <w:tcPr>
            <w:tcW w:w="20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1B77B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Not detected</w:t>
            </w:r>
          </w:p>
        </w:tc>
        <w:tc>
          <w:tcPr>
            <w:tcW w:w="141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F648B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Meets the requirements</w:t>
            </w:r>
          </w:p>
        </w:tc>
      </w:tr>
    </w:tbl>
    <w:p w14:paraId="7F88FA51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color w:val="auto"/>
          <w:sz w:val="24"/>
          <w:szCs w:val="22"/>
        </w:rPr>
        <w:t>Note: the capsules were not sterilized with ethylene oxide and contained no p-hydroxybenzoate esters.</w:t>
      </w:r>
    </w:p>
    <w:p w14:paraId="44F596DC">
      <w:pPr>
        <w:keepNext/>
        <w:spacing w:before="240" w:after="8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22"/>
          <w:szCs w:val="22"/>
        </w:rPr>
        <w:t>Supplementary Table 2. Quality-control test items of the intestinal microbiota (FMT) capsules</w:t>
      </w:r>
    </w:p>
    <w:tbl>
      <w:tblPr>
        <w:tblStyle w:val="5"/>
        <w:tblW w:w="5000" w:type="pct"/>
        <w:tblInd w:w="0" w:type="dxa"/>
        <w:tblBorders>
          <w:top w:val="single" w:color="37474F" w:sz="12" w:space="0"/>
          <w:left w:val="none" w:color="auto" w:sz="0" w:space="0"/>
          <w:bottom w:val="single" w:color="37474F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246"/>
        <w:gridCol w:w="2068"/>
        <w:gridCol w:w="1742"/>
        <w:gridCol w:w="1742"/>
      </w:tblGrid>
      <w:tr w14:paraId="51CF3183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Header/>
        </w:trPr>
        <w:tc>
          <w:tcPr>
            <w:tcW w:w="4246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FC8EF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Item</w:t>
            </w:r>
          </w:p>
        </w:tc>
        <w:tc>
          <w:tcPr>
            <w:tcW w:w="2068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8E5EF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Method / remark</w:t>
            </w:r>
          </w:p>
        </w:tc>
        <w:tc>
          <w:tcPr>
            <w:tcW w:w="1742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1E372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Test result</w:t>
            </w:r>
          </w:p>
        </w:tc>
        <w:tc>
          <w:tcPr>
            <w:tcW w:w="1742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642C6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Reference range</w:t>
            </w:r>
          </w:p>
        </w:tc>
      </w:tr>
      <w:tr w14:paraId="3445D6F1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71B84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Enteric-coated capsule shell testing (chemical reactions 1–3, tightness, disintegration time, sulfite, loss on drying, chromium, heavy metals, microbial limits)</w:t>
            </w:r>
          </w:p>
        </w:tc>
        <w:tc>
          <w:tcPr>
            <w:tcW w:w="20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FBF7A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Chinese Pharmacopoeia, enteric-coated gelatin empty capsules</w:t>
            </w:r>
          </w:p>
        </w:tc>
        <w:tc>
          <w:tcPr>
            <w:tcW w:w="174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CE3A7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No abnormality found</w:t>
            </w:r>
          </w:p>
        </w:tc>
        <w:tc>
          <w:tcPr>
            <w:tcW w:w="174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D3B91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No abnormality found</w:t>
            </w:r>
          </w:p>
        </w:tc>
      </w:tr>
      <w:tr w14:paraId="4902885C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40DF1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Weight of bacterial powder per capsule (mg)</w:t>
            </w:r>
          </w:p>
        </w:tc>
        <w:tc>
          <w:tcPr>
            <w:tcW w:w="20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080C9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Weighing</w:t>
            </w:r>
          </w:p>
        </w:tc>
        <w:tc>
          <w:tcPr>
            <w:tcW w:w="174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A0FE9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102</w:t>
            </w:r>
          </w:p>
        </w:tc>
        <w:tc>
          <w:tcPr>
            <w:tcW w:w="174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B767A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≥100</w:t>
            </w:r>
          </w:p>
        </w:tc>
      </w:tr>
      <w:tr w14:paraId="61B37AB6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5F872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Total viable bacteria per capsule (CFU/g)</w:t>
            </w:r>
          </w:p>
        </w:tc>
        <w:tc>
          <w:tcPr>
            <w:tcW w:w="20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0B2A6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Culture method</w:t>
            </w:r>
          </w:p>
        </w:tc>
        <w:tc>
          <w:tcPr>
            <w:tcW w:w="174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378F4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0.5 × 10¹⁰</w:t>
            </w:r>
          </w:p>
        </w:tc>
        <w:tc>
          <w:tcPr>
            <w:tcW w:w="174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F58A5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≥0.2 × 10¹⁰</w:t>
            </w:r>
          </w:p>
        </w:tc>
      </w:tr>
      <w:tr w14:paraId="00353C64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2FCC2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Total viable bacteria per treatment course (CFU)</w:t>
            </w:r>
          </w:p>
        </w:tc>
        <w:tc>
          <w:tcPr>
            <w:tcW w:w="20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7D4C2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Culture method</w:t>
            </w:r>
          </w:p>
        </w:tc>
        <w:tc>
          <w:tcPr>
            <w:tcW w:w="174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5769D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 × 10¹⁰</w:t>
            </w:r>
          </w:p>
        </w:tc>
        <w:tc>
          <w:tcPr>
            <w:tcW w:w="174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85DDD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≥1.5 × 10¹⁰</w:t>
            </w:r>
          </w:p>
        </w:tc>
      </w:tr>
      <w:tr w14:paraId="752C2FB1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84909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Bacterial viability per capsule (%)</w:t>
            </w:r>
          </w:p>
        </w:tc>
        <w:tc>
          <w:tcPr>
            <w:tcW w:w="206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44614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Flow cytometry</w:t>
            </w:r>
          </w:p>
        </w:tc>
        <w:tc>
          <w:tcPr>
            <w:tcW w:w="174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75077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90</w:t>
            </w:r>
          </w:p>
        </w:tc>
        <w:tc>
          <w:tcPr>
            <w:tcW w:w="174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18257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≥80</w:t>
            </w:r>
          </w:p>
        </w:tc>
      </w:tr>
    </w:tbl>
    <w:p w14:paraId="66C35CCA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color w:val="auto"/>
          <w:sz w:val="24"/>
          <w:szCs w:val="22"/>
        </w:rPr>
        <w:t xml:space="preserve">Note: </w:t>
      </w:r>
      <w:r>
        <w:rPr>
          <w:rFonts w:hint="eastAsia" w:eastAsia="宋体" w:cs="Times New Roman"/>
          <w:color w:val="auto"/>
          <w:sz w:val="24"/>
          <w:szCs w:val="22"/>
          <w:lang w:val="en-US" w:eastAsia="zh-CN"/>
        </w:rPr>
        <w:t>3</w:t>
      </w:r>
      <w:r>
        <w:rPr>
          <w:rFonts w:ascii="Times New Roman" w:hAnsi="Times New Roman" w:eastAsia="Times New Roman" w:cs="Times New Roman"/>
          <w:color w:val="auto"/>
          <w:sz w:val="24"/>
          <w:szCs w:val="22"/>
        </w:rPr>
        <w:t xml:space="preserve"> × 10¹⁰ CFU per treatment course ≈ </w:t>
      </w:r>
      <w:r>
        <w:rPr>
          <w:rFonts w:hint="eastAsia" w:eastAsia="宋体" w:cs="Times New Roman"/>
          <w:color w:val="auto"/>
          <w:sz w:val="24"/>
          <w:szCs w:val="22"/>
          <w:lang w:val="en-US" w:eastAsia="zh-CN"/>
        </w:rPr>
        <w:t>3</w:t>
      </w:r>
      <w:r>
        <w:rPr>
          <w:rFonts w:ascii="Times New Roman" w:hAnsi="Times New Roman" w:eastAsia="Times New Roman" w:cs="Times New Roman"/>
          <w:color w:val="auto"/>
          <w:sz w:val="24"/>
          <w:szCs w:val="22"/>
        </w:rPr>
        <w:t xml:space="preserve"> × 10¹³ bacterial cells per treatment course; 60 capsules per course.</w:t>
      </w:r>
    </w:p>
    <w:p w14:paraId="1F31A80F">
      <w:pPr>
        <w:keepNext/>
        <w:spacing w:before="240" w:after="8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22"/>
          <w:szCs w:val="22"/>
        </w:rPr>
        <w:t>Supplementary Table 3. Baseline characteristics of the FAPDs and healthy control (HC) groups</w:t>
      </w:r>
    </w:p>
    <w:tbl>
      <w:tblPr>
        <w:tblStyle w:val="5"/>
        <w:tblW w:w="5000" w:type="pct"/>
        <w:tblInd w:w="0" w:type="dxa"/>
        <w:tblBorders>
          <w:top w:val="single" w:color="37474F" w:sz="12" w:space="0"/>
          <w:left w:val="none" w:color="auto" w:sz="0" w:space="0"/>
          <w:bottom w:val="single" w:color="37474F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153"/>
        <w:gridCol w:w="2816"/>
        <w:gridCol w:w="2816"/>
        <w:gridCol w:w="1013"/>
      </w:tblGrid>
      <w:tr w14:paraId="26A97568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153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91152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2"/>
              </w:rPr>
              <w:t>Parameters</w:t>
            </w:r>
          </w:p>
        </w:tc>
        <w:tc>
          <w:tcPr>
            <w:tcW w:w="2816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36A75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2"/>
              </w:rPr>
              <w:t>FAPDs group (n = 47)</w:t>
            </w:r>
          </w:p>
        </w:tc>
        <w:tc>
          <w:tcPr>
            <w:tcW w:w="2816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5FB66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2"/>
              </w:rPr>
              <w:t>HCs group (n = 39)</w:t>
            </w:r>
          </w:p>
        </w:tc>
        <w:tc>
          <w:tcPr>
            <w:tcW w:w="1013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5BE1A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0"/>
                <w:szCs w:val="22"/>
              </w:rPr>
              <w:t>P</w:t>
            </w:r>
          </w:p>
        </w:tc>
      </w:tr>
      <w:tr w14:paraId="748A613C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15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54A65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2"/>
              </w:rPr>
              <w:t>Age (years), M ± SD</w:t>
            </w:r>
          </w:p>
        </w:tc>
        <w:tc>
          <w:tcPr>
            <w:tcW w:w="281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11221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2"/>
              </w:rPr>
              <w:t>9.29 ± 2.9</w:t>
            </w:r>
          </w:p>
        </w:tc>
        <w:tc>
          <w:tcPr>
            <w:tcW w:w="281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6B5C0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2"/>
              </w:rPr>
              <w:t>8.8 ± 2.5</w:t>
            </w:r>
          </w:p>
        </w:tc>
        <w:tc>
          <w:tcPr>
            <w:tcW w:w="101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A2536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2"/>
              </w:rPr>
              <w:t>0.453</w:t>
            </w:r>
          </w:p>
        </w:tc>
      </w:tr>
      <w:tr w14:paraId="718B5B98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15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8D2C5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2"/>
              </w:rPr>
              <w:t>Sex, male, n (%)</w:t>
            </w:r>
          </w:p>
        </w:tc>
        <w:tc>
          <w:tcPr>
            <w:tcW w:w="281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E230A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2"/>
              </w:rPr>
              <w:t>36 (76.6%)</w:t>
            </w:r>
          </w:p>
        </w:tc>
        <w:tc>
          <w:tcPr>
            <w:tcW w:w="281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D96F8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2"/>
              </w:rPr>
              <w:t>28 (71.8%)</w:t>
            </w:r>
          </w:p>
        </w:tc>
        <w:tc>
          <w:tcPr>
            <w:tcW w:w="101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D2477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2"/>
              </w:rPr>
              <w:t>0.629</w:t>
            </w:r>
          </w:p>
        </w:tc>
      </w:tr>
      <w:tr w14:paraId="2AC4C6A1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15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BF0D3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2"/>
              </w:rPr>
              <w:t>Antibiotic exposure, n (%)†</w:t>
            </w:r>
          </w:p>
        </w:tc>
        <w:tc>
          <w:tcPr>
            <w:tcW w:w="281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9844A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2"/>
              </w:rPr>
              <w:t>2 (4.26%)</w:t>
            </w:r>
          </w:p>
        </w:tc>
        <w:tc>
          <w:tcPr>
            <w:tcW w:w="281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D8762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2"/>
              </w:rPr>
              <w:t>0</w:t>
            </w:r>
          </w:p>
        </w:tc>
        <w:tc>
          <w:tcPr>
            <w:tcW w:w="101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B466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2"/>
              </w:rPr>
              <w:t>0.498</w:t>
            </w:r>
          </w:p>
        </w:tc>
      </w:tr>
    </w:tbl>
    <w:p w14:paraId="0089B4D1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color w:val="auto"/>
          <w:sz w:val="24"/>
          <w:szCs w:val="22"/>
        </w:rPr>
        <w:t>† History of antibiotic exposure more than 8 weeks before baseline sampling; per exclusion criterion 5, no participant used antibiotics within 8 weeks before baseline stool sampling.</w:t>
      </w:r>
    </w:p>
    <w:p w14:paraId="09EEA789">
      <w:pPr>
        <w:keepNext/>
        <w:spacing w:before="240" w:after="8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22"/>
          <w:szCs w:val="22"/>
        </w:rPr>
        <w:t>Supplementary Table 4. Phylum-level mean relative abundances in the FAPDs and HC groups</w:t>
      </w:r>
    </w:p>
    <w:tbl>
      <w:tblPr>
        <w:tblStyle w:val="5"/>
        <w:tblW w:w="5000" w:type="pct"/>
        <w:tblInd w:w="0" w:type="dxa"/>
        <w:tblBorders>
          <w:top w:val="single" w:color="37474F" w:sz="12" w:space="0"/>
          <w:left w:val="none" w:color="auto" w:sz="0" w:space="0"/>
          <w:bottom w:val="single" w:color="37474F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59"/>
        <w:gridCol w:w="2619"/>
        <w:gridCol w:w="2620"/>
      </w:tblGrid>
      <w:tr w14:paraId="508D096D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4559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10401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Taxon</w:t>
            </w:r>
          </w:p>
        </w:tc>
        <w:tc>
          <w:tcPr>
            <w:tcW w:w="2619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5EFCF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FAPDs (%)</w:t>
            </w:r>
          </w:p>
        </w:tc>
        <w:tc>
          <w:tcPr>
            <w:tcW w:w="2620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A81D4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HCs (%)</w:t>
            </w:r>
          </w:p>
        </w:tc>
      </w:tr>
      <w:tr w14:paraId="56AC3A7A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61309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Unclassified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7CABB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0.00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DA3B2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0.03</w:t>
            </w:r>
          </w:p>
        </w:tc>
      </w:tr>
      <w:tr w14:paraId="5F80DBCA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C4F96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Other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0C5A7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0.00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BE002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0.01</w:t>
            </w:r>
          </w:p>
        </w:tc>
      </w:tr>
      <w:tr w14:paraId="20253139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68C9A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Synergistota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84E8E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0.01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587AD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0.01</w:t>
            </w:r>
          </w:p>
        </w:tc>
      </w:tr>
      <w:tr w14:paraId="5EEA8D88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EECDB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Patescibacteria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E32EC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0.01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53605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0.01</w:t>
            </w:r>
          </w:p>
        </w:tc>
      </w:tr>
      <w:tr w14:paraId="34162AC0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BF864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Cyanobacteria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04A91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0.01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88E1A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0.01</w:t>
            </w:r>
          </w:p>
        </w:tc>
      </w:tr>
      <w:tr w14:paraId="60586883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1C320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Fusobacteriota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97569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0.09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5D788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0.07</w:t>
            </w:r>
          </w:p>
        </w:tc>
      </w:tr>
      <w:tr w14:paraId="41CDEB2F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FF1D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Desulfobacterota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D4789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0.44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CE1D3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0.15</w:t>
            </w:r>
          </w:p>
        </w:tc>
      </w:tr>
      <w:tr w14:paraId="70DB72CB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17BBF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Verrucomicrobiota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44091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1.39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60E32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0.20</w:t>
            </w:r>
          </w:p>
        </w:tc>
      </w:tr>
      <w:tr w14:paraId="745E281A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03C8E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Actinobacteriota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0516D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9.74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97C50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9.52</w:t>
            </w:r>
          </w:p>
        </w:tc>
      </w:tr>
      <w:tr w14:paraId="74B6ADFC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6F815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Bacteroidota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9BCB5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13.23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C1498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13.29</w:t>
            </w:r>
          </w:p>
        </w:tc>
      </w:tr>
      <w:tr w14:paraId="0191B79D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1231D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Proteobacteria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0BADE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20.59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F7172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5.82</w:t>
            </w:r>
          </w:p>
        </w:tc>
      </w:tr>
      <w:tr w14:paraId="06FDA93A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D40A9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Firmicutes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B6D32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54.50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59E4E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70.88</w:t>
            </w:r>
          </w:p>
        </w:tc>
      </w:tr>
    </w:tbl>
    <w:p w14:paraId="1662CFA2">
      <w:pPr>
        <w:keepNext/>
        <w:spacing w:before="240" w:after="8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22"/>
          <w:szCs w:val="22"/>
        </w:rPr>
        <w:t>Supplementary Table 5. Genus-level mean relative abundances in the FAPDs and HC groups</w:t>
      </w:r>
    </w:p>
    <w:tbl>
      <w:tblPr>
        <w:tblStyle w:val="5"/>
        <w:tblW w:w="5000" w:type="pct"/>
        <w:tblInd w:w="0" w:type="dxa"/>
        <w:tblBorders>
          <w:top w:val="single" w:color="37474F" w:sz="12" w:space="0"/>
          <w:left w:val="none" w:color="auto" w:sz="0" w:space="0"/>
          <w:bottom w:val="single" w:color="37474F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59"/>
        <w:gridCol w:w="2619"/>
        <w:gridCol w:w="2620"/>
      </w:tblGrid>
      <w:tr w14:paraId="36DB2115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4559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B6BA0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Taxon</w:t>
            </w:r>
          </w:p>
        </w:tc>
        <w:tc>
          <w:tcPr>
            <w:tcW w:w="2619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87E43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FAPDs (%)</w:t>
            </w:r>
          </w:p>
        </w:tc>
        <w:tc>
          <w:tcPr>
            <w:tcW w:w="2620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2A4AC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HCs (%)</w:t>
            </w:r>
          </w:p>
        </w:tc>
      </w:tr>
      <w:tr w14:paraId="7D439DEB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EF417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Unclassified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F3113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4.25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C1468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5.89</w:t>
            </w:r>
          </w:p>
        </w:tc>
      </w:tr>
      <w:tr w14:paraId="6FEB3574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7C645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Other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909EA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41.83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40D3B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36.09</w:t>
            </w:r>
          </w:p>
        </w:tc>
      </w:tr>
      <w:tr w14:paraId="12541673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36D8B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Streptococcus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BA658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3.17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CBA4D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1.85</w:t>
            </w:r>
          </w:p>
        </w:tc>
      </w:tr>
      <w:tr w14:paraId="7784DF05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8545E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[Ruminococcus]_torques_group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7D82E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3.31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6C24D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1.97</w:t>
            </w:r>
          </w:p>
        </w:tc>
      </w:tr>
      <w:tr w14:paraId="3C79AAFC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290F9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Lachnoclostridium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2A80A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3.95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3711B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1.29</w:t>
            </w:r>
          </w:p>
        </w:tc>
      </w:tr>
      <w:tr w14:paraId="403E4D2F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3DAFE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Dialister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F3CD8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0.52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B331E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6.40</w:t>
            </w:r>
          </w:p>
        </w:tc>
      </w:tr>
      <w:tr w14:paraId="0A9C0E2A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F6F61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Blautia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6DC6A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color w:val="auto"/>
                <w:sz w:val="18"/>
                <w:szCs w:val="22"/>
              </w:rPr>
              <w:t>2.96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216FB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5.16</w:t>
            </w:r>
          </w:p>
        </w:tc>
      </w:tr>
      <w:tr w14:paraId="539843AC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63DEE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Subdoligranulum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E7C93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4.09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61796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6.29</w:t>
            </w:r>
          </w:p>
        </w:tc>
      </w:tr>
      <w:tr w14:paraId="76260F26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D9078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Bifidobacterium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828E7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8.07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5DD63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8.25</w:t>
            </w:r>
          </w:p>
        </w:tc>
      </w:tr>
      <w:tr w14:paraId="2CC79A5D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9865A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Escherichia-Shigella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13D93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12.72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7B5B0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3.11</w:t>
            </w:r>
          </w:p>
        </w:tc>
      </w:tr>
      <w:tr w14:paraId="465C1B5D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76299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Faecalibacterium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81B45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4.68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041CB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15.17</w:t>
            </w:r>
          </w:p>
        </w:tc>
      </w:tr>
      <w:tr w14:paraId="3DA67FB2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ED6CD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Bacteroides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4281C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10.44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468D8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8.52</w:t>
            </w:r>
          </w:p>
        </w:tc>
      </w:tr>
    </w:tbl>
    <w:p w14:paraId="79EB8684">
      <w:pPr>
        <w:spacing w:after="0" w:line="240" w:lineRule="auto"/>
        <w:jc w:val="lef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18"/>
          <w:szCs w:val="22"/>
        </w:rPr>
        <w:t>Note: The table lists the 10 predominant genera selected by overall mean relative abundance across the FAPDs and HC groups; all remaining low-abundance genera are pooled as “Other.” Agathobacter (FAPDs 1.07%, HCs 2.52%) falls below this inclusion threshold and is therefore not shown individually here; its group-specific abundances are reported in Supplementary Table 13 and Figure 2 of the main text.</w:t>
      </w:r>
    </w:p>
    <w:p w14:paraId="292DE58C">
      <w:pPr>
        <w:keepNext/>
        <w:spacing w:before="240" w:after="8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22"/>
          <w:szCs w:val="22"/>
        </w:rPr>
        <w:t>Supplementary Table 6. Individual participant data of the 47 children in the prospective trial</w:t>
      </w:r>
    </w:p>
    <w:tbl>
      <w:tblPr>
        <w:tblStyle w:val="5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1383"/>
        <w:gridCol w:w="1025"/>
        <w:gridCol w:w="820"/>
        <w:gridCol w:w="961"/>
        <w:gridCol w:w="961"/>
        <w:gridCol w:w="973"/>
        <w:gridCol w:w="973"/>
        <w:gridCol w:w="1025"/>
        <w:gridCol w:w="1012"/>
      </w:tblGrid>
      <w:tr w14:paraId="42858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665" w:type="dxa"/>
            <w:tcBorders>
              <w:bottom w:val="single" w:color="auto" w:sz="0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8F716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  <w:szCs w:val="22"/>
              </w:rPr>
              <w:t>Patient ID</w:t>
            </w:r>
          </w:p>
        </w:tc>
        <w:tc>
          <w:tcPr>
            <w:tcW w:w="1383" w:type="dxa"/>
            <w:tcBorders>
              <w:bottom w:val="single" w:color="auto" w:sz="0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5602E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  <w:szCs w:val="22"/>
              </w:rPr>
              <w:t>Group</w:t>
            </w:r>
          </w:p>
        </w:tc>
        <w:tc>
          <w:tcPr>
            <w:tcW w:w="1025" w:type="dxa"/>
            <w:tcBorders>
              <w:bottom w:val="single" w:color="auto" w:sz="0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A2641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  <w:szCs w:val="22"/>
              </w:rPr>
              <w:t>FMT route</w:t>
            </w:r>
          </w:p>
        </w:tc>
        <w:tc>
          <w:tcPr>
            <w:tcW w:w="820" w:type="dxa"/>
            <w:tcBorders>
              <w:bottom w:val="single" w:color="auto" w:sz="0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8A010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  <w:szCs w:val="22"/>
              </w:rPr>
              <w:t>FMT courses</w:t>
            </w:r>
          </w:p>
        </w:tc>
        <w:tc>
          <w:tcPr>
            <w:tcW w:w="961" w:type="dxa"/>
            <w:tcBorders>
              <w:bottom w:val="single" w:color="auto" w:sz="0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BC496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  <w:szCs w:val="22"/>
              </w:rPr>
              <w:t>Responder, week 4</w:t>
            </w:r>
          </w:p>
        </w:tc>
        <w:tc>
          <w:tcPr>
            <w:tcW w:w="961" w:type="dxa"/>
            <w:tcBorders>
              <w:bottom w:val="single" w:color="auto" w:sz="0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340E5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  <w:szCs w:val="22"/>
              </w:rPr>
              <w:t>Responder, week 8</w:t>
            </w:r>
          </w:p>
        </w:tc>
        <w:tc>
          <w:tcPr>
            <w:tcW w:w="973" w:type="dxa"/>
            <w:tcBorders>
              <w:bottom w:val="single" w:color="auto" w:sz="0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D9021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  <w:szCs w:val="22"/>
              </w:rPr>
              <w:t>GSRS, wk 0/4/8</w:t>
            </w:r>
          </w:p>
        </w:tc>
        <w:tc>
          <w:tcPr>
            <w:tcW w:w="973" w:type="dxa"/>
            <w:tcBorders>
              <w:bottom w:val="single" w:color="auto" w:sz="0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7DA25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  <w:szCs w:val="22"/>
              </w:rPr>
              <w:t>FPS-R, wk 0/4/8</w:t>
            </w:r>
          </w:p>
        </w:tc>
        <w:tc>
          <w:tcPr>
            <w:tcW w:w="1025" w:type="dxa"/>
            <w:tcBorders>
              <w:bottom w:val="single" w:color="auto" w:sz="0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CE511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  <w:szCs w:val="22"/>
              </w:rPr>
              <w:t>F-VAS, wk 0/4/8</w:t>
            </w:r>
          </w:p>
        </w:tc>
        <w:tc>
          <w:tcPr>
            <w:tcW w:w="1012" w:type="dxa"/>
            <w:tcBorders>
              <w:bottom w:val="single" w:color="auto" w:sz="0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E3239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  <w:szCs w:val="22"/>
              </w:rPr>
              <w:t>Withdrawal before week 8</w:t>
            </w:r>
          </w:p>
        </w:tc>
      </w:tr>
      <w:tr w14:paraId="41BCF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F4901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P1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13276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FMT + conventional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F72A7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Colonic infusion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00C01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Two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5AE43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3A66C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0CEC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42/20/18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63959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4/2/2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5539F5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52/26/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12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1114A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6063F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B2711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P2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B0E4E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FMT + conventional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C8204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Oral capsules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D10AE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One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6D0F7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D7446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67783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40/19/16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6CE82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4/2/2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9AC2FC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48/10/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16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86E47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63133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8D935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P3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9131F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FMT + conventional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EBDB1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Colonic infusion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5CC9D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One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6F53A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23AA2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82963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32/30/24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BFAED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6/4/4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A38CC6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60/50/4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2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8AB89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540077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85ACA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P4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BFCC9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FMT + conventional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FB6C4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Colonic infusion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8F5CC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Two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48ACD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91A52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F9BCF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42/32/17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526F2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6/4/2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70BC5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52/44/20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626AD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15609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D6F6D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P5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04D61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FMT + conventional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AF4C1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Oral capsules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D9AE7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Two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AA3B2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62D81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9EA5C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34/16/15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7D754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6/2/0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E87CBA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50/16/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8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86F5E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57F12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058C7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P6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32112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FMT + conventional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E1584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Oral capsules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BEE4A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One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5CC1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A74C3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75E33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34/17/15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F53B6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6/4/0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9CBD0E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60/30/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10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B7E3C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6EAAC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D1E3E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P7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509E0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FMT + conventional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6936B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Oral capsules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2A364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Two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4F084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9057F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0BE4E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33/16/15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CD18A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6/2/0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5364D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56/22/12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AA5C7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6B8D6C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4960B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P8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3E9E6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FMT + conventional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506EB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Oral capsules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BF3F2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Two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FF4DE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DABFA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A1B6C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32/28/15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2B45D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6/4/0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9F739E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58/48/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12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AB6F3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2B098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0959B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P9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54777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FMT + conventional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E02C1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Oral capsules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FD92A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One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F4F36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34A71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77811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30/15/15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6815E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6/2/0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A7188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52/32/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1</w:t>
            </w: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997BA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705D4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1AC07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P10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6E6F1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FMT + conventional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CD40B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Oral capsules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1ACD5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One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7B927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851D7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5D848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36/32/30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C3828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6/4/4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F695B0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50/48/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50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70EDA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6FB1C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623D7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P11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72C5D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FMT + conventional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C995B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Oral capsules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F8FE2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Two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1D686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46992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35AEA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36/18/15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C1EE8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6/4/0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05A1F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56/24/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1</w:t>
            </w: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2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3F4CA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6BD01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6AAB3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P12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654BB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FMT + conventional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462FE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Oral capsules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E5705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One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EC630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B0ED0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5B452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32/16/15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9214F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6/2/2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AAD84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62/18/18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DABE4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16CBA1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F61A4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P13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A0FA9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FMT + conventional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9A8A1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Colonic infusion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954F4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One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9EF7B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A9385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11ACA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30/24/17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51DEA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4/4/2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53F78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38/40/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16"/>
                <w:szCs w:val="22"/>
                <w:lang w:val="en-US"/>
              </w:rPr>
              <w:t>2</w:t>
            </w: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2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C5912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2FEC4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7AF3B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P14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F2285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FMT + conventional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2AF4E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Colonic infusion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83FC4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One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37450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B0821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6BB89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36/18/15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BD21D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4/2/0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5CB61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42/22/10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EFD9D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10210C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C0ABE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P15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C9458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FMT + conventional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33FB3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Colonic infusion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DEED8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Two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BE4A8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BF581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E070B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32/15/15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C82BA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6/2/0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22A740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56/18/1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0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E26C2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7C76C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1A554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P16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180B0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FMT + conventional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E9B41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Colonic infusion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9F036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Two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E11B3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C8596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29961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32/16/15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63782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4/2/0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EEF70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50/18/10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D7EFA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455C1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9D409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P17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433EE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FMT + conventional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E3D50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Oral capsules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D2C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One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B2CE4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04E7F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BDC7C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38/28/24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63C5C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4/2/2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34BB0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42/22/20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FE832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4F76D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78853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P18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D4B7A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FMT + conventional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64287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Oral capsules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AC129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Two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886C1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17706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7E57C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30/20/15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4FF0F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4/2/2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82EDC9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46/25/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17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CA193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7F224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DD1EE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P19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2D296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FMT + conventional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F15F8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Colonic infusion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B16B9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Two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EF101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5AEFF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80F93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32/16/15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DE65D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4/2/2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9D055F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48/18/1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5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D35DD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05647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A0202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P20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CAB65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FMT + conventional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4D75D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Oral capsules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251F5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One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CB9F5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28189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948CD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30/15/15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58839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4/2/0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0F379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40/18/12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B95B6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14252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57FDF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P21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E2CB9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FMT + conventional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98140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Oral capsules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0A409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Two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85048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234BD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90DD0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32/16/15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59B52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4/2/0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CFC6E0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38/16/1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0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B67F3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1C17C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8F8E2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P22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80C9B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FMT + conventional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FBC83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Oral capsules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C49E9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Two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5A475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F74E5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F1ED8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32/15/15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A750A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4/0/0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785D19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42/6/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10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F1C9C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4365B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9439F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P23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41B46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FMT + conventional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7FA1E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Colonic infusion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AE6BD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Two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E0376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6CBF6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8F669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26/20/18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E6F6C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4/2/2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DBD98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48/26/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3</w:t>
            </w: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0ABD4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3E612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C35C8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P24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0E75D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FMT + conventional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48018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Oral capsules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7A900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Two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19FE9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319E8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F9EF9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32/15/16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A76FE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2/0/2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A7C675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32/10/1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4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56D26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63033C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38E83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P25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6EFFB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FMT + conventional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CCB79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Oral capsules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167FB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Two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F2657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E3634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B58E0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32/15/15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3A7F6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4/2/2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074E6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37/16/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1</w:t>
            </w: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2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F3E3A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199B4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89F66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P26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4A656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FMT + conventional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FB8FE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Colonic infusion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0CB3E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One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6A4C0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D4B8A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8651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32/15/16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CE86B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4/2/2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2345D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43/18/20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F929F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378AD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53C2F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P27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A28C2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Conventional only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015B8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D5DAA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B83A0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5D359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65D57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34/20/15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09B54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4/2/0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1524A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46/26/16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69938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6222A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9B280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P28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19963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Conventional only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FCADA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30A21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8F9CA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6CCEB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EB1B3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32/20/16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6B1A4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4/2/2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C1A1D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44/24/20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33DD8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4EB855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73E6A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P29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16BD1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Conventional only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E15EB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79FD3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5DD73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1CFF8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4AA56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32/26/20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D08CD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4/4/2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4D8D8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40/38/16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76E39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046A89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F21D7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P30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BC28A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Conventional only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C1C89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78710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61106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7371D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9AE9F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30/34/26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733D0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4/6/4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3374D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38/48/36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AE8A6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4A404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21A0F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P31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C0043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Conventional only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6F752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B8D10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9A72E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1E2C3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267B4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32/16/16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4C8CF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4/2/2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0207B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50/24/22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7A14A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557265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FB8AC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P32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7BAEB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Conventional only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60068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A3E0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7F1B7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110F6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86C10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29/22/21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9F0DA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4/2/2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A76AE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44/20/26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2731F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28D6AC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DE98A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P33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603AA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Conventional only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3DD01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5E4E7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9F969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2318A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ECEB8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36/16/15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94D58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6/2/0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387E7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56/26/24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B81F3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69D0E2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E942C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P34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7A5F2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Conventional only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6C1A6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21200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08424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3C85B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4C8F9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28/25/23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4D785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4/4/4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241CE4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48/40/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32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A8982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36B10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B026F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P35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52938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Conventional only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3F489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59B04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DDFE5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4756C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E2BDA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27/26/23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8C332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4/4/2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65F56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46/40/26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00195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1F422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A2266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P36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49A99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Conventional only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E9777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42C78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22493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60359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78808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30/26/15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D9A3A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4/4/0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E64EF0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42/38/1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2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5FAEE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1308A8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1D4C2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P37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24387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Conventional only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C6B6D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01391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8AA1C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EC924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F8D76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36/32/25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486F0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6/6/4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C12BBA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56/50/3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2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A5C4E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51CC7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7B874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P38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747DA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Conventional only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B1C3E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169E1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FAB73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8E433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ADB05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38/34/19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B834D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6/6/2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803238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54/58/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15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7AB08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2C3DD8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18336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P39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729E2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Conventional only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47351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01AF1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A7FE8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2E4C0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0C869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42/20/20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94D97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4/2/2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4D927A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50/20/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16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09DAC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2171B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62161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P40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F3903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Conventional only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E8E50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3D2F2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37AC6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55AEE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340D1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40/30/20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0B1DC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6/4/2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12CF24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54/36/2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2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E9687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376216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5AB0B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P41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80E5E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Conventional only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EBCC7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30B27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AFB71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1502B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68912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38/31/19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A17BC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6/4/2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8CF32E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50/46/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18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316B8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35377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F889C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P42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44EDC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Conventional only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CF199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93886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3F8D1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7D39C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7C959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30/28/22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6B396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6/4/2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DACAB5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48/42/2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6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AE4F7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53BAC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68927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P43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4C21E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Conventional only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431DA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DD569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17108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130EE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0236B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26/23/23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98F4B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4/4/4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0ADD62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42/38/3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6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3CC38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35ACAB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258CE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P44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27B15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Conventional only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E2B6D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F68F3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BBD53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C7401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35441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22/24/19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E9908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4/4/2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E7835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38/38/20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3A90C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709ED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F6C79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P45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F3487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Conventional only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90F1F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C864A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009BC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6B095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68BD7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32/27/23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5DEF7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4/4/2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F774B9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36/40/2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4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99473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7625DF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7B503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P46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54A0B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Conventional only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9D179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8563F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4D90A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4B365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6C3BD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34/26/23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56D0E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6/4/2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0E1039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48/24/</w:t>
            </w:r>
            <w:r>
              <w:rPr>
                <w:rFonts w:hint="default" w:ascii="Times New Roman" w:hAnsi="Times New Roman" w:eastAsia="宋体" w:cs="Times New Roman"/>
                <w:color w:val="auto"/>
                <w:sz w:val="16"/>
                <w:szCs w:val="22"/>
                <w:lang w:val="en-US" w:eastAsia="zh-CN"/>
              </w:rPr>
              <w:t>18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83882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  <w:tr w14:paraId="79B8A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61595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P47</w:t>
            </w:r>
          </w:p>
        </w:tc>
        <w:tc>
          <w:tcPr>
            <w:tcW w:w="13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B6577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Conventional only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AB87E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8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C2A9D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—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5A592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  <w:tc>
          <w:tcPr>
            <w:tcW w:w="96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0A041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Yes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65D27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36/28/17</w:t>
            </w:r>
          </w:p>
        </w:tc>
        <w:tc>
          <w:tcPr>
            <w:tcW w:w="97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CB6B5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6/4/2</w:t>
            </w:r>
          </w:p>
        </w:tc>
        <w:tc>
          <w:tcPr>
            <w:tcW w:w="102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ED49E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50/30/18</w:t>
            </w:r>
          </w:p>
        </w:tc>
        <w:tc>
          <w:tcPr>
            <w:tcW w:w="10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7C8DE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</w:t>
            </w:r>
          </w:p>
        </w:tc>
      </w:tr>
    </w:tbl>
    <w:p w14:paraId="56E5B242">
      <w:pPr>
        <w:rPr>
          <w:rFonts w:ascii="Times New Roman" w:hAnsi="Times New Roman" w:cs="Times New Roman"/>
          <w:color w:val="auto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2"/>
          <w:lang w:val="en-US" w:eastAsia="zh-CN"/>
        </w:rPr>
        <w:t xml:space="preserve">Responder status was computed from the three scale scores per the prespecified composite definition (requiring a ≥50% reduction in GSRS score </w:t>
      </w:r>
      <w:r>
        <w:rPr>
          <w:rFonts w:ascii="Times New Roman" w:hAnsi="Times New Roman" w:eastAsia="Times New Roman" w:cs="Times New Roman"/>
          <w:b w:val="0"/>
          <w:i w:val="0"/>
          <w:color w:val="auto"/>
          <w:spacing w:val="0"/>
          <w:sz w:val="24"/>
          <w:szCs w:val="22"/>
          <w:vertAlign w:val="baseline"/>
        </w:rPr>
        <w:t>or a final score ≤15</w:t>
      </w:r>
      <w:r>
        <w:rPr>
          <w:rFonts w:ascii="Times New Roman" w:hAnsi="Times New Roman" w:eastAsia="Times New Roman" w:cs="Times New Roman"/>
          <w:color w:val="auto"/>
          <w:sz w:val="24"/>
          <w:szCs w:val="22"/>
        </w:rPr>
        <w:t xml:space="preserve"> AND a ≥50% reduction in either the F-VAS or FPS-R score): FMT group 18/26 (69.2%) at week 4 and 21/26 (80.8%) at week 8; control group 3/21 (14.3%) and 10/21 (47.6%). All 47 participants completed the week-8 assessment; there were no withdrawals. PSQI scores are summarized in Tables 1 and 3 of the main text. GSRS, Gastrointestinal Symptom Rating Scale; FPS-R, revised Wong–Baker Faces Pain Scale; F-VAS, Faces Visual Analog Scale.</w:t>
      </w:r>
    </w:p>
    <w:p w14:paraId="0A37DA0C">
      <w:pPr>
        <w:keepNext/>
        <w:spacing w:before="240" w:after="8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22"/>
          <w:szCs w:val="22"/>
        </w:rPr>
        <w:t>Supplementary Table 7. Genus-level mean relative abundances in donors and in FMT patients before (FMT0W) and after (FMT4W) treatment</w:t>
      </w:r>
    </w:p>
    <w:tbl>
      <w:tblPr>
        <w:tblStyle w:val="5"/>
        <w:tblW w:w="5000" w:type="pct"/>
        <w:tblInd w:w="0" w:type="dxa"/>
        <w:tblBorders>
          <w:top w:val="single" w:color="37474F" w:sz="12" w:space="0"/>
          <w:left w:val="none" w:color="auto" w:sz="0" w:space="0"/>
          <w:bottom w:val="single" w:color="37474F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60"/>
        <w:gridCol w:w="1746"/>
        <w:gridCol w:w="1746"/>
        <w:gridCol w:w="1746"/>
      </w:tblGrid>
      <w:tr w14:paraId="714ACF16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4560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4A0EE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Taxon</w:t>
            </w:r>
          </w:p>
        </w:tc>
        <w:tc>
          <w:tcPr>
            <w:tcW w:w="1746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ED88D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Donor (%)</w:t>
            </w:r>
          </w:p>
        </w:tc>
        <w:tc>
          <w:tcPr>
            <w:tcW w:w="1746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24C7E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FMT0W (%)</w:t>
            </w:r>
          </w:p>
        </w:tc>
        <w:tc>
          <w:tcPr>
            <w:tcW w:w="1746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E77F9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FMT4W (%)</w:t>
            </w:r>
          </w:p>
        </w:tc>
      </w:tr>
      <w:tr w14:paraId="78B77ABF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B5295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Unclassified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491F1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5.40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13DE1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3.22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6D8BC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4.47</w:t>
            </w:r>
          </w:p>
        </w:tc>
      </w:tr>
      <w:tr w14:paraId="6ADEDB6B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1F6AF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Other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D0E33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35.96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18CA0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44.50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44809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41.55</w:t>
            </w:r>
          </w:p>
        </w:tc>
      </w:tr>
      <w:tr w14:paraId="6922692E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AC6BB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Lachnoclostridium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9A8D4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0.67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F03E5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3.40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8A407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2.87</w:t>
            </w:r>
          </w:p>
        </w:tc>
      </w:tr>
      <w:tr w14:paraId="01AC68E9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8F922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Prevotella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5F17D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2.36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53F52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2.12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CF4AE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2.46</w:t>
            </w:r>
          </w:p>
        </w:tc>
      </w:tr>
      <w:tr w14:paraId="2D44C6AA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B2604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Streptococcus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829F5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2.24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24358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1.68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CEB4C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3.52</w:t>
            </w:r>
          </w:p>
        </w:tc>
      </w:tr>
      <w:tr w14:paraId="613C9F14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6BEE0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Dialister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0970C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9.11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DC9D5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0.29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DDDE2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0.37</w:t>
            </w:r>
          </w:p>
        </w:tc>
      </w:tr>
      <w:tr w14:paraId="03E4D4FA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3D19C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Subdoligranulum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DA3B3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5.95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A084E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3.68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8FC56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1.71</w:t>
            </w:r>
          </w:p>
        </w:tc>
      </w:tr>
      <w:tr w14:paraId="68EE9A5E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AA5F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Blautia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3CD3B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5.32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5DF36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3.18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6B9C3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6.33</w:t>
            </w:r>
          </w:p>
        </w:tc>
      </w:tr>
      <w:tr w14:paraId="65BC4950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8DE6C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Escherichia-Shigella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95699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4.10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29BBA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11.84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25918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9.57</w:t>
            </w:r>
          </w:p>
        </w:tc>
      </w:tr>
      <w:tr w14:paraId="6C2C99B1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012EE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Bacteroides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B5904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4.53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E5E3A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8.85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32AA3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12.43</w:t>
            </w:r>
          </w:p>
        </w:tc>
      </w:tr>
      <w:tr w14:paraId="702BB59D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2C488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Bifidobacterium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20835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9.61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5A9E0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11.24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B045C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6.06</w:t>
            </w:r>
          </w:p>
        </w:tc>
      </w:tr>
      <w:tr w14:paraId="55EF01BD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48546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Faecalibacterium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A21D2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14.76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E3CDE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5.93</w:t>
            </w:r>
          </w:p>
        </w:tc>
        <w:tc>
          <w:tcPr>
            <w:tcW w:w="174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F1870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8.57</w:t>
            </w:r>
          </w:p>
        </w:tc>
      </w:tr>
    </w:tbl>
    <w:p w14:paraId="11B04DE1">
      <w:pPr>
        <w:keepNext/>
        <w:spacing w:before="240" w:after="8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22"/>
          <w:szCs w:val="22"/>
        </w:rPr>
        <w:t>Supplementary Table 8. Genus-level mean relative abundances in IBS-subtype patients before (FMT0W) and after (FMT4W) treatment</w:t>
      </w:r>
    </w:p>
    <w:tbl>
      <w:tblPr>
        <w:tblStyle w:val="5"/>
        <w:tblW w:w="5000" w:type="pct"/>
        <w:tblInd w:w="0" w:type="dxa"/>
        <w:tblBorders>
          <w:top w:val="single" w:color="37474F" w:sz="12" w:space="0"/>
          <w:left w:val="none" w:color="auto" w:sz="0" w:space="0"/>
          <w:bottom w:val="single" w:color="37474F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59"/>
        <w:gridCol w:w="2619"/>
        <w:gridCol w:w="2620"/>
      </w:tblGrid>
      <w:tr w14:paraId="7551CF72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4559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7C3BD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Taxon</w:t>
            </w:r>
          </w:p>
        </w:tc>
        <w:tc>
          <w:tcPr>
            <w:tcW w:w="2619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4C9A4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IBS-FMT0W (%)</w:t>
            </w:r>
          </w:p>
        </w:tc>
        <w:tc>
          <w:tcPr>
            <w:tcW w:w="2620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147A2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IBS-FMT4W (%)</w:t>
            </w:r>
          </w:p>
        </w:tc>
      </w:tr>
      <w:tr w14:paraId="4C82BA65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45EB5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Other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8072F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37.86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89980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36.75</w:t>
            </w:r>
          </w:p>
        </w:tc>
      </w:tr>
      <w:tr w14:paraId="638C2E16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2539F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Collinsella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125A4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1.61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6373D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4.09</w:t>
            </w:r>
          </w:p>
        </w:tc>
      </w:tr>
      <w:tr w14:paraId="567F12BB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80A05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[Ruminococcus]_torques_group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7C851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2.84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8113F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3.62</w:t>
            </w:r>
          </w:p>
        </w:tc>
      </w:tr>
      <w:tr w14:paraId="4EA4F2FC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F0D4F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Lachnoclostridium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DD1B7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3.52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E97C5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3.62</w:t>
            </w:r>
          </w:p>
        </w:tc>
      </w:tr>
      <w:tr w14:paraId="359F3649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34D69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Enterobacter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3842B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5.40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AC828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2.01</w:t>
            </w:r>
          </w:p>
        </w:tc>
      </w:tr>
      <w:tr w14:paraId="63C33EE3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AD280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Blautia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27C91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3.20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A8DE4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4.76</w:t>
            </w:r>
          </w:p>
        </w:tc>
      </w:tr>
      <w:tr w14:paraId="72456DCE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6B235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Faecalibacterium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C9364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2.90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311B9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6.50</w:t>
            </w:r>
          </w:p>
        </w:tc>
      </w:tr>
      <w:tr w14:paraId="06390397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F1841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Prevotella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F966E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4.60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4F21B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5.43</w:t>
            </w:r>
          </w:p>
        </w:tc>
      </w:tr>
      <w:tr w14:paraId="69A09642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42958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Bacteroides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CE6B9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5.53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3CBED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9.67</w:t>
            </w:r>
          </w:p>
        </w:tc>
      </w:tr>
      <w:tr w14:paraId="606E3948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127EC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Escherichia-Shigella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4CAB1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16.04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8E211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15.57</w:t>
            </w:r>
          </w:p>
        </w:tc>
      </w:tr>
    </w:tbl>
    <w:p w14:paraId="4D01E195">
      <w:pPr>
        <w:keepNext/>
        <w:spacing w:before="240" w:after="8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22"/>
          <w:szCs w:val="22"/>
        </w:rPr>
        <w:t>Supplementary Table 9. Genus-level mean relative abundances in FD-subtype patients before (FMT0W) and after (FMT4W) treatment</w:t>
      </w:r>
    </w:p>
    <w:tbl>
      <w:tblPr>
        <w:tblStyle w:val="5"/>
        <w:tblW w:w="5000" w:type="pct"/>
        <w:tblInd w:w="0" w:type="dxa"/>
        <w:tblBorders>
          <w:top w:val="single" w:color="37474F" w:sz="12" w:space="0"/>
          <w:left w:val="none" w:color="auto" w:sz="0" w:space="0"/>
          <w:bottom w:val="single" w:color="37474F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59"/>
        <w:gridCol w:w="2619"/>
        <w:gridCol w:w="2620"/>
      </w:tblGrid>
      <w:tr w14:paraId="130A2090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4559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63EEE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Taxon</w:t>
            </w:r>
          </w:p>
        </w:tc>
        <w:tc>
          <w:tcPr>
            <w:tcW w:w="2619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DDFF4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FD-FMT0W (%)</w:t>
            </w:r>
          </w:p>
        </w:tc>
        <w:tc>
          <w:tcPr>
            <w:tcW w:w="2620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7DC79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FD-FMT4W (%)</w:t>
            </w:r>
          </w:p>
        </w:tc>
      </w:tr>
      <w:tr w14:paraId="6A080D66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6C1F0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Unclassified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AE565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3.83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15CAA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3.98</w:t>
            </w:r>
          </w:p>
        </w:tc>
      </w:tr>
      <w:tr w14:paraId="5F759EA9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2F0C3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Other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C1B2B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36.81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0973F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34.95</w:t>
            </w:r>
          </w:p>
        </w:tc>
      </w:tr>
      <w:tr w14:paraId="054777DF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86CA8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Lachnoclostridium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39882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3.69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EEC7C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2.13</w:t>
            </w:r>
          </w:p>
        </w:tc>
      </w:tr>
      <w:tr w14:paraId="669458F6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B61D6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Streptococcus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4D387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1.71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01464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4.95</w:t>
            </w:r>
          </w:p>
        </w:tc>
      </w:tr>
      <w:tr w14:paraId="55D772A5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C79FB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Veillonella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AE57E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5.64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F1CAD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1.09</w:t>
            </w:r>
          </w:p>
        </w:tc>
      </w:tr>
      <w:tr w14:paraId="7F4A6CA6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A00B6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Hungatella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4E817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3.97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9CF58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2.99</w:t>
            </w:r>
          </w:p>
        </w:tc>
      </w:tr>
      <w:tr w14:paraId="15C5ED16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C5853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Lactobacillus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20F0A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3.77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3781F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3.81</w:t>
            </w:r>
          </w:p>
        </w:tc>
      </w:tr>
      <w:tr w14:paraId="7DF164E5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08511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Blautia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7629F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3.13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4D8EB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7.96</w:t>
            </w:r>
          </w:p>
        </w:tc>
      </w:tr>
      <w:tr w14:paraId="5AA9322A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FCC0D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Escherichia-Shigella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FA12B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7.84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B613A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4.44</w:t>
            </w:r>
          </w:p>
        </w:tc>
      </w:tr>
      <w:tr w14:paraId="3ABD73C3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2F789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Bifidobacterium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14D6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8.70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30C68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9.02</w:t>
            </w:r>
          </w:p>
        </w:tc>
      </w:tr>
      <w:tr w14:paraId="16D9E193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746D2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Faecalibacterium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66753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8.64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1E208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10.70</w:t>
            </w:r>
          </w:p>
        </w:tc>
      </w:tr>
      <w:tr w14:paraId="60AA26D0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C2990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Bacteroides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1FD32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12.26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45E2D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14.18</w:t>
            </w:r>
          </w:p>
        </w:tc>
      </w:tr>
    </w:tbl>
    <w:p w14:paraId="48685562">
      <w:pPr>
        <w:keepNext/>
        <w:spacing w:before="240" w:after="8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22"/>
          <w:szCs w:val="22"/>
        </w:rPr>
        <w:t>Supplementary Table 10. Phylum-level mean relative abundances in FMT responders and non-responders (post-FMT week-4 samples; 17 responders and 8 non-responders with qualified samples)</w:t>
      </w:r>
    </w:p>
    <w:tbl>
      <w:tblPr>
        <w:tblStyle w:val="5"/>
        <w:tblW w:w="5000" w:type="pct"/>
        <w:tblInd w:w="0" w:type="dxa"/>
        <w:tblBorders>
          <w:top w:val="single" w:color="37474F" w:sz="12" w:space="0"/>
          <w:left w:val="none" w:color="auto" w:sz="0" w:space="0"/>
          <w:bottom w:val="single" w:color="37474F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59"/>
        <w:gridCol w:w="2619"/>
        <w:gridCol w:w="2620"/>
      </w:tblGrid>
      <w:tr w14:paraId="3EDB64F9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4559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D3390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Taxon</w:t>
            </w:r>
          </w:p>
        </w:tc>
        <w:tc>
          <w:tcPr>
            <w:tcW w:w="2619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654FA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Non_responders (%)</w:t>
            </w:r>
          </w:p>
        </w:tc>
        <w:tc>
          <w:tcPr>
            <w:tcW w:w="2620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9E166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Responders (%)</w:t>
            </w:r>
          </w:p>
        </w:tc>
      </w:tr>
      <w:tr w14:paraId="4CFA02BD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F7D59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Planctomycetota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68A28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0.00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2D9A8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0.01</w:t>
            </w:r>
          </w:p>
        </w:tc>
      </w:tr>
      <w:tr w14:paraId="1489FD17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20039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Patescibacteria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05823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0.01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3B37A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0.01</w:t>
            </w:r>
          </w:p>
        </w:tc>
      </w:tr>
      <w:tr w14:paraId="52C49C34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AA92F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Fusobacteriota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370B3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0.11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C206F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0.12</w:t>
            </w:r>
          </w:p>
        </w:tc>
      </w:tr>
      <w:tr w14:paraId="3322FF28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93B9B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Euryarchaeota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63D87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0.00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7CAB2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0.30</w:t>
            </w:r>
          </w:p>
        </w:tc>
      </w:tr>
      <w:tr w14:paraId="788C25C9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C0768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Desulfobacterota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146D3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0.44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2FC66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0.12</w:t>
            </w:r>
          </w:p>
        </w:tc>
      </w:tr>
      <w:tr w14:paraId="016B0D91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FA2AE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Verrucomicrobiota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673DB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0.99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F10EA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2.13</w:t>
            </w:r>
          </w:p>
        </w:tc>
      </w:tr>
      <w:tr w14:paraId="2B8D33C1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F749A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Actinobacteriota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830FC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11.43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DD2B1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7.31</w:t>
            </w:r>
          </w:p>
        </w:tc>
      </w:tr>
      <w:tr w14:paraId="6B4996C0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47175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Proteobacteria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BB834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25.43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40F61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9.09</w:t>
            </w:r>
          </w:p>
        </w:tc>
      </w:tr>
      <w:tr w14:paraId="4A726CDF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B0388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Bacteroidota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BA217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6.06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A8E47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21.55</w:t>
            </w:r>
          </w:p>
        </w:tc>
      </w:tr>
      <w:tr w14:paraId="7AA2D91F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1D72A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Firmicutes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D7DD0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55.53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09F2C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59.96</w:t>
            </w:r>
          </w:p>
        </w:tc>
      </w:tr>
    </w:tbl>
    <w:p w14:paraId="2F055BFD">
      <w:pPr>
        <w:keepNext/>
        <w:spacing w:before="240" w:after="8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22"/>
          <w:szCs w:val="22"/>
        </w:rPr>
        <w:t>Supplementary Table 11. Genus-level mean relative abundances in FMT responders and non-responders (post-FMT week-4 samples; 17 responders and 8 non-responders with qualified samples)</w:t>
      </w:r>
    </w:p>
    <w:tbl>
      <w:tblPr>
        <w:tblStyle w:val="5"/>
        <w:tblW w:w="5000" w:type="pct"/>
        <w:tblInd w:w="0" w:type="dxa"/>
        <w:tblBorders>
          <w:top w:val="single" w:color="37474F" w:sz="12" w:space="0"/>
          <w:left w:val="none" w:color="auto" w:sz="0" w:space="0"/>
          <w:bottom w:val="single" w:color="37474F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59"/>
        <w:gridCol w:w="2619"/>
        <w:gridCol w:w="2620"/>
      </w:tblGrid>
      <w:tr w14:paraId="35B164D6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4559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00E00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Taxon</w:t>
            </w:r>
          </w:p>
        </w:tc>
        <w:tc>
          <w:tcPr>
            <w:tcW w:w="2619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415E1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Non_responders (%)</w:t>
            </w:r>
          </w:p>
        </w:tc>
        <w:tc>
          <w:tcPr>
            <w:tcW w:w="2620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92CB2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Responders (%)</w:t>
            </w:r>
          </w:p>
        </w:tc>
      </w:tr>
      <w:tr w14:paraId="5B10EE60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87BA7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Unclassified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7416C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4.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22"/>
                <w:lang w:val="en-US" w:eastAsia="zh-CN"/>
              </w:rPr>
              <w:t>8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5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E8B8F5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  <w:lang w:eastAsia="zh-CN"/>
              </w:rPr>
              <w:t>4.3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22"/>
                <w:lang w:val="en-US" w:eastAsia="zh-CN"/>
              </w:rPr>
              <w:t>0</w:t>
            </w:r>
          </w:p>
        </w:tc>
      </w:tr>
      <w:tr w14:paraId="2621C860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11FC0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Other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98619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22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.35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0E1FD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22"/>
                <w:lang w:val="en-US" w:eastAsia="zh-CN"/>
              </w:rPr>
              <w:t>8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.61</w:t>
            </w:r>
          </w:p>
        </w:tc>
      </w:tr>
      <w:tr w14:paraId="15992D6F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42B9D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Prevotella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13EB1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0.17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0850C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3.35</w:t>
            </w:r>
          </w:p>
        </w:tc>
      </w:tr>
      <w:tr w14:paraId="3D218EB2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5618B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Lactobacillus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C4F49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22"/>
                <w:lang w:val="en-US" w:eastAsia="zh-CN"/>
              </w:rPr>
              <w:t>5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0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7A729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3.64</w:t>
            </w:r>
          </w:p>
        </w:tc>
      </w:tr>
      <w:tr w14:paraId="26AD7D45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7A247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Lachnoclostridium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1EE65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4.98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C8535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1.72</w:t>
            </w:r>
          </w:p>
        </w:tc>
      </w:tr>
      <w:tr w14:paraId="6A901D9F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top"/>
          </w:tcPr>
          <w:p w14:paraId="61FB1197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22"/>
              </w:rPr>
              <w:t>Ruminococcus</w:t>
            </w:r>
          </w:p>
        </w:tc>
        <w:tc>
          <w:tcPr>
            <w:tcW w:w="2619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top"/>
          </w:tcPr>
          <w:p w14:paraId="58820A8B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sz w:val="18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22"/>
                <w:lang w:val="en-US" w:eastAsia="zh-CN"/>
              </w:rPr>
              <w:t>0.16</w:t>
            </w:r>
          </w:p>
        </w:tc>
        <w:tc>
          <w:tcPr>
            <w:tcW w:w="2620" w:type="dxa"/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top"/>
          </w:tcPr>
          <w:p w14:paraId="2A88930D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sz w:val="18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22"/>
                <w:lang w:val="en-US" w:eastAsia="zh-CN"/>
              </w:rPr>
              <w:t>1.44</w:t>
            </w:r>
          </w:p>
        </w:tc>
      </w:tr>
      <w:tr w14:paraId="3689F7F6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CBDFC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Streptococcus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1553FD">
            <w:pPr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  <w:lang w:eastAsia="zh-CN"/>
              </w:rPr>
              <w:t>8.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22"/>
                <w:lang w:val="en-US" w:eastAsia="zh-CN"/>
              </w:rPr>
              <w:t>43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3FC7B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1.63</w:t>
            </w:r>
          </w:p>
        </w:tc>
      </w:tr>
      <w:tr w14:paraId="795BCB19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C2445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Bifidobacterium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1278E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9.61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E8C53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4.35</w:t>
            </w:r>
          </w:p>
        </w:tc>
      </w:tr>
      <w:tr w14:paraId="606D66D9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147F0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Blautia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1F3DC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4.56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71C5E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7.67</w:t>
            </w:r>
          </w:p>
        </w:tc>
      </w:tr>
      <w:tr w14:paraId="68618F4D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A5387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Faecalibacterium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54320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1.24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CD98E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12.52</w:t>
            </w:r>
          </w:p>
        </w:tc>
      </w:tr>
      <w:tr w14:paraId="48B0DBDD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BC366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Escherichia-Shigella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5D63D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20.20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839BA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4.29</w:t>
            </w:r>
          </w:p>
        </w:tc>
      </w:tr>
      <w:tr w14:paraId="40668D38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5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45283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Bacteroides</w:t>
            </w:r>
          </w:p>
        </w:tc>
        <w:tc>
          <w:tcPr>
            <w:tcW w:w="2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9E5BC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5.61</w:t>
            </w:r>
          </w:p>
        </w:tc>
        <w:tc>
          <w:tcPr>
            <w:tcW w:w="26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04CAA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15.55</w:t>
            </w:r>
          </w:p>
        </w:tc>
      </w:tr>
    </w:tbl>
    <w:p w14:paraId="3C1D1C02">
      <w:pPr>
        <w:keepNext/>
        <w:spacing w:before="240" w:after="8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22"/>
          <w:szCs w:val="22"/>
        </w:rPr>
        <w:t>Supplementary Table 12. Performance of the random forest models under internal validation</w:t>
      </w:r>
    </w:p>
    <w:tbl>
      <w:tblPr>
        <w:tblStyle w:val="5"/>
        <w:tblW w:w="5000" w:type="pct"/>
        <w:tblInd w:w="0" w:type="dxa"/>
        <w:tblBorders>
          <w:top w:val="single" w:color="37474F" w:sz="12" w:space="0"/>
          <w:left w:val="none" w:color="auto" w:sz="0" w:space="0"/>
          <w:bottom w:val="single" w:color="37474F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49"/>
        <w:gridCol w:w="929"/>
        <w:gridCol w:w="1187"/>
        <w:gridCol w:w="1549"/>
        <w:gridCol w:w="940"/>
        <w:gridCol w:w="997"/>
        <w:gridCol w:w="996"/>
        <w:gridCol w:w="1032"/>
        <w:gridCol w:w="619"/>
      </w:tblGrid>
      <w:tr w14:paraId="68037C78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Header/>
        </w:trPr>
        <w:tc>
          <w:tcPr>
            <w:tcW w:w="1549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2F9B5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  <w:szCs w:val="22"/>
              </w:rPr>
              <w:t>Model</w:t>
            </w:r>
          </w:p>
        </w:tc>
        <w:tc>
          <w:tcPr>
            <w:tcW w:w="929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47B11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  <w:szCs w:val="22"/>
              </w:rPr>
              <w:t>Apparent AUC (OOB)†</w:t>
            </w:r>
          </w:p>
        </w:tc>
        <w:tc>
          <w:tcPr>
            <w:tcW w:w="1187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69C18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  <w:szCs w:val="22"/>
              </w:rPr>
              <w:t>LOOCV AUC (95% CI)</w:t>
            </w:r>
          </w:p>
        </w:tc>
        <w:tc>
          <w:tcPr>
            <w:tcW w:w="1549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BA524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  <w:szCs w:val="22"/>
              </w:rPr>
              <w:t>Repeated 5-fold CV AUC (mean ± SD, range)</w:t>
            </w:r>
          </w:p>
        </w:tc>
        <w:tc>
          <w:tcPr>
            <w:tcW w:w="940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1A8E3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  <w:szCs w:val="22"/>
              </w:rPr>
              <w:t>Optimism-corrected AUC</w:t>
            </w:r>
          </w:p>
        </w:tc>
        <w:tc>
          <w:tcPr>
            <w:tcW w:w="997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57477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  <w:szCs w:val="22"/>
              </w:rPr>
              <w:t>Sensitivity‡</w:t>
            </w:r>
          </w:p>
        </w:tc>
        <w:tc>
          <w:tcPr>
            <w:tcW w:w="996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4483D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  <w:szCs w:val="22"/>
              </w:rPr>
              <w:t>Specificity‡</w:t>
            </w:r>
          </w:p>
        </w:tc>
        <w:tc>
          <w:tcPr>
            <w:tcW w:w="1032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7748B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  <w:szCs w:val="22"/>
              </w:rPr>
              <w:t>Calibration intercept / slope</w:t>
            </w:r>
          </w:p>
        </w:tc>
        <w:tc>
          <w:tcPr>
            <w:tcW w:w="619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86F0E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  <w:szCs w:val="22"/>
              </w:rPr>
              <w:t>Brier score</w:t>
            </w:r>
          </w:p>
        </w:tc>
      </w:tr>
      <w:tr w14:paraId="71BB4555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4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D4B7C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Diagnostic (n = 86, 7 genera)</w:t>
            </w:r>
          </w:p>
        </w:tc>
        <w:tc>
          <w:tcPr>
            <w:tcW w:w="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9368C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0.890</w:t>
            </w:r>
          </w:p>
        </w:tc>
        <w:tc>
          <w:tcPr>
            <w:tcW w:w="11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1EEF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0.896 (0.821–0.952)</w:t>
            </w:r>
          </w:p>
        </w:tc>
        <w:tc>
          <w:tcPr>
            <w:tcW w:w="154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50F8C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0.895 ± 0.066 (0.708–0.986)</w:t>
            </w:r>
          </w:p>
        </w:tc>
        <w:tc>
          <w:tcPr>
            <w:tcW w:w="94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FFC95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0.894</w:t>
            </w:r>
          </w:p>
        </w:tc>
        <w:tc>
          <w:tcPr>
            <w:tcW w:w="9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68FBA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83.0% (39/47)</w:t>
            </w:r>
          </w:p>
        </w:tc>
        <w:tc>
          <w:tcPr>
            <w:tcW w:w="99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7BD0E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79.5% (31/39)</w:t>
            </w:r>
          </w:p>
        </w:tc>
        <w:tc>
          <w:tcPr>
            <w:tcW w:w="10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6F16B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−0.182 / 1.355</w:t>
            </w:r>
          </w:p>
        </w:tc>
        <w:tc>
          <w:tcPr>
            <w:tcW w:w="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E7867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0.134</w:t>
            </w:r>
          </w:p>
        </w:tc>
      </w:tr>
      <w:tr w14:paraId="0FE55543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4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F9014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Response (n = 26, 4 genera)</w:t>
            </w:r>
          </w:p>
        </w:tc>
        <w:tc>
          <w:tcPr>
            <w:tcW w:w="92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ADD53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0.917</w:t>
            </w:r>
          </w:p>
        </w:tc>
        <w:tc>
          <w:tcPr>
            <w:tcW w:w="11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5A0C5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0.917 (0.765–1.000)</w:t>
            </w:r>
          </w:p>
        </w:tc>
        <w:tc>
          <w:tcPr>
            <w:tcW w:w="154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A282F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0.950 ± 0.117 (0.500–1.000)</w:t>
            </w:r>
          </w:p>
        </w:tc>
        <w:tc>
          <w:tcPr>
            <w:tcW w:w="94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7C1B7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0.933</w:t>
            </w:r>
          </w:p>
        </w:tc>
        <w:tc>
          <w:tcPr>
            <w:tcW w:w="9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994F8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83.3% (15/18)</w:t>
            </w:r>
          </w:p>
        </w:tc>
        <w:tc>
          <w:tcPr>
            <w:tcW w:w="99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6CCC4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100.0% (8/8)</w:t>
            </w:r>
          </w:p>
        </w:tc>
        <w:tc>
          <w:tcPr>
            <w:tcW w:w="103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287EF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0.161 / 1.128</w:t>
            </w:r>
          </w:p>
        </w:tc>
        <w:tc>
          <w:tcPr>
            <w:tcW w:w="61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37F10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0.105</w:t>
            </w:r>
          </w:p>
        </w:tc>
      </w:tr>
    </w:tbl>
    <w:p w14:paraId="3FED9B94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color w:val="auto"/>
          <w:sz w:val="24"/>
          <w:szCs w:val="22"/>
        </w:rPr>
        <w:t>† OOB: out-of-bag predictions of the random forest fitted on the full dataset. The in-sample combined ROC curves shown in Figures 2H and 7D correspond to apparent (in-sample) AUCs of 0.906 and 0.971, respectively. ‡ At the Youden-optimal cutoff of the pooled leave-one-out cross-validated probabilities. LOOCV, leave-one-out cross-validation; CI, bootstrap confidence interval (2,000 resamples); optimism correction by Harrell's method (60 resamples).</w:t>
      </w:r>
    </w:p>
    <w:p w14:paraId="53AAF624">
      <w:pPr>
        <w:keepNext/>
        <w:spacing w:before="240" w:after="8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22"/>
          <w:szCs w:val="22"/>
        </w:rPr>
        <w:t>Supplementary Table 13. Genus-level relative abundances underlying the 7-genus diagnostic model (47 FAPDs and 39 HCs)</w:t>
      </w:r>
    </w:p>
    <w:tbl>
      <w:tblPr>
        <w:tblStyle w:val="5"/>
        <w:tblW w:w="5000" w:type="pct"/>
        <w:tblInd w:w="0" w:type="dxa"/>
        <w:tblBorders>
          <w:top w:val="single" w:color="37474F" w:sz="12" w:space="0"/>
          <w:left w:val="none" w:color="auto" w:sz="0" w:space="0"/>
          <w:bottom w:val="single" w:color="37474F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11"/>
        <w:gridCol w:w="885"/>
        <w:gridCol w:w="1049"/>
        <w:gridCol w:w="1049"/>
        <w:gridCol w:w="1121"/>
        <w:gridCol w:w="1065"/>
        <w:gridCol w:w="1049"/>
        <w:gridCol w:w="1384"/>
        <w:gridCol w:w="1185"/>
      </w:tblGrid>
      <w:tr w14:paraId="4FD40F1C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Header/>
        </w:trPr>
        <w:tc>
          <w:tcPr>
            <w:tcW w:w="987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2849B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</w:rPr>
              <w:t>Sample</w:t>
            </w:r>
          </w:p>
        </w:tc>
        <w:tc>
          <w:tcPr>
            <w:tcW w:w="864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989E0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</w:rPr>
              <w:t>Group</w:t>
            </w:r>
          </w:p>
        </w:tc>
        <w:tc>
          <w:tcPr>
            <w:tcW w:w="1024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92915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</w:rPr>
              <w:t>Dialister</w:t>
            </w:r>
          </w:p>
        </w:tc>
        <w:tc>
          <w:tcPr>
            <w:tcW w:w="1024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0FAB0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</w:rPr>
              <w:t>Blautia</w:t>
            </w:r>
          </w:p>
        </w:tc>
        <w:tc>
          <w:tcPr>
            <w:tcW w:w="1024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63091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</w:rPr>
              <w:t>Agathobacter</w:t>
            </w:r>
          </w:p>
        </w:tc>
        <w:tc>
          <w:tcPr>
            <w:tcW w:w="1024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D1E3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</w:rPr>
              <w:t>Coprococcus</w:t>
            </w:r>
          </w:p>
        </w:tc>
        <w:tc>
          <w:tcPr>
            <w:tcW w:w="1024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CE8F3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</w:rPr>
              <w:t>Escherichia-Shigella</w:t>
            </w:r>
          </w:p>
        </w:tc>
        <w:tc>
          <w:tcPr>
            <w:tcW w:w="1024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06641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</w:rPr>
              <w:t>Faecalibacterium</w:t>
            </w:r>
          </w:p>
        </w:tc>
        <w:tc>
          <w:tcPr>
            <w:tcW w:w="1024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134EA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</w:rPr>
              <w:t>Ruminococcus</w:t>
            </w:r>
          </w:p>
        </w:tc>
      </w:tr>
      <w:tr w14:paraId="40EB4B4C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042E9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10D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98113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DF86E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0.0118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43F9B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0.1158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54742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0.0137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948B6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0.0049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54863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4F899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0.1168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BA14F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</w:tr>
      <w:tr w14:paraId="09CFC16B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5343A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10F0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5AC46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7B3B0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70761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C320B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AE0F7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55BB6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0.0059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28B62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CF188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541EAB83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405D1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11D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1501D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DBC35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0.0275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E6E18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0.0530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B5523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0.0314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7EB8A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0.0186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77E4B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0.0039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FB765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0.1011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CDB70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0.0353</w:t>
            </w:r>
          </w:p>
        </w:tc>
      </w:tr>
      <w:tr w14:paraId="3A2598B6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6BEAE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11F0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51102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0D5E1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85F10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0.0098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9E35A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0.0039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8AD46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57C56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0.0500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73EFB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0.2669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73DB1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30E1AD51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45514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12D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A61BF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C0D3B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111AC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0.0873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EF7C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0.0039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3BEBE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4191A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0.4632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E82A4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0.0049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FF685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</w:tr>
      <w:tr w14:paraId="0C5ED735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802DC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12F0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24B3E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384BD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FFC1B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0.0520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8092B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2922C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0.0049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0AE13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0.3974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C66B1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6EDDF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2CE20E25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EE1FA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13D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FB336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C50C0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0.0981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89CD3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0.1325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51FBD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0.0324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3A71E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0.0265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5239F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0.0069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050E4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0.0795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4629D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0.0059</w:t>
            </w:r>
          </w:p>
        </w:tc>
      </w:tr>
      <w:tr w14:paraId="45548505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96562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13F0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8CBCC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1053E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21EF9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0.0255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EDD97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6EC1B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3E810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06A3C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0.1845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A3A1E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0.0108</w:t>
            </w:r>
          </w:p>
        </w:tc>
      </w:tr>
      <w:tr w14:paraId="1A9CA87E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BC276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14D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C112E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E0C0E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0.6889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D1418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4A8B4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03C76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C55A0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D7EA8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FBA4E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4E983F1D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B0423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14F0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8ECAD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B521D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B3ECB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0.0353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1ADEC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D7B6C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F1E3B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0.4220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4F5F4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0.0069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63027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0AA317A0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22637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15D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86126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363D0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4A0A5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0.0599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CD738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7AA0D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82BFE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0.0049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955C2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0.3180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AA488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</w:tr>
      <w:tr w14:paraId="1588276F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D812C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15F0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231CB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3B5D0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01EE0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0.0137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8D96F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445F3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567B2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0.0736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1C455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0.0147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5B4BC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</w:tr>
      <w:tr w14:paraId="0059B069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5B767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16D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39C67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BD3B3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0.1217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29D98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0.0196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83031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0.0314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DFF03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0.0098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69B97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0.0275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6706D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0.0550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695F0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0.0049</w:t>
            </w:r>
          </w:p>
        </w:tc>
      </w:tr>
      <w:tr w14:paraId="2F1D558E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B54B4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16F0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ADB9B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1E8DA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E4019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4B4E8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144F3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EAFD3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0.6202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C055D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A0D70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12C03116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8CE8A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17D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46793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23A05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7BCCB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0.0069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05636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0.0088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AE7ED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4DF0D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0.0088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20755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0.2336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ECF46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</w:tr>
      <w:tr w14:paraId="10BEE118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F0D81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17F0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5A9A1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FD575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1B58E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0.0049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59AFD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1E931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7A2A4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0.0648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F7F09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0.1590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3E36E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75F7115D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1569A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18D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86E2C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CC887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0.0049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31096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0.0972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38AF0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59970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7F28B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0.1129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4BCF5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0.0324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5052B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0.0049</w:t>
            </w:r>
          </w:p>
        </w:tc>
      </w:tr>
      <w:tr w14:paraId="7F3646BB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E6107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18F0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D0A40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EB844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EFD37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0.0393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2F40A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7EC82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B59DA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0.0059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7611B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0.1040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01150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73094C46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61958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19D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CF42D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BB0F4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0.2944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5A459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0.0049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DA187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3D97C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8D321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7F7BD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0.2974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07F04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52B1AF30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DE8E0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19F0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B3F3E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370D2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A5D66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0.0304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6B8A7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5D142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0.0059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FEE3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0.2100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1459A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0.0186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4E927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0.0500</w:t>
            </w:r>
          </w:p>
        </w:tc>
      </w:tr>
      <w:tr w14:paraId="7AA3ED81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26212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1D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3839B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257B0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0.0383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0454E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0.0088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272E0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0.0069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6DC40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0.0069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5F96E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316B1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0.1050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1B16B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0.0402</w:t>
            </w:r>
          </w:p>
        </w:tc>
      </w:tr>
      <w:tr w14:paraId="1C525739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A9770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1F0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64085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22652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C2657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0.2130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1FE93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0.0559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E9767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8D7A7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E4120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0.0471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0FE3A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5F0C68A2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6D2CB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20D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E3389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45EA9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0.0088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014D1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0.0815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58913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0.0520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8046C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0.0088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DC7C2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0.0324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8FC6B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0.1698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4CFDD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0.0236</w:t>
            </w:r>
          </w:p>
        </w:tc>
      </w:tr>
      <w:tr w14:paraId="53BED410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287E2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20F0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B5742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D4392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120EF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0.0579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46CEA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DADD8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0.0599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9627F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0.0059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8F5BB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0.0677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5A12A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4645A36B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E18CF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21D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41EAD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0B651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01B7D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0.0206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1E887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0.0216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72696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0.0088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17816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25AE8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0.1109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0CA12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0.0098</w:t>
            </w:r>
          </w:p>
        </w:tc>
      </w:tr>
      <w:tr w14:paraId="2E5C4100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8CEFB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21F0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ADC57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035A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09BB5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0.0128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A08CB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6A0F6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232BF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0.0844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53008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0.0353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E4CC0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</w:tr>
      <w:tr w14:paraId="08882D2A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8452C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22D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1A196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C444A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0.1629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1DDC9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0.0402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43432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0.0294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FA8C2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0.0147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DBD9F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0.0069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EC00B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0.1600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E695D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0.0236</w:t>
            </w:r>
          </w:p>
        </w:tc>
      </w:tr>
      <w:tr w14:paraId="67F380E7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AF9A9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22F0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A5BC2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0D912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4AA23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3F2AA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90530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926B8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995CA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D4217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16CFAFBD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DE022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23D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59A50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C64D3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0.0275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154B3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0.0343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3417E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0.0098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541AF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0.0108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0EFE8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7536A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0.3366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BF5CD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0.0324</w:t>
            </w:r>
          </w:p>
        </w:tc>
      </w:tr>
      <w:tr w14:paraId="05DFF714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8151F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23F0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2CAA5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3BC00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C82FA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0.0432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449DF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3D637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0.0167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36520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A212E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0.0088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09075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0.0687</w:t>
            </w:r>
          </w:p>
        </w:tc>
      </w:tr>
      <w:tr w14:paraId="1B98C35B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C6BF5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24D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06BB1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B3746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0.0196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A36C7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0.0314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D5FA7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0.0069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383B9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A496C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DA4EA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0.4308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4D122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0.0314</w:t>
            </w:r>
          </w:p>
        </w:tc>
      </w:tr>
      <w:tr w14:paraId="77BDF6D2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BF621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24F0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E4CDB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97FCD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11827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365C9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75F4B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AEFE8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0.0049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1B86E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38B1B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7013D6A4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89738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25D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9BBA4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A602B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0.0206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4B0DA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0.0716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CCA2C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0.0216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9257D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0.0206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C2523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0A29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0.2257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D3178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0.0137</w:t>
            </w:r>
          </w:p>
        </w:tc>
      </w:tr>
      <w:tr w14:paraId="219A74A9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026B5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25F0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FB403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868A7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30CED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0.0118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AC3A9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0.1433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60E73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0.0039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2FEBE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7D4B6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0.0942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BFEFC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0.0128</w:t>
            </w:r>
          </w:p>
        </w:tc>
      </w:tr>
      <w:tr w14:paraId="69317AA6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CBA83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26D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8B87B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968E4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0.0108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C61A8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0.0393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31914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0.0167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052AE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0.0088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D9598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0.0098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794CC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0.0491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54C7D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0.0245</w:t>
            </w:r>
          </w:p>
        </w:tc>
      </w:tr>
      <w:tr w14:paraId="63F80171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A86C6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26F0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812D4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6ECB0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6C1B4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8D8FC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3EC0A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A361B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0.4985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2D7B9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0.0677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4948A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79504D47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9F19D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27F0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8F89A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DF10E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CBDF1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0.0236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64651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6B5AC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F0FB3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F26DC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0.0059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2EA15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0.0128</w:t>
            </w:r>
          </w:p>
        </w:tc>
      </w:tr>
      <w:tr w14:paraId="61FD3401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14CAE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28F0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127C1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E69E0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8E1B6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203E7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97DF7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D88E2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0.0677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22279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2A27A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409BA367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6A3FE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2D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CC1FC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368BE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0.6762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337F8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352BF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191DA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23C74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69C67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0.1246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B014A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13098E18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A449A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2F0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7EF4D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EFB2B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79DC3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0.0294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3305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61AA3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C83F0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0.0088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1C702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0.0363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F8146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491985E2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8CF0A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30F0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937A8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01FF3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0.0245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BA32C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0.0108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97D8E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0218F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30485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0.0363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655A8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0.0039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8D0C0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</w:tr>
      <w:tr w14:paraId="3B8BABDF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B63D5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32F0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DDD8B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5D8BE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E1351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0.1129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FD01E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0.0039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82BD0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0.0128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046F3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0.1070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AB6F0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0.0697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BBBD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09F6E3FF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51EC7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33F0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A09F6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C33EA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41ACA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5B515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CF1BE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7C461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0.1227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8137B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0.0079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6696D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359F96E3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A8A9E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34F0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C3A22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008B6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5BB04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31235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8E047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684D9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0.6094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C4992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0.0059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E14DD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41F6AFA6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FAF70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35F0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289F0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11536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DAFF7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0.0697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E9D69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0.0108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87A30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0.0088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BB5BA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0.1001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EA398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0.0373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6D221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375991A0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8F846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37F0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3FF56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91502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B8782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0.0294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8996F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0.0628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78D45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0.0049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89026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0.0069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DB5E1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0.0510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A5A18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0.0746</w:t>
            </w:r>
          </w:p>
        </w:tc>
      </w:tr>
      <w:tr w14:paraId="005E13FE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32A28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38F0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17B6C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562E5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F5974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0.0265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451B7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0.0128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F93E8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9C4C5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0.1492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17914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0.0520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6BD9A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0.0599</w:t>
            </w:r>
          </w:p>
        </w:tc>
      </w:tr>
      <w:tr w14:paraId="00114211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A5AD8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39F0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55443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5B433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0.0069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29B33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0.0069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97BA3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0.0805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7A0DD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20D07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0.0510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AD50C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0.0550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2E34E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</w:tr>
      <w:tr w14:paraId="05E97923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0F447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3D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DEC8D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F61F9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6E459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0.0746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5241B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F87C3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922C5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0.1452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9BAC1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5A80E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68C25A21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EC290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3F0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7A8C8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1C67A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0.0294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1D87F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0.0098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0F78D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0.0098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53DD5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3330B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0.1276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614F5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0.0491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1B352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0.0167</w:t>
            </w:r>
          </w:p>
        </w:tc>
      </w:tr>
      <w:tr w14:paraId="4BB1D127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684AC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40F0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68367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3D764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6F94A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0.0079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58DDC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B1A65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DA65F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0.0363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B4CF5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F989A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1DD1CAD6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5AC08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41F0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8D008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19377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0.0128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7E9BC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0.0550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ABDFD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C382B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14144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0.1884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28475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0.0893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67959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4994458C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D3CF1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42F0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CE476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DA842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C5790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D8048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14A04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DC79B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0.6889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0EF7F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0.0137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03447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4719A9BF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5168F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43F0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244AB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68CFD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0.0402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9A08C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0.0196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D41C9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52078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2C843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0.2228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B0370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0.0196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0581A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0.0029</w:t>
            </w:r>
          </w:p>
        </w:tc>
      </w:tr>
      <w:tr w14:paraId="0A1007DD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60C04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44F0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73A71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3722B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DA3BC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0.0128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6A9D5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0.0069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4EAFA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3E83E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0.0373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12C4A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0.0412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9BEF0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</w:tr>
      <w:tr w14:paraId="7406DE4C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84312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47F0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C68B7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541D4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557C1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0.0363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13E2E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F8E65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0.0039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B3502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0.1021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EB0E4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0.0206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5CDEA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40CB0C96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F2733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48F0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AF794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01C81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7F5ED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0.0275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B3084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0.0294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F1528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23A52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0.0432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DC1BE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0.0363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48BA9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2F08D17F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95A5B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4F0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E6A0D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E724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0.0245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250FC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0.0324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374D4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0.0226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69311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0F07E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0.0118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B58A8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0.2022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0EF5F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</w:tr>
      <w:tr w14:paraId="1B9A2342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4A688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50F0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F811D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E6A1A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0.0128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CC778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7E35A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E45AF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5CFBE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0.1747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DF316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0.0039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3A448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</w:tr>
      <w:tr w14:paraId="51BE2DBB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03456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51F0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AFAF0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A6621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94908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CAFA1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DDC8D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026FE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7B4C2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3BFA5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3F9C3CDC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13F06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52F0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70DA4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D85D8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0.0471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DF378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0.0530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0EC0D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0.0039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98EFC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517D4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0.0922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E61A8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0.1521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66284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231EFFA5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C4B5A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53F0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2A41A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D38CC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0.0177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94B77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0.0206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C18E9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BC082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0.0128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E7EAA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0.0059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88672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0.0618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3C3FA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0.0314</w:t>
            </w:r>
          </w:p>
        </w:tc>
      </w:tr>
      <w:tr w14:paraId="2DDA3E56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8A308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5F0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F89B2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E333C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0.0137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98F30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0.1207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169ED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EEAC7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D8412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0.0069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89327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0.0402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78B59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</w:tr>
      <w:tr w14:paraId="63717118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61FBB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6D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92910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1B463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02E00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0.0972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9987C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EEDD6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667D2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0.0697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2C922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0.0913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68FD2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0F1525FE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C6CC5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6F0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7D427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7E71C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65E60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946D2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3162A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8FBD6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0.2041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C2E63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9624F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29426A00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B9BAE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7D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FCC6E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E60EA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0.0638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1E499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0.0285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A9495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3FA6E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72FAB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0.0157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63A33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0.2277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338EF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</w:tr>
      <w:tr w14:paraId="738BC920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3FC3F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7F0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DE2C9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298A0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C9CDD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0.0216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133B9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04702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D8329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0.1187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B9E6A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0.0451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0B6F0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4D8E3D99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CD5DE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8D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2DE8A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90DE5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0.0118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CF024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0.1923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81CEB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0.0304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F59E5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0.0157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B158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0.0079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D48E7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0.0177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FBFB7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0.0255</w:t>
            </w:r>
          </w:p>
        </w:tc>
      </w:tr>
      <w:tr w14:paraId="52C93935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AA462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8F0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D1931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80B5A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2D0C6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9CE6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3327B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E58EE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0.1914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3CEC9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60135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00BB1549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6CFB3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9D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81A92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ED82F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0.0177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E8AA2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0.1099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B7EDE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0.0265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DDF13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0.0118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E177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0.0039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D7EBE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0.1531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35797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0.0069</w:t>
            </w:r>
          </w:p>
        </w:tc>
      </w:tr>
      <w:tr w14:paraId="0730F069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4277F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9F0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C595B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FAPD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B0D63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0.0039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21E0D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0.1109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F3204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0.0196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AAF50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C42BE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0.0196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DF7FB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0.0177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60E77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</w:tr>
      <w:tr w14:paraId="72371571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795DB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HC27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9F5F2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EE318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2E974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0.1011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30336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0.0422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3B5D5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33571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789AD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0.1354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C44A5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0.0402</w:t>
            </w:r>
          </w:p>
        </w:tc>
      </w:tr>
      <w:tr w14:paraId="3FB8B03B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90105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HC28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9DB11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B891A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0.0343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48C72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0.0569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15F78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0.0471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A3DBA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0.0118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2A4FE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0.0373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F740C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0.2022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4290F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0.0245</w:t>
            </w:r>
          </w:p>
        </w:tc>
      </w:tr>
      <w:tr w14:paraId="4CDC2551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260C4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HC29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F0720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9DC49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0.0736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4B930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0.0432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ADCD2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0.0088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E91ED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0.0069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F5C4A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0.0079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2741D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0.1452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C107A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0.0236</w:t>
            </w:r>
          </w:p>
        </w:tc>
      </w:tr>
      <w:tr w14:paraId="37AAFD0A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DAE67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HC30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B4805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F9528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0.0186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A4B37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0.0216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BCB59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0.0098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EBFF4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0.0088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6CB87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38612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0.2630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8E9DA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0.0687</w:t>
            </w:r>
          </w:p>
        </w:tc>
      </w:tr>
      <w:tr w14:paraId="32976E5A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700F7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HC32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615EE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FA9EC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0.0098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D8FB5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0.0275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00194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81226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0.0118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26ACC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0.1168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9E63D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0.1796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C393D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407441FD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F6848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HC33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F5576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AFD8E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093F4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0.0137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63BAF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0.0285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749F2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0.0118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D61A3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0.0550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FEAF1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0.0667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768E1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0.0186</w:t>
            </w:r>
          </w:p>
        </w:tc>
      </w:tr>
      <w:tr w14:paraId="37D9828B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3AC68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HC35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C253B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4F5FD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0.0098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CE915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0.0481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1C022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0.0952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07BA9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0.0157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78DE5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D386D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0.1158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5EF0B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0.0069</w:t>
            </w:r>
          </w:p>
        </w:tc>
      </w:tr>
      <w:tr w14:paraId="370F2965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D6222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HC38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75F45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97E1F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292EB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0.0353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6E91B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AD450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0.0275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CD742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6362F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0.2591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FA5B2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0.0491</w:t>
            </w:r>
          </w:p>
        </w:tc>
      </w:tr>
      <w:tr w14:paraId="381CD4F1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07C46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HC43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9ABA9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F8BEB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9781C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0.0314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33356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0.0677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D17E1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0.0069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E7B25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0.0049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A515D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0.0854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59CE1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0.0088</w:t>
            </w:r>
          </w:p>
        </w:tc>
      </w:tr>
      <w:tr w14:paraId="2CAAA2AE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53743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HC44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F735E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F0276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EDDDF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0.0128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272E9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0.0932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5C467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0.0059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01B94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0.0049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0635F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0.2699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06CCD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0.0079</w:t>
            </w:r>
          </w:p>
        </w:tc>
      </w:tr>
      <w:tr w14:paraId="502EDABD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78D2D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HC46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FE4CE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A85C9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04870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0.0294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EC5BC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0.0059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882CA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0AE0D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0.0088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86F13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0.3023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88C2B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</w:tr>
      <w:tr w14:paraId="762E8534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C72F6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HC47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34F13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845E4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0.0147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AEC57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0.0304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910A4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0.0736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8A0FB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0.0059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BC4DB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D6E02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0.1266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EFA78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</w:tr>
      <w:tr w14:paraId="5FBD551C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1519D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HC49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1009B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A4FB3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0.0039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AC772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0.0677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50072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0.0275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C69C5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9A4B0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0.0265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FA270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0.1021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3AB77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</w:tr>
      <w:tr w14:paraId="01117467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AE9F6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HC51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28A90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228F8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0.0000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B6014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0.0471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F7B1E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51CFA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0.0049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3A39C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0.0079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4B400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0.1482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1C4D0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0.0098</w:t>
            </w:r>
          </w:p>
        </w:tc>
      </w:tr>
      <w:tr w14:paraId="0150F2DD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A1AF1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HC52</w:t>
            </w:r>
          </w:p>
        </w:tc>
        <w:tc>
          <w:tcPr>
            <w:tcW w:w="86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1B935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HC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A6237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0.0186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B9F62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0.0363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65A8D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0.1295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4B11C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0.0010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DAE65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0.0029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B84A9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0.0746</w:t>
            </w:r>
          </w:p>
        </w:tc>
        <w:tc>
          <w:tcPr>
            <w:tcW w:w="10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23901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</w:rPr>
              <w:t>0.0020</w:t>
            </w:r>
          </w:p>
        </w:tc>
      </w:tr>
    </w:tbl>
    <w:p w14:paraId="2F9851F0">
      <w:pPr>
        <w:keepNext/>
        <w:spacing w:before="240" w:after="8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22"/>
          <w:szCs w:val="22"/>
        </w:rPr>
        <w:t>Supplementary Table 14. Genus-level read counts underlying the 4-genus FMT response-prediction model (18 responders and 8 non-responders)</w:t>
      </w:r>
    </w:p>
    <w:tbl>
      <w:tblPr>
        <w:tblStyle w:val="5"/>
        <w:tblW w:w="5000" w:type="pct"/>
        <w:tblInd w:w="0" w:type="dxa"/>
        <w:tblBorders>
          <w:top w:val="single" w:color="37474F" w:sz="12" w:space="0"/>
          <w:left w:val="none" w:color="auto" w:sz="0" w:space="0"/>
          <w:bottom w:val="single" w:color="37474F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979"/>
        <w:gridCol w:w="1837"/>
        <w:gridCol w:w="1592"/>
        <w:gridCol w:w="2083"/>
        <w:gridCol w:w="1837"/>
        <w:gridCol w:w="1470"/>
      </w:tblGrid>
      <w:tr w14:paraId="798AA36A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979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B50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  <w:szCs w:val="22"/>
              </w:rPr>
              <w:t>Sample</w:t>
            </w:r>
          </w:p>
        </w:tc>
        <w:tc>
          <w:tcPr>
            <w:tcW w:w="1837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1925D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  <w:szCs w:val="22"/>
              </w:rPr>
              <w:t>Response group</w:t>
            </w:r>
          </w:p>
        </w:tc>
        <w:tc>
          <w:tcPr>
            <w:tcW w:w="1592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8F2A6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  <w:szCs w:val="22"/>
              </w:rPr>
              <w:t>Coprococcus</w:t>
            </w:r>
          </w:p>
        </w:tc>
        <w:tc>
          <w:tcPr>
            <w:tcW w:w="2083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55FB0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  <w:szCs w:val="22"/>
              </w:rPr>
              <w:t>Escherichia-Shigella</w:t>
            </w:r>
          </w:p>
        </w:tc>
        <w:tc>
          <w:tcPr>
            <w:tcW w:w="1837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C1A48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  <w:szCs w:val="22"/>
              </w:rPr>
              <w:t>Faecalibacterium</w:t>
            </w:r>
          </w:p>
        </w:tc>
        <w:tc>
          <w:tcPr>
            <w:tcW w:w="1470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6322E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6"/>
                <w:szCs w:val="22"/>
              </w:rPr>
              <w:t>Bacteroides</w:t>
            </w:r>
          </w:p>
        </w:tc>
      </w:tr>
      <w:tr w14:paraId="4D93FB3E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DBF4D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P01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9B52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Non-responder</w:t>
            </w:r>
          </w:p>
        </w:tc>
        <w:tc>
          <w:tcPr>
            <w:tcW w:w="15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DEC18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</w:t>
            </w:r>
          </w:p>
        </w:tc>
        <w:tc>
          <w:tcPr>
            <w:tcW w:w="20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F4CD6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7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268F7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</w:t>
            </w:r>
          </w:p>
        </w:tc>
        <w:tc>
          <w:tcPr>
            <w:tcW w:w="14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8D3B0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180</w:t>
            </w:r>
          </w:p>
        </w:tc>
      </w:tr>
      <w:tr w14:paraId="4F7BD79D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07967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P02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D4198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Non-responder</w:t>
            </w:r>
          </w:p>
        </w:tc>
        <w:tc>
          <w:tcPr>
            <w:tcW w:w="15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3CF51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</w:t>
            </w:r>
          </w:p>
        </w:tc>
        <w:tc>
          <w:tcPr>
            <w:tcW w:w="20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0DE33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294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F8B61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1</w:t>
            </w:r>
          </w:p>
        </w:tc>
        <w:tc>
          <w:tcPr>
            <w:tcW w:w="14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1B929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1</w:t>
            </w:r>
          </w:p>
        </w:tc>
      </w:tr>
      <w:tr w14:paraId="4C45126D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1F298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P03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89A77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Non-responder</w:t>
            </w:r>
          </w:p>
        </w:tc>
        <w:tc>
          <w:tcPr>
            <w:tcW w:w="15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2400C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</w:t>
            </w:r>
          </w:p>
        </w:tc>
        <w:tc>
          <w:tcPr>
            <w:tcW w:w="20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531FD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355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C704B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</w:t>
            </w:r>
          </w:p>
        </w:tc>
        <w:tc>
          <w:tcPr>
            <w:tcW w:w="14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F3FEF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68</w:t>
            </w:r>
          </w:p>
        </w:tc>
      </w:tr>
      <w:tr w14:paraId="3967262C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E4862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P04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C875E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Non-responder</w:t>
            </w:r>
          </w:p>
        </w:tc>
        <w:tc>
          <w:tcPr>
            <w:tcW w:w="15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51476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</w:t>
            </w:r>
          </w:p>
        </w:tc>
        <w:tc>
          <w:tcPr>
            <w:tcW w:w="20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BB6A6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91833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</w:t>
            </w:r>
          </w:p>
        </w:tc>
        <w:tc>
          <w:tcPr>
            <w:tcW w:w="14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D8151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</w:t>
            </w:r>
          </w:p>
        </w:tc>
      </w:tr>
      <w:tr w14:paraId="6071361E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C9658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P05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5FDB1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Non-responder</w:t>
            </w:r>
          </w:p>
        </w:tc>
        <w:tc>
          <w:tcPr>
            <w:tcW w:w="15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BAC11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2</w:t>
            </w:r>
          </w:p>
        </w:tc>
        <w:tc>
          <w:tcPr>
            <w:tcW w:w="20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FD15C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321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AF45F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1</w:t>
            </w:r>
          </w:p>
        </w:tc>
        <w:tc>
          <w:tcPr>
            <w:tcW w:w="14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E6FB4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</w:t>
            </w:r>
          </w:p>
        </w:tc>
      </w:tr>
      <w:tr w14:paraId="40121E0E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C06DF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P06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83444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Non-responder</w:t>
            </w:r>
          </w:p>
        </w:tc>
        <w:tc>
          <w:tcPr>
            <w:tcW w:w="15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AEE89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</w:t>
            </w:r>
          </w:p>
        </w:tc>
        <w:tc>
          <w:tcPr>
            <w:tcW w:w="20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5D9C9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86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72CC8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</w:t>
            </w:r>
          </w:p>
        </w:tc>
        <w:tc>
          <w:tcPr>
            <w:tcW w:w="14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614DA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</w:t>
            </w:r>
          </w:p>
        </w:tc>
      </w:tr>
      <w:tr w14:paraId="20A17A5A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AEC8D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P07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103E1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Non-responder</w:t>
            </w:r>
          </w:p>
        </w:tc>
        <w:tc>
          <w:tcPr>
            <w:tcW w:w="15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74212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</w:t>
            </w:r>
          </w:p>
        </w:tc>
        <w:tc>
          <w:tcPr>
            <w:tcW w:w="20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40BCD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87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67714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90</w:t>
            </w:r>
          </w:p>
        </w:tc>
        <w:tc>
          <w:tcPr>
            <w:tcW w:w="14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0C9D1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123</w:t>
            </w:r>
          </w:p>
        </w:tc>
      </w:tr>
      <w:tr w14:paraId="26B39C79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2436F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P08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19A75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Non-responder</w:t>
            </w:r>
          </w:p>
        </w:tc>
        <w:tc>
          <w:tcPr>
            <w:tcW w:w="15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2A6A4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</w:t>
            </w:r>
          </w:p>
        </w:tc>
        <w:tc>
          <w:tcPr>
            <w:tcW w:w="20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42A59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282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58A83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</w:t>
            </w:r>
          </w:p>
        </w:tc>
        <w:tc>
          <w:tcPr>
            <w:tcW w:w="14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35FFB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1</w:t>
            </w:r>
          </w:p>
        </w:tc>
      </w:tr>
      <w:tr w14:paraId="4D106954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78ADE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P09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68673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Responder</w:t>
            </w:r>
          </w:p>
        </w:tc>
        <w:tc>
          <w:tcPr>
            <w:tcW w:w="15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FE7C4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</w:t>
            </w:r>
          </w:p>
        </w:tc>
        <w:tc>
          <w:tcPr>
            <w:tcW w:w="20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FCD7D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2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6F9A5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86</w:t>
            </w:r>
          </w:p>
        </w:tc>
        <w:tc>
          <w:tcPr>
            <w:tcW w:w="14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86FFB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274</w:t>
            </w:r>
          </w:p>
        </w:tc>
      </w:tr>
      <w:tr w14:paraId="7955E4EB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93A53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P10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F8A34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Responder</w:t>
            </w:r>
          </w:p>
        </w:tc>
        <w:tc>
          <w:tcPr>
            <w:tcW w:w="15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8C690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</w:t>
            </w:r>
          </w:p>
        </w:tc>
        <w:tc>
          <w:tcPr>
            <w:tcW w:w="20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A5DF8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7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D0A0E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9</w:t>
            </w:r>
          </w:p>
        </w:tc>
        <w:tc>
          <w:tcPr>
            <w:tcW w:w="14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7EDAC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177</w:t>
            </w:r>
          </w:p>
        </w:tc>
      </w:tr>
      <w:tr w14:paraId="18CCF585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70BD7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P11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C8403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Responder</w:t>
            </w:r>
          </w:p>
        </w:tc>
        <w:tc>
          <w:tcPr>
            <w:tcW w:w="15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47A71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</w:t>
            </w:r>
          </w:p>
        </w:tc>
        <w:tc>
          <w:tcPr>
            <w:tcW w:w="20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1F44D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13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1E4D3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142</w:t>
            </w:r>
          </w:p>
        </w:tc>
        <w:tc>
          <w:tcPr>
            <w:tcW w:w="14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32DF8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405</w:t>
            </w:r>
          </w:p>
        </w:tc>
      </w:tr>
      <w:tr w14:paraId="6BB6A98B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A9263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P12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6E6C0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Responder</w:t>
            </w:r>
          </w:p>
        </w:tc>
        <w:tc>
          <w:tcPr>
            <w:tcW w:w="15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A0D5B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</w:t>
            </w:r>
          </w:p>
        </w:tc>
        <w:tc>
          <w:tcPr>
            <w:tcW w:w="20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7D5B4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D80FF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457</w:t>
            </w:r>
          </w:p>
        </w:tc>
        <w:tc>
          <w:tcPr>
            <w:tcW w:w="14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86250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260</w:t>
            </w:r>
          </w:p>
        </w:tc>
      </w:tr>
      <w:tr w14:paraId="2DB59DC8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AB0F8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P13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ACC01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Responder</w:t>
            </w:r>
          </w:p>
        </w:tc>
        <w:tc>
          <w:tcPr>
            <w:tcW w:w="15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D5FE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2</w:t>
            </w:r>
          </w:p>
        </w:tc>
        <w:tc>
          <w:tcPr>
            <w:tcW w:w="20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23043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1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DFBC0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30</w:t>
            </w:r>
          </w:p>
        </w:tc>
        <w:tc>
          <w:tcPr>
            <w:tcW w:w="14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C0C23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249</w:t>
            </w:r>
          </w:p>
        </w:tc>
      </w:tr>
      <w:tr w14:paraId="5AB8154E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7448F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P14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9E1DA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Responder</w:t>
            </w:r>
          </w:p>
        </w:tc>
        <w:tc>
          <w:tcPr>
            <w:tcW w:w="15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CF96C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</w:t>
            </w:r>
          </w:p>
        </w:tc>
        <w:tc>
          <w:tcPr>
            <w:tcW w:w="20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C7CD5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336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CFBEB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240</w:t>
            </w:r>
          </w:p>
        </w:tc>
        <w:tc>
          <w:tcPr>
            <w:tcW w:w="14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42C6C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71</w:t>
            </w:r>
          </w:p>
        </w:tc>
      </w:tr>
      <w:tr w14:paraId="26A09ADB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A674F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P15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8B95F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Responder</w:t>
            </w:r>
          </w:p>
        </w:tc>
        <w:tc>
          <w:tcPr>
            <w:tcW w:w="15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5B0C4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</w:t>
            </w:r>
          </w:p>
        </w:tc>
        <w:tc>
          <w:tcPr>
            <w:tcW w:w="20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BBF65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54523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7</w:t>
            </w:r>
          </w:p>
        </w:tc>
        <w:tc>
          <w:tcPr>
            <w:tcW w:w="14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D0572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80</w:t>
            </w:r>
          </w:p>
        </w:tc>
      </w:tr>
      <w:tr w14:paraId="1FB8CE7F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21632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P16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93925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Responder</w:t>
            </w:r>
          </w:p>
        </w:tc>
        <w:tc>
          <w:tcPr>
            <w:tcW w:w="15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105B2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34</w:t>
            </w:r>
          </w:p>
        </w:tc>
        <w:tc>
          <w:tcPr>
            <w:tcW w:w="20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DC345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1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5AFE9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99</w:t>
            </w:r>
          </w:p>
        </w:tc>
        <w:tc>
          <w:tcPr>
            <w:tcW w:w="14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83B44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1</w:t>
            </w:r>
          </w:p>
        </w:tc>
      </w:tr>
      <w:tr w14:paraId="0F04B113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19F2B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P17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6E37A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Responder</w:t>
            </w:r>
          </w:p>
        </w:tc>
        <w:tc>
          <w:tcPr>
            <w:tcW w:w="15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8F6FC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8</w:t>
            </w:r>
          </w:p>
        </w:tc>
        <w:tc>
          <w:tcPr>
            <w:tcW w:w="20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1E279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38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4BDF1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99</w:t>
            </w:r>
          </w:p>
        </w:tc>
        <w:tc>
          <w:tcPr>
            <w:tcW w:w="14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75971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76</w:t>
            </w:r>
          </w:p>
        </w:tc>
      </w:tr>
      <w:tr w14:paraId="622A4791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1872F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P18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B9971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Responder</w:t>
            </w:r>
          </w:p>
        </w:tc>
        <w:tc>
          <w:tcPr>
            <w:tcW w:w="15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2E77C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15</w:t>
            </w:r>
          </w:p>
        </w:tc>
        <w:tc>
          <w:tcPr>
            <w:tcW w:w="20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8EA65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33210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104</w:t>
            </w:r>
          </w:p>
        </w:tc>
        <w:tc>
          <w:tcPr>
            <w:tcW w:w="14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B7401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143</w:t>
            </w:r>
          </w:p>
        </w:tc>
      </w:tr>
      <w:tr w14:paraId="27CAB3ED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6E2E4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P19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A035E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Responder</w:t>
            </w:r>
          </w:p>
        </w:tc>
        <w:tc>
          <w:tcPr>
            <w:tcW w:w="15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68476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7</w:t>
            </w:r>
          </w:p>
        </w:tc>
        <w:tc>
          <w:tcPr>
            <w:tcW w:w="20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7BEFE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142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AA7EB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62</w:t>
            </w:r>
          </w:p>
        </w:tc>
        <w:tc>
          <w:tcPr>
            <w:tcW w:w="14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29E9B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17</w:t>
            </w:r>
          </w:p>
        </w:tc>
      </w:tr>
      <w:tr w14:paraId="455D7A9B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F3126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P20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EDD46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Responder</w:t>
            </w:r>
          </w:p>
        </w:tc>
        <w:tc>
          <w:tcPr>
            <w:tcW w:w="15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10653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5</w:t>
            </w:r>
          </w:p>
        </w:tc>
        <w:tc>
          <w:tcPr>
            <w:tcW w:w="20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3670C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AF06E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106</w:t>
            </w:r>
          </w:p>
        </w:tc>
        <w:tc>
          <w:tcPr>
            <w:tcW w:w="14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D27FB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62</w:t>
            </w:r>
          </w:p>
        </w:tc>
      </w:tr>
      <w:tr w14:paraId="45E2CAC8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38272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P21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99B74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Responder</w:t>
            </w:r>
          </w:p>
        </w:tc>
        <w:tc>
          <w:tcPr>
            <w:tcW w:w="15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0F97B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7</w:t>
            </w:r>
          </w:p>
        </w:tc>
        <w:tc>
          <w:tcPr>
            <w:tcW w:w="20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8DCC1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29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FC9A8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90</w:t>
            </w:r>
          </w:p>
        </w:tc>
        <w:tc>
          <w:tcPr>
            <w:tcW w:w="14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BE0CC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83</w:t>
            </w:r>
          </w:p>
        </w:tc>
      </w:tr>
      <w:tr w14:paraId="25CCBA61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04B51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P22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783F7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Responder</w:t>
            </w:r>
          </w:p>
        </w:tc>
        <w:tc>
          <w:tcPr>
            <w:tcW w:w="15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061F6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11</w:t>
            </w:r>
          </w:p>
        </w:tc>
        <w:tc>
          <w:tcPr>
            <w:tcW w:w="20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0B514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2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11EFA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256</w:t>
            </w:r>
          </w:p>
        </w:tc>
        <w:tc>
          <w:tcPr>
            <w:tcW w:w="14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BF0BD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311</w:t>
            </w:r>
          </w:p>
        </w:tc>
      </w:tr>
      <w:tr w14:paraId="176C523A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09096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P23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448C0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Responder</w:t>
            </w:r>
          </w:p>
        </w:tc>
        <w:tc>
          <w:tcPr>
            <w:tcW w:w="15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BF261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40</w:t>
            </w:r>
          </w:p>
        </w:tc>
        <w:tc>
          <w:tcPr>
            <w:tcW w:w="20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581A2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50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74EBC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4</w:t>
            </w:r>
          </w:p>
        </w:tc>
        <w:tc>
          <w:tcPr>
            <w:tcW w:w="14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D9B80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208</w:t>
            </w:r>
          </w:p>
        </w:tc>
      </w:tr>
      <w:tr w14:paraId="505F7410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24C1B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P24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47402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Responder</w:t>
            </w:r>
          </w:p>
        </w:tc>
        <w:tc>
          <w:tcPr>
            <w:tcW w:w="15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C51C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</w:t>
            </w:r>
          </w:p>
        </w:tc>
        <w:tc>
          <w:tcPr>
            <w:tcW w:w="20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F1F00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24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96E52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9</w:t>
            </w:r>
          </w:p>
        </w:tc>
        <w:tc>
          <w:tcPr>
            <w:tcW w:w="14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681B6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</w:t>
            </w:r>
          </w:p>
        </w:tc>
      </w:tr>
      <w:tr w14:paraId="2D197E65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92955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P25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B2EA2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Responder</w:t>
            </w:r>
          </w:p>
        </w:tc>
        <w:tc>
          <w:tcPr>
            <w:tcW w:w="15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F1C6E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</w:t>
            </w:r>
          </w:p>
        </w:tc>
        <w:tc>
          <w:tcPr>
            <w:tcW w:w="20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9C545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0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AE6A2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70</w:t>
            </w:r>
          </w:p>
        </w:tc>
        <w:tc>
          <w:tcPr>
            <w:tcW w:w="14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91701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9</w:t>
            </w:r>
          </w:p>
        </w:tc>
      </w:tr>
      <w:tr w14:paraId="399287A8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DDA54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P26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ABBC8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Responder</w:t>
            </w:r>
          </w:p>
        </w:tc>
        <w:tc>
          <w:tcPr>
            <w:tcW w:w="15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A0C0D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8</w:t>
            </w:r>
          </w:p>
        </w:tc>
        <w:tc>
          <w:tcPr>
            <w:tcW w:w="208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A543A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18</w:t>
            </w:r>
          </w:p>
        </w:tc>
        <w:tc>
          <w:tcPr>
            <w:tcW w:w="183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723F4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120</w:t>
            </w:r>
          </w:p>
        </w:tc>
        <w:tc>
          <w:tcPr>
            <w:tcW w:w="14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94C92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22"/>
              </w:rPr>
              <w:t>145</w:t>
            </w:r>
          </w:p>
        </w:tc>
      </w:tr>
    </w:tbl>
    <w:p w14:paraId="31F985E8">
      <w:pPr>
        <w:spacing w:after="0" w:line="240" w:lineRule="auto"/>
        <w:jc w:val="lef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16"/>
          <w:szCs w:val="22"/>
        </w:rPr>
        <w:t>Note: The sample identifiers in this table (P01–P26) are independent sample-level labels assigned at sequencing and do not correspond one-to-one with the patient identifiers (P1–P47) used in Supplementary Table 6; the two numbering systems are not interchangeable. Responder/non-responder status (18 responders, 8 non-responders) was assigned according to the week-4 composite response criteria defined in the main text. Read counts were obtained from baseline (pre-FMT) samples; all 26 samples passed quality control, and the response-prediction model was therefore unaffected by the single contaminated week-4 sample excluded from the post-FMT comparisons (Supplementary Tables 10–11; main-text Section 3.5).</w:t>
      </w:r>
    </w:p>
    <w:p w14:paraId="3AA166BF">
      <w:pPr>
        <w:pStyle w:val="2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18"/>
          <w:szCs w:val="22"/>
        </w:rPr>
        <w:t>TREND Statement Checklist (non-randomized trial reporting)</w:t>
      </w:r>
    </w:p>
    <w:tbl>
      <w:tblPr>
        <w:tblStyle w:val="5"/>
        <w:tblW w:w="5000" w:type="pct"/>
        <w:tblInd w:w="0" w:type="dxa"/>
        <w:tblBorders>
          <w:top w:val="single" w:color="37474F" w:sz="12" w:space="0"/>
          <w:left w:val="none" w:color="auto" w:sz="0" w:space="0"/>
          <w:bottom w:val="single" w:color="37474F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7"/>
        <w:gridCol w:w="5866"/>
        <w:gridCol w:w="3335"/>
      </w:tblGrid>
      <w:tr w14:paraId="3EF7F8FD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597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A2B62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Item</w:t>
            </w:r>
          </w:p>
        </w:tc>
        <w:tc>
          <w:tcPr>
            <w:tcW w:w="5866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061BF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Recommendation</w:t>
            </w:r>
          </w:p>
        </w:tc>
        <w:tc>
          <w:tcPr>
            <w:tcW w:w="3335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69B7A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Where reported</w:t>
            </w:r>
          </w:p>
        </w:tc>
      </w:tr>
      <w:tr w14:paraId="5A06C9BA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7D123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E5942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Title and abstract — structured summary of design, methods, results, conclusions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D35BF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Title; Abstract</w:t>
            </w:r>
          </w:p>
        </w:tc>
      </w:tr>
      <w:tr w14:paraId="1926D52D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78A64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2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34DC9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Introduction — scientific background and rationale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83433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 1</w:t>
            </w:r>
          </w:p>
        </w:tc>
      </w:tr>
      <w:tr w14:paraId="352299FF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41FD1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52A79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Eligibility criteria for participants and settings where data were collected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12BCF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Sections 2.1–2.3</w:t>
            </w:r>
          </w:p>
        </w:tc>
      </w:tr>
      <w:tr w14:paraId="092D9456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65BF5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4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8F4F5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Details of the interventions intended for each group and how they were administered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45E49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Sections 2.1, 2.5</w:t>
            </w:r>
          </w:p>
        </w:tc>
      </w:tr>
      <w:tr w14:paraId="6F7A9971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9DAAE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5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7104B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Specific objectives and hypotheses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C0F78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Sections 1, 2.1</w:t>
            </w:r>
          </w:p>
        </w:tc>
      </w:tr>
      <w:tr w14:paraId="7EFD169C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8204B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6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D8CD9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Clearly defined primary and secondary outcome measures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024AD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Sections 2.1, 2.4</w:t>
            </w:r>
          </w:p>
        </w:tc>
      </w:tr>
      <w:tr w14:paraId="6E97BD0B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1D07D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7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3C838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How sample size was determined; interim analyses and stopping rules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914F3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 2.1 (no interim analysis; early termination for slow recruitment)</w:t>
            </w:r>
          </w:p>
        </w:tc>
      </w:tr>
      <w:tr w14:paraId="543F2351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48D7A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8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B1F6E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Method used to assign participants to groups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7A9AD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 2.1 (guardian/patient preference; non-randomized)</w:t>
            </w:r>
          </w:p>
        </w:tc>
      </w:tr>
      <w:tr w14:paraId="7C09AF8F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6D358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9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0417E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Whether participants, those administering the intervention, and outcome assessors were blinded to group assignment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2293D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Sections 2.1, 4.7 (open label; blinded outcome assessors)</w:t>
            </w:r>
          </w:p>
        </w:tc>
      </w:tr>
      <w:tr w14:paraId="6A112820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785C4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10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0B627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Methods of data collection and any methods used to enhance quality of measurements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0ACD2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Sections 2.4–2.6</w:t>
            </w:r>
          </w:p>
        </w:tc>
      </w:tr>
      <w:tr w14:paraId="60726547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5DD73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11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C3ECD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Statistical methods for primary and secondary outcomes and subgroup analyses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8F256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 2.7</w:t>
            </w:r>
          </w:p>
        </w:tc>
      </w:tr>
      <w:tr w14:paraId="792B8E30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63394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12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DB5AB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Flow of participants through each stage (enrolment, allocation, follow-up, analysis)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94107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Figure 1; Section 3.1</w:t>
            </w:r>
          </w:p>
        </w:tc>
      </w:tr>
      <w:tr w14:paraId="6C77A342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07168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13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778E6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Dates defining periods of recruitment and follow-up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9290F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 2.1 (April 2023–March 2026; weeks 0, 4, 8)</w:t>
            </w:r>
          </w:p>
        </w:tc>
      </w:tr>
      <w:tr w14:paraId="7E4929F6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F7839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14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67400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Why the trial ended or was stopped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56E0B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Sections 2.1, 3.1 (slow recruitment)</w:t>
            </w:r>
          </w:p>
        </w:tc>
      </w:tr>
      <w:tr w14:paraId="249FB573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A5FB5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15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CA6A4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Baseline demographic and clinical characteristics of each group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E93C8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Table 1; Supplementary Table 3</w:t>
            </w:r>
          </w:p>
        </w:tc>
      </w:tr>
      <w:tr w14:paraId="456442C1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4A5D1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16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BD8B6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Number of participants analysed in each group; intention-to-treat analysis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B6E3A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Sections 2.7, 3.1; Figure 1</w:t>
            </w:r>
          </w:p>
        </w:tc>
      </w:tr>
      <w:tr w14:paraId="68FF2D0A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6A261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17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DFE03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For each outcome, a summary of results for each group and estimated effect size with its precision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5BEFC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 3.3; Table 3</w:t>
            </w:r>
          </w:p>
        </w:tc>
      </w:tr>
      <w:tr w14:paraId="509CB8C3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739DB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18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BCE16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Results of any other analyses performed, including subgroup and adjusted analyses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12408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Sections 3.3–3.6; Table 3 (ANCOVA)</w:t>
            </w:r>
          </w:p>
        </w:tc>
      </w:tr>
      <w:tr w14:paraId="4439DC23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F0B9E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19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61B82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All important adverse events or unintended effects in each group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94358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 3.3; Table 2</w:t>
            </w:r>
          </w:p>
        </w:tc>
      </w:tr>
      <w:tr w14:paraId="146B4787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E013B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20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7A75A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Interpretation of results, taking into account study hypotheses, sources of bias, and multiplicity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8A491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Sections 4.1–4.7</w:t>
            </w:r>
          </w:p>
        </w:tc>
      </w:tr>
      <w:tr w14:paraId="4194835B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E81E3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21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3BD11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Generalizability (external validity) of the trial findings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96A3A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 4.7</w:t>
            </w:r>
          </w:p>
        </w:tc>
      </w:tr>
      <w:tr w14:paraId="49496A8E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EFF6E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22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6E451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Interpretation consistent with results, balancing benefits and harms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41267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 5</w:t>
            </w:r>
          </w:p>
        </w:tc>
      </w:tr>
    </w:tbl>
    <w:p w14:paraId="4401E3BD">
      <w:pPr>
        <w:pStyle w:val="2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Times New Roman" w:cs="Times New Roman"/>
          <w:b/>
          <w:color w:val="auto"/>
          <w:sz w:val="18"/>
          <w:szCs w:val="22"/>
        </w:rPr>
        <w:t>TRIPOD Statement Checklist (prediction model reporting)</w:t>
      </w:r>
    </w:p>
    <w:tbl>
      <w:tblPr>
        <w:tblStyle w:val="5"/>
        <w:tblW w:w="5000" w:type="pct"/>
        <w:tblInd w:w="0" w:type="dxa"/>
        <w:tblBorders>
          <w:top w:val="single" w:color="37474F" w:sz="12" w:space="0"/>
          <w:left w:val="none" w:color="auto" w:sz="0" w:space="0"/>
          <w:bottom w:val="single" w:color="37474F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7"/>
        <w:gridCol w:w="5866"/>
        <w:gridCol w:w="3335"/>
      </w:tblGrid>
      <w:tr w14:paraId="48DA16F4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597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72880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Item</w:t>
            </w:r>
          </w:p>
        </w:tc>
        <w:tc>
          <w:tcPr>
            <w:tcW w:w="5866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DE6C3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Recommendation</w:t>
            </w:r>
          </w:p>
        </w:tc>
        <w:tc>
          <w:tcPr>
            <w:tcW w:w="3335" w:type="dxa"/>
            <w:tcBorders>
              <w:bottom w:val="single" w:color="37474F" w:sz="6" w:space="0"/>
            </w:tcBorders>
            <w:shd w:val="clear" w:color="auto" w:fill="ECEF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C7CB0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22"/>
              </w:rPr>
              <w:t>Where reported</w:t>
            </w:r>
          </w:p>
        </w:tc>
      </w:tr>
      <w:tr w14:paraId="040B770E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D177F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930D0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Title — identifies study as developing/validating a prediction model, target population, outcome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51EC4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Title; Abstract</w:t>
            </w:r>
          </w:p>
        </w:tc>
      </w:tr>
      <w:tr w14:paraId="7A7516A6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90ECF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2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AD865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Abstract — summary of objectives, design, setting, participants, sample size, predictors, outcome, statistical analysis, results, conclusions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90120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Abstract</w:t>
            </w:r>
          </w:p>
        </w:tc>
      </w:tr>
      <w:tr w14:paraId="36A0740D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3EAD3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3a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831CE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Source of data — explain rationale for model development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7D1F6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Sections 1, 2.1, 3.6</w:t>
            </w:r>
          </w:p>
        </w:tc>
      </w:tr>
      <w:tr w14:paraId="3DE6C7BE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9D862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3b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EECC7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Specify objectives, including whether the study describes development or validation, or both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2382F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Sections 2.1, 2.7 (development with internal validation)</w:t>
            </w:r>
          </w:p>
        </w:tc>
      </w:tr>
      <w:tr w14:paraId="2FF390BB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A3151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4a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220A8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Source of data — describe study design and dates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CEBE4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 2.1</w:t>
            </w:r>
          </w:p>
        </w:tc>
      </w:tr>
      <w:tr w14:paraId="2390DBE6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B98D2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4b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E7201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Specify key study dates, including accrual and follow-up periods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F29C4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 2.1</w:t>
            </w:r>
          </w:p>
        </w:tc>
      </w:tr>
      <w:tr w14:paraId="30287832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90ED2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5a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FDE69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Participants — describe eligibility criteria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88D49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Sections 2.2–2.3</w:t>
            </w:r>
          </w:p>
        </w:tc>
      </w:tr>
      <w:tr w14:paraId="07CD8E20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B87E9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5b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D0C8F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Describe treatments received, if relevant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D8E8A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Sections 2.1, 2.5; Table 1</w:t>
            </w:r>
          </w:p>
        </w:tc>
      </w:tr>
      <w:tr w14:paraId="4B7292A7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EF071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5c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5827E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Describe how and when the outcome was assessed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9BD9A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Sections 2.1, 2.4</w:t>
            </w:r>
          </w:p>
        </w:tc>
      </w:tr>
      <w:tr w14:paraId="174A37AA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65816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6a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038CD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Outcome — clearly define the outcome predicted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3579C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Sections 2.1, 2.4 (FAPD diagnosis; composite treatment response)</w:t>
            </w:r>
          </w:p>
        </w:tc>
      </w:tr>
      <w:tr w14:paraId="02914A59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BDA17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6b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C1785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Report any actions to blind assessment of the outcome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6F84E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 2.1 (blinded outcome assessors)</w:t>
            </w:r>
          </w:p>
        </w:tc>
      </w:tr>
      <w:tr w14:paraId="2EDAB688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7ACB0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6c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06163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For validation, identify differences from development data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4942B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Not applicable (internal validation only)</w:t>
            </w:r>
          </w:p>
        </w:tc>
      </w:tr>
      <w:tr w14:paraId="6E9B0012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D701B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7a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39A90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Predictors — clearly define all predictors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9AE94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Sections 2.6, 3.6; Supplementary Tables 13–14</w:t>
            </w:r>
          </w:p>
        </w:tc>
      </w:tr>
      <w:tr w14:paraId="778E21A8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BB958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7b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3C4B4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Report any actions to blind assessment of predictors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6D6F6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Not applicable (laboratory-based predictors)</w:t>
            </w:r>
          </w:p>
        </w:tc>
      </w:tr>
      <w:tr w14:paraId="02A24EB4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3BBA7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8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1340A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Sample size — explain how the study size was arrived at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C6E27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 2.1; limitation acknowledged in Section 4.7</w:t>
            </w:r>
          </w:p>
        </w:tc>
      </w:tr>
      <w:tr w14:paraId="026DE1DB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4CEE6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9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4369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Missing data — describe how missing data were handled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9125F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Sections 2.6, 3.4 (one contaminated sample excluded)</w:t>
            </w:r>
          </w:p>
        </w:tc>
      </w:tr>
      <w:tr w14:paraId="43DA41FE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73AFB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10a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1EFD6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Analytical methods — describe how predictors were handled in the analyses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FE618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Supplementary Methods (machine-learning analysis)</w:t>
            </w:r>
          </w:p>
        </w:tc>
      </w:tr>
      <w:tr w14:paraId="6EF187BE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29537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10b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FB4F2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Specify type of model, all model-building procedures, and method for internal validation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56DA5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 2.7; Supplementary Methods</w:t>
            </w:r>
          </w:p>
        </w:tc>
      </w:tr>
      <w:tr w14:paraId="230DB37B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D574A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10c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2298B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Describe how model performance was evaluated and quantified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4EADCE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 2.7; Supplementary Table 12</w:t>
            </w:r>
          </w:p>
        </w:tc>
      </w:tr>
      <w:tr w14:paraId="47190D6D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4DAAD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10d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EE291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For validation, describe how predictions were calculated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8E1A89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Supplementary Methods (LOOCV pooled probabilities)</w:t>
            </w:r>
          </w:p>
        </w:tc>
      </w:tr>
      <w:tr w14:paraId="623FE301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168F1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10e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6158C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Specify all measures used to assess model performance (calibration, discrimination)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5CDD54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 2.7; Supplementary Figures S1–S2; Supplementary Table 12</w:t>
            </w:r>
          </w:p>
        </w:tc>
      </w:tr>
      <w:tr w14:paraId="490A985D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26A57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11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74775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Development vs validation — describe any model-updating methods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2921A0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Not applicable</w:t>
            </w:r>
          </w:p>
        </w:tc>
      </w:tr>
      <w:tr w14:paraId="70ADD74B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AC62C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13a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DD6FF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Participants — describe flow and number with/without outcome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E332B1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Figure 1; Section 3.1</w:t>
            </w:r>
          </w:p>
        </w:tc>
      </w:tr>
      <w:tr w14:paraId="6DA260BB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0D28B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13b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1961E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Summarize baseline characteristics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DCCF17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Table 1; Supplementary Table 3</w:t>
            </w:r>
          </w:p>
        </w:tc>
      </w:tr>
      <w:tr w14:paraId="00513F59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D4389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14a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1D4CF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Model development — specify number of participants and outcome events in each analysis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9B5F24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 3.6 (n = 86; n = 26 with 8 non-responders)</w:t>
            </w:r>
          </w:p>
        </w:tc>
      </w:tr>
      <w:tr w14:paraId="6A318A72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99DBE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14b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63084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Report unadjusted associations between predictors and outcome, if done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6CA1D5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Figures 2, 6; Supplementary Tables 5, 11</w:t>
            </w:r>
          </w:p>
        </w:tc>
      </w:tr>
      <w:tr w14:paraId="1D98BB17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7D0F8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15a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06F3C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Present the full prediction model to allow predictions for individuals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9690BD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 3.6; Supplementary Table 12</w:t>
            </w:r>
          </w:p>
        </w:tc>
      </w:tr>
      <w:tr w14:paraId="5ABF3F4A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E8CF6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15b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F1ACB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Explain how to use the prediction model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CFD769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Sections 3.6, 4.5</w:t>
            </w:r>
          </w:p>
        </w:tc>
      </w:tr>
      <w:tr w14:paraId="68E13810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7B38D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16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57CF8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Model performance — report performance measures with confidence intervals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DD060B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 3.6; Supplementary Table 12</w:t>
            </w:r>
          </w:p>
        </w:tc>
      </w:tr>
      <w:tr w14:paraId="421AD903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08069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17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D4AA4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Model updating — report results of any model updating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EC733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Not applicable</w:t>
            </w:r>
          </w:p>
        </w:tc>
      </w:tr>
      <w:tr w14:paraId="16F3DFAF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3E8A5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18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BFBEC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Limitations — discuss limitations of the study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41B47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 4.7</w:t>
            </w:r>
          </w:p>
        </w:tc>
      </w:tr>
      <w:tr w14:paraId="3EED3E46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6C892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19a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0D582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Interpretation — discuss results with reference to model performance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BAF2A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Sections 3.6, 4.5</w:t>
            </w:r>
          </w:p>
        </w:tc>
      </w:tr>
      <w:tr w14:paraId="7B557D05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744AA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19b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34EEA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Compare with other models or studies, if available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9B476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 4.5</w:t>
            </w:r>
          </w:p>
        </w:tc>
      </w:tr>
      <w:tr w14:paraId="6BAD2745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95271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20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E6857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Implications — discuss potential clinical use and future research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59066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Sections 4.5, 4.7</w:t>
            </w:r>
          </w:p>
        </w:tc>
      </w:tr>
      <w:tr w14:paraId="34EEC530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8D00C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21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0A157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Supplementary information — provide information about the availability of supplementary resources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F2C98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Availability of data and materials (GSA: CRA025894)</w:t>
            </w:r>
          </w:p>
        </w:tc>
      </w:tr>
      <w:tr w14:paraId="6A0641FF">
        <w:tblPrEx>
          <w:tblBorders>
            <w:top w:val="single" w:color="37474F" w:sz="12" w:space="0"/>
            <w:left w:val="none" w:color="auto" w:sz="0" w:space="0"/>
            <w:bottom w:val="single" w:color="37474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F75F8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22</w:t>
            </w:r>
          </w:p>
        </w:tc>
        <w:tc>
          <w:tcPr>
            <w:tcW w:w="586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8C423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Funding — give the source of funding and role of funders</w:t>
            </w:r>
          </w:p>
        </w:tc>
        <w:tc>
          <w:tcPr>
            <w:tcW w:w="333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56403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22"/>
              </w:rPr>
              <w:t>Funding</w:t>
            </w:r>
          </w:p>
        </w:tc>
      </w:tr>
    </w:tbl>
    <w:p w14:paraId="3DBDAB7E">
      <w:pPr>
        <w:rPr>
          <w:rFonts w:ascii="Times New Roman" w:hAnsi="Times New Roman" w:cs="Times New Roman"/>
          <w:color w:val="auto"/>
        </w:rPr>
      </w:pPr>
    </w:p>
    <w:sectPr>
      <w:headerReference r:id="rId5" w:type="default"/>
      <w:footerReference r:id="rId6" w:type="default"/>
      <w:pgSz w:w="11906" w:h="16838"/>
      <w:pgMar w:top="1440" w:right="1134" w:bottom="1440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69854C">
    <w:pPr>
      <w:jc w:val="center"/>
    </w:pPr>
    <w:r>
      <w:rPr>
        <w:color w:val="78909C"/>
        <w:sz w:val="18"/>
      </w:rPr>
      <w:fldChar w:fldCharType="begin"/>
    </w:r>
    <w:r>
      <w:rPr>
        <w:color w:val="78909C"/>
        <w:sz w:val="18"/>
      </w:rPr>
      <w:instrText xml:space="preserve"> PAGE </w:instrText>
    </w:r>
    <w:r>
      <w:rPr>
        <w:color w:val="78909C"/>
        <w:sz w:val="18"/>
      </w:rPr>
      <w:fldChar w:fldCharType="separate"/>
    </w:r>
    <w:r>
      <w:rPr>
        <w:color w:val="78909C"/>
        <w:sz w:val="18"/>
      </w:rPr>
      <w:t>1</w:t>
    </w:r>
    <w:r>
      <w:rPr>
        <w:color w:val="78909C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B43B1">
    <w:pPr>
      <w:pBdr>
        <w:bottom w:val="single" w:color="B0BEC5" w:sz="4" w:space="0"/>
      </w:pBdr>
      <w:jc w:val="right"/>
    </w:pPr>
    <w:r>
      <w:rPr>
        <w:rFonts w:ascii="Times New Roman" w:hAnsi="Times New Roman"/>
        <w:color w:val="78909C"/>
        <w:sz w:val="18"/>
      </w:rPr>
      <w:t>Supplementary material — FMT in children with refractory FAPDs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trackRevisions w:val="1"/>
  <w:documentProtection w:enforcement="0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AB0201"/>
    <w:rsid w:val="0C6460E3"/>
    <w:rsid w:val="0E2B30A2"/>
    <w:rsid w:val="13ED10E4"/>
    <w:rsid w:val="18E203ED"/>
    <w:rsid w:val="221F0B36"/>
    <w:rsid w:val="22DC55BE"/>
    <w:rsid w:val="26063217"/>
    <w:rsid w:val="2B902894"/>
    <w:rsid w:val="32463D43"/>
    <w:rsid w:val="3BDD70CC"/>
    <w:rsid w:val="422F0E9B"/>
    <w:rsid w:val="423B3F81"/>
    <w:rsid w:val="42B72BB4"/>
    <w:rsid w:val="4C8D1F56"/>
    <w:rsid w:val="577E1DDB"/>
    <w:rsid w:val="5B707D25"/>
    <w:rsid w:val="5DDE730D"/>
    <w:rsid w:val="62A06D15"/>
    <w:rsid w:val="635615E2"/>
    <w:rsid w:val="6923630A"/>
    <w:rsid w:val="6B62371E"/>
    <w:rsid w:val="6D5356FF"/>
    <w:rsid w:val="72EB5A48"/>
    <w:rsid w:val="74F91BBA"/>
    <w:rsid w:val="7F337B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360" w:lineRule="auto"/>
      <w:jc w:val="both"/>
    </w:pPr>
    <w:rPr>
      <w:rFonts w:ascii="Times New Roman" w:hAnsi="Times New Roman" w:eastAsia="Times New Roman" w:cstheme="minorBidi"/>
      <w:color w:val="212121"/>
      <w:sz w:val="24"/>
      <w:szCs w:val="22"/>
    </w:rPr>
  </w:style>
  <w:style w:type="paragraph" w:styleId="2">
    <w:name w:val="heading 1"/>
    <w:basedOn w:val="1"/>
    <w:qFormat/>
    <w:uiPriority w:val="0"/>
    <w:pPr>
      <w:keepNext/>
      <w:spacing w:before="360" w:after="160"/>
      <w:jc w:val="left"/>
      <w:outlineLvl w:val="0"/>
    </w:pPr>
    <w:rPr>
      <w:b/>
      <w:color w:val="37474F"/>
      <w:sz w:val="28"/>
    </w:rPr>
  </w:style>
  <w:style w:type="paragraph" w:styleId="3">
    <w:name w:val="heading 2"/>
    <w:basedOn w:val="1"/>
    <w:qFormat/>
    <w:uiPriority w:val="0"/>
    <w:pPr>
      <w:keepNext/>
      <w:spacing w:before="240" w:after="120"/>
      <w:jc w:val="left"/>
      <w:outlineLvl w:val="1"/>
    </w:pPr>
    <w:rPr>
      <w:b/>
      <w:color w:val="37474F"/>
      <w:sz w:val="25"/>
    </w:rPr>
  </w:style>
  <w:style w:type="paragraph" w:styleId="4">
    <w:name w:val="heading 3"/>
    <w:basedOn w:val="1"/>
    <w:qFormat/>
    <w:uiPriority w:val="0"/>
    <w:pPr>
      <w:keepNext/>
      <w:spacing w:before="200" w:after="80"/>
      <w:jc w:val="left"/>
      <w:outlineLvl w:val="2"/>
    </w:pPr>
    <w:rPr>
      <w:b/>
      <w:color w:val="455A64"/>
      <w:sz w:val="2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509</Words>
  <Characters>3374</Characters>
  <TotalTime>15</TotalTime>
  <ScaleCrop>false</ScaleCrop>
  <LinksUpToDate>false</LinksUpToDate>
  <CharactersWithSpaces>3861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2026-08-02T11:59:00Z</dcterms:created>
  <dc:creator>zbb</dc:creator>
  <cp:lastModifiedBy>ZB</cp:lastModifiedBy>
  <dcterms:modified xsi:type="dcterms:W3CDTF">2026-08-24T14:54:44Z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eyJoZGlkIjoiNTM0Mjk4YjJjOWExNGEyZGUwZWVhNGU0OWFiYWVkOTkiLCJ1c2VySWQiOiIyNDEzMTMyMzgifQ==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309C0545314B4298A667C491F33306C9_13</vt:lpwstr>
  </property>
</Properties>
</file>