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4BC06" w14:textId="77777777" w:rsidR="00031498" w:rsidRDefault="00000000">
      <w:pPr>
        <w:pStyle w:val="Ttulo"/>
      </w:pPr>
      <w:r>
        <w:t>Estimating the sleep period time window based on a hip-worn accelerometer collected in children and adults.</w:t>
      </w:r>
    </w:p>
    <w:p w14:paraId="107DFAF0" w14:textId="77777777" w:rsidR="00031498" w:rsidRDefault="00000000">
      <w:pPr>
        <w:pStyle w:val="Author"/>
      </w:pPr>
      <w:r>
        <w:t>Jairo H Migueles</w:t>
      </w:r>
      <w:r>
        <w:rPr>
          <w:vertAlign w:val="superscript"/>
        </w:rPr>
        <w:t>1,2</w:t>
      </w:r>
      <w:r>
        <w:t>, Vincent T van Hees</w:t>
      </w:r>
      <w:r>
        <w:rPr>
          <w:vertAlign w:val="superscript"/>
        </w:rPr>
        <w:t>3</w:t>
      </w:r>
      <w:r>
        <w:t>, Michael J Stein</w:t>
      </w:r>
      <w:r>
        <w:rPr>
          <w:vertAlign w:val="superscript"/>
        </w:rPr>
        <w:t>4</w:t>
      </w:r>
      <w:r>
        <w:t>, Michael F Leitzmann</w:t>
      </w:r>
      <w:r>
        <w:rPr>
          <w:vertAlign w:val="superscript"/>
        </w:rPr>
        <w:t>4</w:t>
      </w:r>
      <w:r>
        <w:t>, Hansjoerg Baurecht</w:t>
      </w:r>
      <w:r>
        <w:rPr>
          <w:vertAlign w:val="superscript"/>
        </w:rPr>
        <w:t>4</w:t>
      </w:r>
      <w:r>
        <w:t>, and Claas Lendt</w:t>
      </w:r>
      <w:r>
        <w:rPr>
          <w:vertAlign w:val="superscript"/>
        </w:rPr>
        <w:t>4,5</w:t>
      </w:r>
    </w:p>
    <w:p w14:paraId="4C108AF9" w14:textId="77777777" w:rsidR="00031498" w:rsidRDefault="00000000">
      <w:pPr>
        <w:pStyle w:val="FirstParagraph"/>
      </w:pPr>
      <w:r>
        <w:rPr>
          <w:vertAlign w:val="superscript"/>
        </w:rPr>
        <w:t>1</w:t>
      </w:r>
      <w:r>
        <w:t xml:space="preserve"> Department of Physical Education and Sports, Faculty of Sport Sciences, Sport and Health University Research Institute (iMUDS), University of Granada, Granada, Spain.</w:t>
      </w:r>
      <w:r>
        <w:br/>
      </w:r>
      <w:r>
        <w:rPr>
          <w:vertAlign w:val="superscript"/>
        </w:rPr>
        <w:t>2</w:t>
      </w:r>
      <w:r>
        <w:t xml:space="preserve"> Department of Global Public Health, Karolinska Institutet, Stockholm, Sweden.</w:t>
      </w:r>
      <w:r>
        <w:br/>
      </w:r>
      <w:r>
        <w:rPr>
          <w:vertAlign w:val="superscript"/>
        </w:rPr>
        <w:t>3</w:t>
      </w:r>
      <w:r>
        <w:t xml:space="preserve"> Accelting, Almere, The Netherlands.</w:t>
      </w:r>
      <w:r>
        <w:br/>
      </w:r>
      <w:r>
        <w:rPr>
          <w:vertAlign w:val="superscript"/>
        </w:rPr>
        <w:t>4</w:t>
      </w:r>
      <w:r>
        <w:t xml:space="preserve"> Department of Epidemiology and Preventive Medicine, University of Regensburg, Regensburg, Germany</w:t>
      </w:r>
      <w:r>
        <w:br/>
      </w:r>
      <w:r>
        <w:rPr>
          <w:vertAlign w:val="superscript"/>
        </w:rPr>
        <w:t>5</w:t>
      </w:r>
      <w:r>
        <w:t xml:space="preserve"> Sports Performance Research Institute New Zealand, School of Sport and Recreation, Auckland University of Technology, New Zealand</w:t>
      </w:r>
    </w:p>
    <w:p w14:paraId="31B05EBB" w14:textId="77777777" w:rsidR="00031498" w:rsidRDefault="00000000">
      <w:r>
        <w:br w:type="page"/>
      </w:r>
    </w:p>
    <w:p w14:paraId="66D81F08" w14:textId="77777777" w:rsidR="00031498" w:rsidRDefault="00000000">
      <w:pPr>
        <w:pStyle w:val="Ttulo1"/>
      </w:pPr>
      <w:bookmarkStart w:id="0" w:name="supplementary-material"/>
      <w:r>
        <w:lastRenderedPageBreak/>
        <w:t>Supplementary Material</w:t>
      </w:r>
    </w:p>
    <w:p w14:paraId="0C2B56DE" w14:textId="77777777" w:rsidR="00031498" w:rsidRDefault="00000000">
      <w:pPr>
        <w:pStyle w:val="Ttulo2"/>
      </w:pPr>
      <w:bookmarkStart w:id="1" w:name="Xe512530bb794988ca3cd6655c5c7020bdc6eebd"/>
      <w:r>
        <w:t>3-fold nested cross-validation of hyperparameters for HDCZA</w:t>
      </w:r>
    </w:p>
    <w:p w14:paraId="75B037C5" w14:textId="77777777" w:rsidR="00031498" w:rsidRDefault="00000000">
      <w:pPr>
        <w:pStyle w:val="FirstParagraph"/>
      </w:pPr>
      <w:r>
        <w:rPr>
          <w:i/>
          <w:iCs/>
        </w:rPr>
        <w:t>Table S1: Root Mean Square Error (RMSE) results across nested cross-validation folds for each hyperparameter bound set tested in the HDCZA algorithm. The bound set with the lowest aggregated RMSE (mean × standard deviation) is highlighted in grey.</w:t>
      </w:r>
    </w:p>
    <w:tbl>
      <w:tblPr>
        <w:tblW w:w="5000" w:type="pct"/>
        <w:tblLook w:val="0420" w:firstRow="1" w:lastRow="0" w:firstColumn="0" w:lastColumn="0" w:noHBand="0" w:noVBand="1"/>
      </w:tblPr>
      <w:tblGrid>
        <w:gridCol w:w="518"/>
        <w:gridCol w:w="1058"/>
        <w:gridCol w:w="706"/>
        <w:gridCol w:w="1742"/>
        <w:gridCol w:w="1797"/>
        <w:gridCol w:w="1720"/>
        <w:gridCol w:w="1819"/>
      </w:tblGrid>
      <w:tr w:rsidR="00031498" w14:paraId="6A5B5A50" w14:textId="77777777">
        <w:trPr>
          <w:tblHeader/>
        </w:trPr>
        <w:tc>
          <w:tcPr>
            <w:tcW w:w="0" w:type="auto"/>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458787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Fold</w:t>
            </w:r>
          </w:p>
        </w:tc>
        <w:tc>
          <w:tcPr>
            <w:tcW w:w="0" w:type="auto"/>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111C59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Bound Set</w:t>
            </w:r>
          </w:p>
        </w:tc>
        <w:tc>
          <w:tcPr>
            <w:tcW w:w="0" w:type="auto"/>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1D62EB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RMSE</w:t>
            </w:r>
          </w:p>
        </w:tc>
        <w:tc>
          <w:tcPr>
            <w:tcW w:w="0" w:type="auto"/>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0C9E0F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HDCZA_threshold</w:t>
            </w:r>
          </w:p>
        </w:tc>
        <w:tc>
          <w:tcPr>
            <w:tcW w:w="0" w:type="auto"/>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BC7509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spt_min_block_dur</w:t>
            </w:r>
          </w:p>
        </w:tc>
        <w:tc>
          <w:tcPr>
            <w:tcW w:w="0" w:type="auto"/>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86AD4C6"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spt_max_gap_dur</w:t>
            </w:r>
          </w:p>
        </w:tc>
        <w:tc>
          <w:tcPr>
            <w:tcW w:w="0" w:type="auto"/>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57165C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spt_max_gap_ratio</w:t>
            </w:r>
          </w:p>
        </w:tc>
      </w:tr>
      <w:tr w:rsidR="00031498" w14:paraId="20732DAC" w14:textId="77777777">
        <w:tc>
          <w:tcPr>
            <w:tcW w:w="0" w:type="auto"/>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49E0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w:t>
            </w:r>
          </w:p>
        </w:tc>
        <w:tc>
          <w:tcPr>
            <w:tcW w:w="0" w:type="auto"/>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F731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w:t>
            </w:r>
          </w:p>
        </w:tc>
        <w:tc>
          <w:tcPr>
            <w:tcW w:w="0" w:type="auto"/>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03A6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1.094</w:t>
            </w:r>
          </w:p>
        </w:tc>
        <w:tc>
          <w:tcPr>
            <w:tcW w:w="0" w:type="auto"/>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DB94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0.402</w:t>
            </w:r>
          </w:p>
        </w:tc>
        <w:tc>
          <w:tcPr>
            <w:tcW w:w="0" w:type="auto"/>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A425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24</w:t>
            </w:r>
          </w:p>
        </w:tc>
        <w:tc>
          <w:tcPr>
            <w:tcW w:w="0" w:type="auto"/>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00A7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39</w:t>
            </w:r>
          </w:p>
        </w:tc>
        <w:tc>
          <w:tcPr>
            <w:tcW w:w="0" w:type="auto"/>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EC25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0.091</w:t>
            </w:r>
          </w:p>
        </w:tc>
      </w:tr>
      <w:tr w:rsidR="00031498" w14:paraId="1E7CE9B2"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BE8B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0A938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AC25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0.966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D653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07CB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C755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F02D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0.314</w:t>
            </w:r>
          </w:p>
        </w:tc>
      </w:tr>
      <w:tr w:rsidR="00031498" w14:paraId="63CD955B"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E013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228E7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0A7D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0.909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32AC3"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BC3DE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F9033"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BC0BA"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0.278</w:t>
            </w:r>
          </w:p>
        </w:tc>
      </w:tr>
      <w:tr w:rsidR="00031498" w14:paraId="7C908A1F" w14:textId="77777777">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60E7B293"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w:t>
            </w:r>
          </w:p>
        </w:tc>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33BAAE8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2</w:t>
            </w:r>
          </w:p>
        </w:tc>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1BC67E4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1.035</w:t>
            </w:r>
          </w:p>
        </w:tc>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28E7790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0.250</w:t>
            </w:r>
          </w:p>
        </w:tc>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531BF35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60</w:t>
            </w:r>
          </w:p>
        </w:tc>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72522D1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56</w:t>
            </w:r>
          </w:p>
        </w:tc>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55997E56"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0.644</w:t>
            </w:r>
          </w:p>
        </w:tc>
      </w:tr>
      <w:tr w:rsidR="00031498" w14:paraId="42F04DA1" w14:textId="77777777">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500FC22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2</w:t>
            </w:r>
          </w:p>
        </w:tc>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0797DB1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2</w:t>
            </w:r>
          </w:p>
        </w:tc>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67BCA61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0.950</w:t>
            </w:r>
          </w:p>
        </w:tc>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4B3BDA8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0.605</w:t>
            </w:r>
          </w:p>
        </w:tc>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523B4CA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60</w:t>
            </w:r>
          </w:p>
        </w:tc>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47F873D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57</w:t>
            </w:r>
          </w:p>
        </w:tc>
        <w:tc>
          <w:tcPr>
            <w:tcW w:w="0" w:type="auto"/>
            <w:tcBorders>
              <w:top w:val="none" w:sz="0" w:space="0" w:color="000000"/>
              <w:left w:val="none" w:sz="0" w:space="0" w:color="000000"/>
              <w:bottom w:val="none" w:sz="0" w:space="0" w:color="000000"/>
              <w:right w:val="none" w:sz="0" w:space="0" w:color="000000"/>
            </w:tcBorders>
            <w:shd w:val="clear" w:color="auto" w:fill="D3D3D3"/>
            <w:tcMar>
              <w:top w:w="0" w:type="dxa"/>
              <w:left w:w="0" w:type="dxa"/>
              <w:bottom w:w="0" w:type="dxa"/>
              <w:right w:w="0" w:type="dxa"/>
            </w:tcMar>
            <w:vAlign w:val="center"/>
          </w:tcPr>
          <w:p w14:paraId="217FE7E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0.077</w:t>
            </w:r>
          </w:p>
        </w:tc>
      </w:tr>
      <w:tr w:rsidR="00031498" w14:paraId="57AC4D50" w14:textId="77777777">
        <w:tc>
          <w:tcPr>
            <w:tcW w:w="0" w:type="auto"/>
            <w:tcBorders>
              <w:top w:val="none" w:sz="0" w:space="0" w:color="000000"/>
              <w:left w:val="none" w:sz="0" w:space="0" w:color="000000"/>
              <w:bottom w:val="single" w:sz="12" w:space="0" w:color="000000"/>
              <w:right w:val="none" w:sz="0" w:space="0" w:color="000000"/>
            </w:tcBorders>
            <w:shd w:val="clear" w:color="auto" w:fill="D3D3D3"/>
            <w:tcMar>
              <w:top w:w="0" w:type="dxa"/>
              <w:left w:w="0" w:type="dxa"/>
              <w:bottom w:w="0" w:type="dxa"/>
              <w:right w:w="0" w:type="dxa"/>
            </w:tcMar>
            <w:vAlign w:val="center"/>
          </w:tcPr>
          <w:p w14:paraId="17DEE29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3</w:t>
            </w:r>
          </w:p>
        </w:tc>
        <w:tc>
          <w:tcPr>
            <w:tcW w:w="0" w:type="auto"/>
            <w:tcBorders>
              <w:top w:val="none" w:sz="0" w:space="0" w:color="000000"/>
              <w:left w:val="none" w:sz="0" w:space="0" w:color="000000"/>
              <w:bottom w:val="single" w:sz="12" w:space="0" w:color="000000"/>
              <w:right w:val="none" w:sz="0" w:space="0" w:color="000000"/>
            </w:tcBorders>
            <w:shd w:val="clear" w:color="auto" w:fill="D3D3D3"/>
            <w:tcMar>
              <w:top w:w="0" w:type="dxa"/>
              <w:left w:w="0" w:type="dxa"/>
              <w:bottom w:w="0" w:type="dxa"/>
              <w:right w:w="0" w:type="dxa"/>
            </w:tcMar>
            <w:vAlign w:val="center"/>
          </w:tcPr>
          <w:p w14:paraId="5CA8AC0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2</w:t>
            </w:r>
          </w:p>
        </w:tc>
        <w:tc>
          <w:tcPr>
            <w:tcW w:w="0" w:type="auto"/>
            <w:tcBorders>
              <w:top w:val="none" w:sz="0" w:space="0" w:color="000000"/>
              <w:left w:val="none" w:sz="0" w:space="0" w:color="000000"/>
              <w:bottom w:val="single" w:sz="12" w:space="0" w:color="000000"/>
              <w:right w:val="none" w:sz="0" w:space="0" w:color="000000"/>
            </w:tcBorders>
            <w:shd w:val="clear" w:color="auto" w:fill="D3D3D3"/>
            <w:tcMar>
              <w:top w:w="0" w:type="dxa"/>
              <w:left w:w="0" w:type="dxa"/>
              <w:bottom w:w="0" w:type="dxa"/>
              <w:right w:w="0" w:type="dxa"/>
            </w:tcMar>
            <w:vAlign w:val="center"/>
          </w:tcPr>
          <w:p w14:paraId="4DDC603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0.915</w:t>
            </w:r>
          </w:p>
        </w:tc>
        <w:tc>
          <w:tcPr>
            <w:tcW w:w="0" w:type="auto"/>
            <w:tcBorders>
              <w:top w:val="none" w:sz="0" w:space="0" w:color="000000"/>
              <w:left w:val="none" w:sz="0" w:space="0" w:color="000000"/>
              <w:bottom w:val="single" w:sz="12" w:space="0" w:color="000000"/>
              <w:right w:val="none" w:sz="0" w:space="0" w:color="000000"/>
            </w:tcBorders>
            <w:shd w:val="clear" w:color="auto" w:fill="D3D3D3"/>
            <w:tcMar>
              <w:top w:w="0" w:type="dxa"/>
              <w:left w:w="0" w:type="dxa"/>
              <w:bottom w:w="0" w:type="dxa"/>
              <w:right w:w="0" w:type="dxa"/>
            </w:tcMar>
            <w:vAlign w:val="center"/>
          </w:tcPr>
          <w:p w14:paraId="1A63BF0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0.335</w:t>
            </w:r>
          </w:p>
        </w:tc>
        <w:tc>
          <w:tcPr>
            <w:tcW w:w="0" w:type="auto"/>
            <w:tcBorders>
              <w:top w:val="none" w:sz="0" w:space="0" w:color="000000"/>
              <w:left w:val="none" w:sz="0" w:space="0" w:color="000000"/>
              <w:bottom w:val="single" w:sz="12" w:space="0" w:color="000000"/>
              <w:right w:val="none" w:sz="0" w:space="0" w:color="000000"/>
            </w:tcBorders>
            <w:shd w:val="clear" w:color="auto" w:fill="D3D3D3"/>
            <w:tcMar>
              <w:top w:w="0" w:type="dxa"/>
              <w:left w:w="0" w:type="dxa"/>
              <w:bottom w:w="0" w:type="dxa"/>
              <w:right w:w="0" w:type="dxa"/>
            </w:tcMar>
            <w:vAlign w:val="center"/>
          </w:tcPr>
          <w:p w14:paraId="7FA426F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54</w:t>
            </w:r>
          </w:p>
        </w:tc>
        <w:tc>
          <w:tcPr>
            <w:tcW w:w="0" w:type="auto"/>
            <w:tcBorders>
              <w:top w:val="none" w:sz="0" w:space="0" w:color="000000"/>
              <w:left w:val="none" w:sz="0" w:space="0" w:color="000000"/>
              <w:bottom w:val="single" w:sz="12" w:space="0" w:color="000000"/>
              <w:right w:val="none" w:sz="0" w:space="0" w:color="000000"/>
            </w:tcBorders>
            <w:shd w:val="clear" w:color="auto" w:fill="D3D3D3"/>
            <w:tcMar>
              <w:top w:w="0" w:type="dxa"/>
              <w:left w:w="0" w:type="dxa"/>
              <w:bottom w:w="0" w:type="dxa"/>
              <w:right w:w="0" w:type="dxa"/>
            </w:tcMar>
            <w:vAlign w:val="center"/>
          </w:tcPr>
          <w:p w14:paraId="5778A1A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59</w:t>
            </w:r>
          </w:p>
        </w:tc>
        <w:tc>
          <w:tcPr>
            <w:tcW w:w="0" w:type="auto"/>
            <w:tcBorders>
              <w:top w:val="none" w:sz="0" w:space="0" w:color="000000"/>
              <w:left w:val="none" w:sz="0" w:space="0" w:color="000000"/>
              <w:bottom w:val="single" w:sz="12" w:space="0" w:color="000000"/>
              <w:right w:val="none" w:sz="0" w:space="0" w:color="000000"/>
            </w:tcBorders>
            <w:shd w:val="clear" w:color="auto" w:fill="D3D3D3"/>
            <w:tcMar>
              <w:top w:w="0" w:type="dxa"/>
              <w:left w:w="0" w:type="dxa"/>
              <w:bottom w:w="0" w:type="dxa"/>
              <w:right w:w="0" w:type="dxa"/>
            </w:tcMar>
            <w:vAlign w:val="center"/>
          </w:tcPr>
          <w:p w14:paraId="49DDA914"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0.347</w:t>
            </w:r>
          </w:p>
        </w:tc>
      </w:tr>
      <w:tr w:rsidR="00031498" w14:paraId="24E636E1" w14:textId="77777777">
        <w:tc>
          <w:tcPr>
            <w:tcW w:w="0" w:type="auto"/>
            <w:gridSpan w:val="7"/>
            <w:tcBorders>
              <w:top w:val="single" w:sz="12"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81EE93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RMSE: root mean square error.</w:t>
            </w:r>
          </w:p>
        </w:tc>
      </w:tr>
    </w:tbl>
    <w:p w14:paraId="2ED4234A" w14:textId="77777777" w:rsidR="00031498" w:rsidRDefault="00000000">
      <w:r>
        <w:br w:type="page"/>
      </w:r>
    </w:p>
    <w:p w14:paraId="1B5AA7A6" w14:textId="77777777" w:rsidR="00031498" w:rsidRDefault="00000000">
      <w:pPr>
        <w:pStyle w:val="Ttulo2"/>
      </w:pPr>
      <w:bookmarkStart w:id="2" w:name="Xff2a9a40c4a6e060910cbed731dc02e4277dbca"/>
      <w:bookmarkEnd w:id="1"/>
      <w:r>
        <w:lastRenderedPageBreak/>
        <w:t>Confusion Matrices for the Quintile-based Agreement for the SPT duration</w:t>
      </w:r>
    </w:p>
    <w:p w14:paraId="7FDE5601" w14:textId="77777777" w:rsidR="00031498" w:rsidRDefault="00000000">
      <w:pPr>
        <w:pStyle w:val="FirstParagraph"/>
      </w:pPr>
      <w:r>
        <w:rPr>
          <w:i/>
          <w:iCs/>
        </w:rPr>
        <w:t>Table S2: Confusion matrix for quintile classification of SPT duration (HDCZA vs. reference). Cells show n, row %. Weighted Cohen’s kappa (squared) = 0.556, p &lt;0.001. N = 519.</w:t>
      </w:r>
    </w:p>
    <w:tbl>
      <w:tblPr>
        <w:tblW w:w="0" w:type="auto"/>
        <w:jc w:val="center"/>
        <w:tblLayout w:type="fixed"/>
        <w:tblLook w:val="0420" w:firstRow="1" w:lastRow="0" w:firstColumn="0" w:lastColumn="0" w:noHBand="0" w:noVBand="1"/>
      </w:tblPr>
      <w:tblGrid>
        <w:gridCol w:w="2184"/>
        <w:gridCol w:w="1401"/>
        <w:gridCol w:w="1401"/>
        <w:gridCol w:w="1401"/>
        <w:gridCol w:w="1401"/>
        <w:gridCol w:w="1401"/>
      </w:tblGrid>
      <w:tr w:rsidR="00031498" w14:paraId="3D8671F9" w14:textId="77777777">
        <w:trPr>
          <w:tblHeader/>
          <w:jc w:val="center"/>
        </w:trPr>
        <w:tc>
          <w:tcPr>
            <w:tcW w:w="2184" w:type="dxa"/>
            <w:tcBorders>
              <w:top w:val="single" w:sz="16"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0F96683E"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Reference quintile</w:t>
            </w:r>
          </w:p>
        </w:tc>
        <w:tc>
          <w:tcPr>
            <w:tcW w:w="1401" w:type="dxa"/>
            <w:tcBorders>
              <w:top w:val="single" w:sz="16"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1829BA03"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Q1</w:t>
            </w:r>
          </w:p>
        </w:tc>
        <w:tc>
          <w:tcPr>
            <w:tcW w:w="1401" w:type="dxa"/>
            <w:tcBorders>
              <w:top w:val="single" w:sz="16"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13D1D45E"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Q2</w:t>
            </w:r>
          </w:p>
        </w:tc>
        <w:tc>
          <w:tcPr>
            <w:tcW w:w="1401" w:type="dxa"/>
            <w:tcBorders>
              <w:top w:val="single" w:sz="16"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73CCD45D"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Q3</w:t>
            </w:r>
          </w:p>
        </w:tc>
        <w:tc>
          <w:tcPr>
            <w:tcW w:w="1401" w:type="dxa"/>
            <w:tcBorders>
              <w:top w:val="single" w:sz="16"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13FBF929"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Q4</w:t>
            </w:r>
          </w:p>
        </w:tc>
        <w:tc>
          <w:tcPr>
            <w:tcW w:w="1401" w:type="dxa"/>
            <w:tcBorders>
              <w:top w:val="single" w:sz="16"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449259A9"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Q5</w:t>
            </w:r>
          </w:p>
        </w:tc>
      </w:tr>
      <w:tr w:rsidR="00031498" w14:paraId="5E6C9FF2" w14:textId="77777777">
        <w:trPr>
          <w:jc w:val="center"/>
        </w:trPr>
        <w:tc>
          <w:tcPr>
            <w:tcW w:w="2184"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F4588"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Q1</w:t>
            </w:r>
          </w:p>
        </w:tc>
        <w:tc>
          <w:tcPr>
            <w:tcW w:w="140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B57B5"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53, 50.0%</w:t>
            </w:r>
          </w:p>
        </w:tc>
        <w:tc>
          <w:tcPr>
            <w:tcW w:w="140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0AAC5"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24, 22.6%</w:t>
            </w:r>
          </w:p>
        </w:tc>
        <w:tc>
          <w:tcPr>
            <w:tcW w:w="140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4369C"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17, 16.0%</w:t>
            </w:r>
          </w:p>
        </w:tc>
        <w:tc>
          <w:tcPr>
            <w:tcW w:w="140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FE000"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2, 1.9%</w:t>
            </w:r>
          </w:p>
        </w:tc>
        <w:tc>
          <w:tcPr>
            <w:tcW w:w="140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15E55"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10, 9.4%</w:t>
            </w:r>
          </w:p>
        </w:tc>
      </w:tr>
      <w:tr w:rsidR="00031498" w14:paraId="63950E07" w14:textId="77777777">
        <w:trPr>
          <w:jc w:val="center"/>
        </w:trPr>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0E22E"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Q2</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1BB54"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10, 10.2%</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EC5D55"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45, 45.9%</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55B39"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23, 23.5%</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96F47"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7, 7.1%</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EBAE7"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13, 13.3%</w:t>
            </w:r>
          </w:p>
        </w:tc>
      </w:tr>
      <w:tr w:rsidR="00031498" w14:paraId="2CAA58F0" w14:textId="77777777">
        <w:trPr>
          <w:jc w:val="center"/>
        </w:trPr>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801C6"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Q3</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903F7"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10, 9.3%</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9D7F3"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9, 8.3%</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E481E"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52, 48.1%</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215B47"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17, 15.7%</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76500"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20, 18.5%</w:t>
            </w:r>
          </w:p>
        </w:tc>
      </w:tr>
      <w:tr w:rsidR="00031498" w14:paraId="387E0B42" w14:textId="77777777">
        <w:trPr>
          <w:jc w:val="center"/>
        </w:trPr>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2C1E9"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Q4</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5CF80"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8, 7.8%</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642C1"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3, 2.9%</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BDD79"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18, 17.5%</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C525C"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36, 35.0%</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0605F"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38, 36.9%</w:t>
            </w:r>
          </w:p>
        </w:tc>
      </w:tr>
      <w:tr w:rsidR="00031498" w14:paraId="43ACEE8A" w14:textId="77777777">
        <w:trPr>
          <w:jc w:val="center"/>
        </w:trPr>
        <w:tc>
          <w:tcPr>
            <w:tcW w:w="21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82A849"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Q5</w:t>
            </w:r>
          </w:p>
        </w:tc>
        <w:tc>
          <w:tcPr>
            <w:tcW w:w="14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7ED308"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9, 8.7%</w:t>
            </w:r>
          </w:p>
        </w:tc>
        <w:tc>
          <w:tcPr>
            <w:tcW w:w="14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72C3EE"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5, 4.8%</w:t>
            </w:r>
          </w:p>
        </w:tc>
        <w:tc>
          <w:tcPr>
            <w:tcW w:w="14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D35C34"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6, 5.8%</w:t>
            </w:r>
          </w:p>
        </w:tc>
        <w:tc>
          <w:tcPr>
            <w:tcW w:w="14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84E917"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14, 13.5%</w:t>
            </w:r>
          </w:p>
        </w:tc>
        <w:tc>
          <w:tcPr>
            <w:tcW w:w="14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EF0C05"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70, 67.3%</w:t>
            </w:r>
          </w:p>
        </w:tc>
      </w:tr>
    </w:tbl>
    <w:p w14:paraId="731BEC18" w14:textId="77777777" w:rsidR="00AF0193" w:rsidRDefault="00AF0193">
      <w:pPr>
        <w:pStyle w:val="Textoindependiente"/>
        <w:rPr>
          <w:i/>
          <w:iCs/>
        </w:rPr>
      </w:pPr>
    </w:p>
    <w:p w14:paraId="5C47EBFD" w14:textId="4D5C9062" w:rsidR="00031498" w:rsidRDefault="00000000">
      <w:pPr>
        <w:pStyle w:val="Textoindependiente"/>
      </w:pPr>
      <w:r>
        <w:rPr>
          <w:i/>
          <w:iCs/>
        </w:rPr>
        <w:t>Table S3: Confusion matrix for quintile classification of SPT duration (HorAngle vs. reference). Cells show n, row %. Weighted Cohen’s kappa (squared) = 0.575, p &lt;0.001. N = 519.</w:t>
      </w:r>
    </w:p>
    <w:tbl>
      <w:tblPr>
        <w:tblW w:w="0" w:type="auto"/>
        <w:jc w:val="center"/>
        <w:tblLayout w:type="fixed"/>
        <w:tblLook w:val="0420" w:firstRow="1" w:lastRow="0" w:firstColumn="0" w:lastColumn="0" w:noHBand="0" w:noVBand="1"/>
      </w:tblPr>
      <w:tblGrid>
        <w:gridCol w:w="2184"/>
        <w:gridCol w:w="1401"/>
        <w:gridCol w:w="1401"/>
        <w:gridCol w:w="1401"/>
        <w:gridCol w:w="1401"/>
        <w:gridCol w:w="1401"/>
      </w:tblGrid>
      <w:tr w:rsidR="00031498" w14:paraId="2205BC4A" w14:textId="77777777">
        <w:trPr>
          <w:tblHeader/>
          <w:jc w:val="center"/>
        </w:trPr>
        <w:tc>
          <w:tcPr>
            <w:tcW w:w="2184" w:type="dxa"/>
            <w:tcBorders>
              <w:top w:val="single" w:sz="16"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4E352A2B"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Reference quintile</w:t>
            </w:r>
          </w:p>
        </w:tc>
        <w:tc>
          <w:tcPr>
            <w:tcW w:w="1401" w:type="dxa"/>
            <w:tcBorders>
              <w:top w:val="single" w:sz="16"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689F849E"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Q1</w:t>
            </w:r>
          </w:p>
        </w:tc>
        <w:tc>
          <w:tcPr>
            <w:tcW w:w="1401" w:type="dxa"/>
            <w:tcBorders>
              <w:top w:val="single" w:sz="16"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4AAF88CD"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Q2</w:t>
            </w:r>
          </w:p>
        </w:tc>
        <w:tc>
          <w:tcPr>
            <w:tcW w:w="1401" w:type="dxa"/>
            <w:tcBorders>
              <w:top w:val="single" w:sz="16"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4B1FED6C"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Q3</w:t>
            </w:r>
          </w:p>
        </w:tc>
        <w:tc>
          <w:tcPr>
            <w:tcW w:w="1401" w:type="dxa"/>
            <w:tcBorders>
              <w:top w:val="single" w:sz="16"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22E436FB"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Q4</w:t>
            </w:r>
          </w:p>
        </w:tc>
        <w:tc>
          <w:tcPr>
            <w:tcW w:w="1401" w:type="dxa"/>
            <w:tcBorders>
              <w:top w:val="single" w:sz="16"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281E007E"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Q5</w:t>
            </w:r>
          </w:p>
        </w:tc>
      </w:tr>
      <w:tr w:rsidR="00031498" w14:paraId="005DF88B" w14:textId="77777777">
        <w:trPr>
          <w:jc w:val="center"/>
        </w:trPr>
        <w:tc>
          <w:tcPr>
            <w:tcW w:w="2184"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5268B"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Q1</w:t>
            </w:r>
          </w:p>
        </w:tc>
        <w:tc>
          <w:tcPr>
            <w:tcW w:w="140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47D29"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56, 56.6%</w:t>
            </w:r>
          </w:p>
        </w:tc>
        <w:tc>
          <w:tcPr>
            <w:tcW w:w="140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25F7F"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31, 31.3%</w:t>
            </w:r>
          </w:p>
        </w:tc>
        <w:tc>
          <w:tcPr>
            <w:tcW w:w="140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463731"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5, 5.1%</w:t>
            </w:r>
          </w:p>
        </w:tc>
        <w:tc>
          <w:tcPr>
            <w:tcW w:w="140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04B82"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3, 3.0%</w:t>
            </w:r>
          </w:p>
        </w:tc>
        <w:tc>
          <w:tcPr>
            <w:tcW w:w="140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DAC0C"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4, 4.0%</w:t>
            </w:r>
          </w:p>
        </w:tc>
      </w:tr>
      <w:tr w:rsidR="00031498" w14:paraId="254CAE45" w14:textId="77777777">
        <w:trPr>
          <w:jc w:val="center"/>
        </w:trPr>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4981B"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Q2</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1C12B6"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13, 12.6%</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69C3E"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42, 40.8%</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4E558"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30, 29.1%</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F2D3E"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7, 6.8%</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7A047"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11, 10.7%</w:t>
            </w:r>
          </w:p>
        </w:tc>
      </w:tr>
      <w:tr w:rsidR="00031498" w14:paraId="68760E9F" w14:textId="77777777">
        <w:trPr>
          <w:jc w:val="center"/>
        </w:trPr>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644D1"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Q3</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ABECD"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7, 6.5%</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66CC7"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10, 9.3%</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7F1DF"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45, 41.7%</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6E136"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31, 28.7%</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AAF5B"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15, 13.9%</w:t>
            </w:r>
          </w:p>
        </w:tc>
      </w:tr>
      <w:tr w:rsidR="00031498" w14:paraId="277FD974" w14:textId="77777777">
        <w:trPr>
          <w:jc w:val="center"/>
        </w:trPr>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BDE6E"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Q4</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0CE52"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9, 8.6%</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7E7A5"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7, 6.7%</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E8632"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10, 9.5%</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DF2387"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40, 38.1%</w:t>
            </w:r>
          </w:p>
        </w:tc>
        <w:tc>
          <w:tcPr>
            <w:tcW w:w="14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2B328"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39, 37.1%</w:t>
            </w:r>
          </w:p>
        </w:tc>
      </w:tr>
      <w:tr w:rsidR="00031498" w14:paraId="57472303" w14:textId="77777777">
        <w:trPr>
          <w:jc w:val="center"/>
        </w:trPr>
        <w:tc>
          <w:tcPr>
            <w:tcW w:w="21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EC5FB66"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Q5</w:t>
            </w:r>
          </w:p>
        </w:tc>
        <w:tc>
          <w:tcPr>
            <w:tcW w:w="14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4A641A"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14, 13.5%</w:t>
            </w:r>
          </w:p>
        </w:tc>
        <w:tc>
          <w:tcPr>
            <w:tcW w:w="14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EF1097"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4, 3.8%</w:t>
            </w:r>
          </w:p>
        </w:tc>
        <w:tc>
          <w:tcPr>
            <w:tcW w:w="14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A5C2DD9"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7, 6.7%</w:t>
            </w:r>
          </w:p>
        </w:tc>
        <w:tc>
          <w:tcPr>
            <w:tcW w:w="14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57B220"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17, 16.3%</w:t>
            </w:r>
          </w:p>
        </w:tc>
        <w:tc>
          <w:tcPr>
            <w:tcW w:w="14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595CBA" w14:textId="77777777" w:rsidR="00031498"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Arial" w:cs="Arial"/>
                <w:color w:val="000000"/>
                <w:szCs w:val="22"/>
              </w:rPr>
            </w:pPr>
            <w:r>
              <w:rPr>
                <w:rFonts w:eastAsia="Arial" w:cs="Arial"/>
                <w:color w:val="000000"/>
                <w:szCs w:val="22"/>
              </w:rPr>
              <w:t>62, 59.6%</w:t>
            </w:r>
          </w:p>
        </w:tc>
      </w:tr>
    </w:tbl>
    <w:p w14:paraId="5F1702F4" w14:textId="77777777" w:rsidR="00031498" w:rsidRDefault="00000000">
      <w:r>
        <w:br w:type="page"/>
      </w:r>
    </w:p>
    <w:p w14:paraId="10D934D1" w14:textId="77777777" w:rsidR="00031498" w:rsidRDefault="00000000">
      <w:pPr>
        <w:pStyle w:val="Ttulo2"/>
      </w:pPr>
      <w:bookmarkStart w:id="3" w:name="X3b4a47410ff36216c532d12aa49a7f47362aaa0"/>
      <w:bookmarkEnd w:id="2"/>
      <w:r>
        <w:lastRenderedPageBreak/>
        <w:t>Linear Mixed Models for the Effect of Confounders on Algorithms’ performance</w:t>
      </w:r>
    </w:p>
    <w:p w14:paraId="77CBF829" w14:textId="77777777" w:rsidR="00031498" w:rsidRDefault="00000000">
      <w:pPr>
        <w:pStyle w:val="FirstParagraph"/>
      </w:pPr>
      <w:r>
        <w:rPr>
          <w:i/>
          <w:iCs/>
        </w:rPr>
        <w:t>Table S4: Regression summary for the effect of confounders (i.e., age, sex, day type, and non-wear) on the estimation of sleep onset and wake-up time with the HDCZA and the HorAngle algorithms.</w:t>
      </w:r>
    </w:p>
    <w:tbl>
      <w:tblPr>
        <w:tblW w:w="0" w:type="pct"/>
        <w:tblLook w:val="0420" w:firstRow="1" w:lastRow="0" w:firstColumn="0" w:lastColumn="0" w:noHBand="0" w:noVBand="1"/>
      </w:tblPr>
      <w:tblGrid>
        <w:gridCol w:w="1066"/>
        <w:gridCol w:w="2039"/>
        <w:gridCol w:w="821"/>
        <w:gridCol w:w="834"/>
        <w:gridCol w:w="663"/>
        <w:gridCol w:w="890"/>
        <w:gridCol w:w="821"/>
        <w:gridCol w:w="834"/>
        <w:gridCol w:w="663"/>
        <w:gridCol w:w="729"/>
      </w:tblGrid>
      <w:tr w:rsidR="00031498" w14:paraId="09227286" w14:textId="77777777">
        <w:trPr>
          <w:tblHeader/>
        </w:trPr>
        <w:tc>
          <w:tcPr>
            <w:tcW w:w="0" w:type="auto"/>
            <w:gridSpan w:val="2"/>
            <w:tcBorders>
              <w:top w:val="single" w:sz="16"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6FC2C9C"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gridSpan w:val="4"/>
            <w:tcBorders>
              <w:top w:val="single" w:sz="16"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348564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eastAsia="Arial" w:cs="Arial"/>
                <w:color w:val="000000"/>
                <w:sz w:val="18"/>
                <w:szCs w:val="18"/>
              </w:rPr>
            </w:pPr>
            <w:r>
              <w:rPr>
                <w:rFonts w:eastAsia="Arial" w:cs="Arial"/>
                <w:color w:val="000000"/>
                <w:sz w:val="18"/>
                <w:szCs w:val="18"/>
              </w:rPr>
              <w:t>HDCZA</w:t>
            </w:r>
          </w:p>
        </w:tc>
        <w:tc>
          <w:tcPr>
            <w:tcW w:w="0" w:type="auto"/>
            <w:gridSpan w:val="4"/>
            <w:tcBorders>
              <w:top w:val="single" w:sz="16"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922DA6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eastAsia="Arial" w:cs="Arial"/>
                <w:color w:val="000000"/>
                <w:sz w:val="18"/>
                <w:szCs w:val="18"/>
              </w:rPr>
            </w:pPr>
            <w:r>
              <w:rPr>
                <w:rFonts w:eastAsia="Arial" w:cs="Arial"/>
                <w:color w:val="000000"/>
                <w:sz w:val="18"/>
                <w:szCs w:val="18"/>
              </w:rPr>
              <w:t>HorAngle</w:t>
            </w:r>
          </w:p>
        </w:tc>
      </w:tr>
      <w:tr w:rsidR="00031498" w14:paraId="4DCCA4E0" w14:textId="77777777">
        <w:trPr>
          <w:tblHeader/>
        </w:trPr>
        <w:tc>
          <w:tcPr>
            <w:tcW w:w="0" w:type="auto"/>
            <w:tcBorders>
              <w:top w:val="none" w:sz="0" w:space="0" w:color="FFFFFF"/>
              <w:left w:val="none" w:sz="0" w:space="0" w:color="FFFFFF"/>
              <w:bottom w:val="single" w:sz="16" w:space="0" w:color="000000"/>
              <w:right w:val="none" w:sz="0" w:space="0" w:color="FFFFFF"/>
            </w:tcBorders>
            <w:shd w:val="clear" w:color="auto" w:fill="FFFFFF"/>
            <w:tcMar>
              <w:top w:w="0" w:type="dxa"/>
              <w:left w:w="0" w:type="dxa"/>
              <w:bottom w:w="0" w:type="dxa"/>
              <w:right w:w="0" w:type="dxa"/>
            </w:tcMar>
            <w:vAlign w:val="center"/>
          </w:tcPr>
          <w:p w14:paraId="099039E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Outcome</w:t>
            </w:r>
          </w:p>
        </w:tc>
        <w:tc>
          <w:tcPr>
            <w:tcW w:w="0" w:type="auto"/>
            <w:tcBorders>
              <w:top w:val="none" w:sz="0" w:space="0" w:color="FFFFFF"/>
              <w:left w:val="none" w:sz="0" w:space="0" w:color="FFFFFF"/>
              <w:bottom w:val="single" w:sz="16" w:space="0" w:color="000000"/>
              <w:right w:val="none" w:sz="0" w:space="0" w:color="FFFFFF"/>
            </w:tcBorders>
            <w:shd w:val="clear" w:color="auto" w:fill="FFFFFF"/>
            <w:tcMar>
              <w:top w:w="0" w:type="dxa"/>
              <w:left w:w="0" w:type="dxa"/>
              <w:bottom w:w="0" w:type="dxa"/>
              <w:right w:w="0" w:type="dxa"/>
            </w:tcMar>
            <w:vAlign w:val="center"/>
          </w:tcPr>
          <w:p w14:paraId="7D090CE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Term</w:t>
            </w:r>
          </w:p>
        </w:tc>
        <w:tc>
          <w:tcPr>
            <w:tcW w:w="0" w:type="auto"/>
            <w:tcBorders>
              <w:top w:val="none" w:sz="0" w:space="0" w:color="FFFFFF"/>
              <w:left w:val="none" w:sz="0" w:space="0" w:color="FFFFFF"/>
              <w:bottom w:val="single" w:sz="16" w:space="0" w:color="000000"/>
              <w:right w:val="none" w:sz="0" w:space="0" w:color="FFFFFF"/>
            </w:tcBorders>
            <w:shd w:val="clear" w:color="auto" w:fill="FFFFFF"/>
            <w:tcMar>
              <w:top w:w="0" w:type="dxa"/>
              <w:left w:w="0" w:type="dxa"/>
              <w:bottom w:w="0" w:type="dxa"/>
              <w:right w:w="0" w:type="dxa"/>
            </w:tcMar>
            <w:vAlign w:val="center"/>
          </w:tcPr>
          <w:p w14:paraId="5F401104"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eastAsia="Arial" w:cs="Arial"/>
                <w:color w:val="000000"/>
                <w:sz w:val="18"/>
                <w:szCs w:val="18"/>
              </w:rPr>
            </w:pPr>
            <w:r>
              <w:rPr>
                <w:rFonts w:eastAsia="Arial" w:cs="Arial"/>
                <w:color w:val="000000"/>
                <w:sz w:val="18"/>
                <w:szCs w:val="18"/>
              </w:rPr>
              <w:t>Estimate</w:t>
            </w:r>
          </w:p>
        </w:tc>
        <w:tc>
          <w:tcPr>
            <w:tcW w:w="0" w:type="auto"/>
            <w:tcBorders>
              <w:top w:val="none" w:sz="0" w:space="0" w:color="FFFFFF"/>
              <w:left w:val="none" w:sz="0" w:space="0" w:color="FFFFFF"/>
              <w:bottom w:val="single" w:sz="16" w:space="0" w:color="000000"/>
              <w:right w:val="none" w:sz="0" w:space="0" w:color="FFFFFF"/>
            </w:tcBorders>
            <w:shd w:val="clear" w:color="auto" w:fill="FFFFFF"/>
            <w:tcMar>
              <w:top w:w="0" w:type="dxa"/>
              <w:left w:w="0" w:type="dxa"/>
              <w:bottom w:w="0" w:type="dxa"/>
              <w:right w:w="0" w:type="dxa"/>
            </w:tcMar>
            <w:vAlign w:val="center"/>
          </w:tcPr>
          <w:p w14:paraId="37D9BB44"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eastAsia="Arial" w:cs="Arial"/>
                <w:color w:val="000000"/>
                <w:sz w:val="18"/>
                <w:szCs w:val="18"/>
              </w:rPr>
            </w:pPr>
            <w:r>
              <w:rPr>
                <w:rFonts w:eastAsia="Arial" w:cs="Arial"/>
                <w:color w:val="000000"/>
                <w:sz w:val="18"/>
                <w:szCs w:val="18"/>
              </w:rPr>
              <w:t>Std. Error</w:t>
            </w:r>
          </w:p>
        </w:tc>
        <w:tc>
          <w:tcPr>
            <w:tcW w:w="0" w:type="auto"/>
            <w:tcBorders>
              <w:top w:val="none" w:sz="0" w:space="0" w:color="FFFFFF"/>
              <w:left w:val="none" w:sz="0" w:space="0" w:color="FFFFFF"/>
              <w:bottom w:val="single" w:sz="16" w:space="0" w:color="000000"/>
              <w:right w:val="none" w:sz="0" w:space="0" w:color="FFFFFF"/>
            </w:tcBorders>
            <w:shd w:val="clear" w:color="auto" w:fill="FFFFFF"/>
            <w:tcMar>
              <w:top w:w="0" w:type="dxa"/>
              <w:left w:w="0" w:type="dxa"/>
              <w:bottom w:w="0" w:type="dxa"/>
              <w:right w:w="0" w:type="dxa"/>
            </w:tcMar>
            <w:vAlign w:val="center"/>
          </w:tcPr>
          <w:p w14:paraId="36F2005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eastAsia="Arial" w:cs="Arial"/>
                <w:color w:val="000000"/>
                <w:sz w:val="18"/>
                <w:szCs w:val="18"/>
              </w:rPr>
            </w:pPr>
            <w:r>
              <w:rPr>
                <w:rFonts w:eastAsia="Arial" w:cs="Arial"/>
                <w:color w:val="000000"/>
                <w:sz w:val="18"/>
                <w:szCs w:val="18"/>
              </w:rPr>
              <w:t>t Value</w:t>
            </w:r>
          </w:p>
        </w:tc>
        <w:tc>
          <w:tcPr>
            <w:tcW w:w="0" w:type="auto"/>
            <w:tcBorders>
              <w:top w:val="none" w:sz="0" w:space="0" w:color="FFFFFF"/>
              <w:left w:val="none" w:sz="0" w:space="0" w:color="FFFFFF"/>
              <w:bottom w:val="single" w:sz="16" w:space="0" w:color="000000"/>
              <w:right w:val="none" w:sz="0" w:space="0" w:color="FFFFFF"/>
            </w:tcBorders>
            <w:shd w:val="clear" w:color="auto" w:fill="FFFFFF"/>
            <w:tcMar>
              <w:top w:w="0" w:type="dxa"/>
              <w:left w:w="0" w:type="dxa"/>
              <w:bottom w:w="0" w:type="dxa"/>
              <w:right w:w="0" w:type="dxa"/>
            </w:tcMar>
            <w:vAlign w:val="center"/>
          </w:tcPr>
          <w:p w14:paraId="7D04AF6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eastAsia="Arial" w:cs="Arial"/>
                <w:color w:val="000000"/>
                <w:sz w:val="18"/>
                <w:szCs w:val="18"/>
              </w:rPr>
            </w:pPr>
            <w:r>
              <w:rPr>
                <w:rFonts w:eastAsia="Arial" w:cs="Arial"/>
                <w:color w:val="000000"/>
                <w:sz w:val="18"/>
                <w:szCs w:val="18"/>
              </w:rPr>
              <w:t>P Value</w:t>
            </w:r>
          </w:p>
        </w:tc>
        <w:tc>
          <w:tcPr>
            <w:tcW w:w="0" w:type="auto"/>
            <w:tcBorders>
              <w:top w:val="none" w:sz="0" w:space="0" w:color="FFFFFF"/>
              <w:left w:val="none" w:sz="0" w:space="0" w:color="FFFFFF"/>
              <w:bottom w:val="single" w:sz="16" w:space="0" w:color="000000"/>
              <w:right w:val="none" w:sz="0" w:space="0" w:color="FFFFFF"/>
            </w:tcBorders>
            <w:shd w:val="clear" w:color="auto" w:fill="FFFFFF"/>
            <w:tcMar>
              <w:top w:w="0" w:type="dxa"/>
              <w:left w:w="0" w:type="dxa"/>
              <w:bottom w:w="0" w:type="dxa"/>
              <w:right w:w="0" w:type="dxa"/>
            </w:tcMar>
            <w:vAlign w:val="center"/>
          </w:tcPr>
          <w:p w14:paraId="37C9BE1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eastAsia="Arial" w:cs="Arial"/>
                <w:color w:val="000000"/>
                <w:sz w:val="18"/>
                <w:szCs w:val="18"/>
              </w:rPr>
            </w:pPr>
            <w:r>
              <w:rPr>
                <w:rFonts w:eastAsia="Arial" w:cs="Arial"/>
                <w:color w:val="000000"/>
                <w:sz w:val="18"/>
                <w:szCs w:val="18"/>
              </w:rPr>
              <w:t>Estimate</w:t>
            </w:r>
          </w:p>
        </w:tc>
        <w:tc>
          <w:tcPr>
            <w:tcW w:w="0" w:type="auto"/>
            <w:tcBorders>
              <w:top w:val="none" w:sz="0" w:space="0" w:color="FFFFFF"/>
              <w:left w:val="none" w:sz="0" w:space="0" w:color="FFFFFF"/>
              <w:bottom w:val="single" w:sz="16" w:space="0" w:color="000000"/>
              <w:right w:val="none" w:sz="0" w:space="0" w:color="FFFFFF"/>
            </w:tcBorders>
            <w:shd w:val="clear" w:color="auto" w:fill="FFFFFF"/>
            <w:tcMar>
              <w:top w:w="0" w:type="dxa"/>
              <w:left w:w="0" w:type="dxa"/>
              <w:bottom w:w="0" w:type="dxa"/>
              <w:right w:w="0" w:type="dxa"/>
            </w:tcMar>
            <w:vAlign w:val="center"/>
          </w:tcPr>
          <w:p w14:paraId="518D35C4"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eastAsia="Arial" w:cs="Arial"/>
                <w:color w:val="000000"/>
                <w:sz w:val="18"/>
                <w:szCs w:val="18"/>
              </w:rPr>
            </w:pPr>
            <w:r>
              <w:rPr>
                <w:rFonts w:eastAsia="Arial" w:cs="Arial"/>
                <w:color w:val="000000"/>
                <w:sz w:val="18"/>
                <w:szCs w:val="18"/>
              </w:rPr>
              <w:t>Std. Error</w:t>
            </w:r>
          </w:p>
        </w:tc>
        <w:tc>
          <w:tcPr>
            <w:tcW w:w="0" w:type="auto"/>
            <w:tcBorders>
              <w:top w:val="none" w:sz="0" w:space="0" w:color="FFFFFF"/>
              <w:left w:val="none" w:sz="0" w:space="0" w:color="FFFFFF"/>
              <w:bottom w:val="single" w:sz="16" w:space="0" w:color="000000"/>
              <w:right w:val="none" w:sz="0" w:space="0" w:color="FFFFFF"/>
            </w:tcBorders>
            <w:shd w:val="clear" w:color="auto" w:fill="FFFFFF"/>
            <w:tcMar>
              <w:top w:w="0" w:type="dxa"/>
              <w:left w:w="0" w:type="dxa"/>
              <w:bottom w:w="0" w:type="dxa"/>
              <w:right w:w="0" w:type="dxa"/>
            </w:tcMar>
            <w:vAlign w:val="center"/>
          </w:tcPr>
          <w:p w14:paraId="315484C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eastAsia="Arial" w:cs="Arial"/>
                <w:color w:val="000000"/>
                <w:sz w:val="18"/>
                <w:szCs w:val="18"/>
              </w:rPr>
            </w:pPr>
            <w:r>
              <w:rPr>
                <w:rFonts w:eastAsia="Arial" w:cs="Arial"/>
                <w:color w:val="000000"/>
                <w:sz w:val="18"/>
                <w:szCs w:val="18"/>
              </w:rPr>
              <w:t>t Value</w:t>
            </w:r>
          </w:p>
        </w:tc>
        <w:tc>
          <w:tcPr>
            <w:tcW w:w="0" w:type="auto"/>
            <w:tcBorders>
              <w:top w:val="none" w:sz="0" w:space="0" w:color="FFFFFF"/>
              <w:left w:val="none" w:sz="0" w:space="0" w:color="FFFFFF"/>
              <w:bottom w:val="single" w:sz="16" w:space="0" w:color="000000"/>
              <w:right w:val="none" w:sz="0" w:space="0" w:color="FFFFFF"/>
            </w:tcBorders>
            <w:shd w:val="clear" w:color="auto" w:fill="FFFFFF"/>
            <w:tcMar>
              <w:top w:w="0" w:type="dxa"/>
              <w:left w:w="0" w:type="dxa"/>
              <w:bottom w:w="0" w:type="dxa"/>
              <w:right w:w="0" w:type="dxa"/>
            </w:tcMar>
            <w:vAlign w:val="center"/>
          </w:tcPr>
          <w:p w14:paraId="1275D72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eastAsia="Arial" w:cs="Arial"/>
                <w:color w:val="000000"/>
                <w:sz w:val="18"/>
                <w:szCs w:val="18"/>
              </w:rPr>
            </w:pPr>
            <w:r>
              <w:rPr>
                <w:rFonts w:eastAsia="Arial" w:cs="Arial"/>
                <w:color w:val="000000"/>
                <w:sz w:val="18"/>
                <w:szCs w:val="18"/>
              </w:rPr>
              <w:t>P Value</w:t>
            </w:r>
          </w:p>
        </w:tc>
      </w:tr>
      <w:tr w:rsidR="00031498" w14:paraId="123AE928" w14:textId="77777777">
        <w:tc>
          <w:tcPr>
            <w:tcW w:w="0" w:type="auto"/>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E02D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Sleep Onset</w:t>
            </w:r>
          </w:p>
        </w:tc>
        <w:tc>
          <w:tcPr>
            <w:tcW w:w="0" w:type="auto"/>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EAC7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Intercept</w:t>
            </w:r>
          </w:p>
        </w:tc>
        <w:tc>
          <w:tcPr>
            <w:tcW w:w="0" w:type="auto"/>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A64C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-0.133</w:t>
            </w:r>
          </w:p>
        </w:tc>
        <w:tc>
          <w:tcPr>
            <w:tcW w:w="0" w:type="auto"/>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A396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0.197</w:t>
            </w:r>
          </w:p>
        </w:tc>
        <w:tc>
          <w:tcPr>
            <w:tcW w:w="0" w:type="auto"/>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92D5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-0.674</w:t>
            </w:r>
          </w:p>
        </w:tc>
        <w:tc>
          <w:tcPr>
            <w:tcW w:w="0" w:type="auto"/>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C2A6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0.501</w:t>
            </w:r>
          </w:p>
        </w:tc>
        <w:tc>
          <w:tcPr>
            <w:tcW w:w="0" w:type="auto"/>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4AC0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0.168</w:t>
            </w:r>
          </w:p>
        </w:tc>
        <w:tc>
          <w:tcPr>
            <w:tcW w:w="0" w:type="auto"/>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8823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0.173</w:t>
            </w:r>
          </w:p>
        </w:tc>
        <w:tc>
          <w:tcPr>
            <w:tcW w:w="0" w:type="auto"/>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8C44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0.972</w:t>
            </w:r>
          </w:p>
        </w:tc>
        <w:tc>
          <w:tcPr>
            <w:tcW w:w="0" w:type="auto"/>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FF15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0.333</w:t>
            </w:r>
          </w:p>
        </w:tc>
      </w:tr>
      <w:tr w:rsidR="00031498" w14:paraId="52D3E3F2"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F66BD"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55E3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Age group (children)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D347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3493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CD0D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0.986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3DC36"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0.326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3C7E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7C86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0AE3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1.772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28BC7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0.079</w:t>
            </w:r>
          </w:p>
        </w:tc>
      </w:tr>
      <w:tr w:rsidR="00031498" w14:paraId="0FACFAEB"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CA145"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38C3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Sex (female)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5E92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E3D3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FE5E3"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1.067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30D0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0.289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8B8E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9BE6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A121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0.896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5D22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0.373</w:t>
            </w:r>
          </w:p>
        </w:tc>
      </w:tr>
      <w:tr w:rsidR="00031498" w14:paraId="0FC1384B"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2B281"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6F45A"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Weekend day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8F35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C37D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7B1F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1.919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214C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0.056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5342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-0.026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D6AD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7C0C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C400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0.869</w:t>
            </w:r>
          </w:p>
        </w:tc>
      </w:tr>
      <w:tr w:rsidR="00031498" w14:paraId="7CA38FBB"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9505E"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CE5B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Wrist non-wear (low)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F46BFA"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F3AE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364AA"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-1.008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9C92A"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0.314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7305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-0.412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5680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4646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-1.665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D96E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0.096</w:t>
            </w:r>
          </w:p>
        </w:tc>
      </w:tr>
      <w:tr w:rsidR="00031498" w14:paraId="3342EDDB"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DFB63"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1C19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Wrist non-wear (moderate)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DC48F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7414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F568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67FCF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0.782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60943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226E2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7964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-0.856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D9ED4"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0.392</w:t>
            </w:r>
          </w:p>
        </w:tc>
      </w:tr>
      <w:tr w:rsidR="00031498" w14:paraId="145CCE4D"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BB5EE"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F2BB6"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Wrist non-wear (high)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CC8C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08DB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0.549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930C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1C5F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0.789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590D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-0.875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27F2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0.517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5603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-1.690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94F1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0.092</w:t>
            </w:r>
          </w:p>
        </w:tc>
      </w:tr>
      <w:tr w:rsidR="00031498" w14:paraId="59345E92"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30D61"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51EE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Hip non-wear (low)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0380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2146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64FB3"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-0.526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C3F0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0.599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BA8F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-0.015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0E045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A4EB6"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-0.061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A575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0.951</w:t>
            </w:r>
          </w:p>
        </w:tc>
      </w:tr>
      <w:tr w:rsidR="00031498" w14:paraId="652A4311"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CDDF5"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BDCD6"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Hip non-wear (moderate)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3FFF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F9B3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384C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-0.831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86A8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0.406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BA06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53D5A"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7F666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-0.564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987C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0.573</w:t>
            </w:r>
          </w:p>
        </w:tc>
      </w:tr>
      <w:tr w:rsidR="00031498" w14:paraId="66CF8317"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5BCD5A"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1B7E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Hip non-wear (high)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A152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-0.447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EB58E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0.520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DA16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-0.859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5DB63"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0.391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E3F4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-0.049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D75B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0.491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4A6DF6"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-0.099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946D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0.921</w:t>
            </w:r>
          </w:p>
        </w:tc>
      </w:tr>
      <w:tr w:rsidR="00031498" w14:paraId="6895FEA6" w14:textId="77777777">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1E4F328"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7510B4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Non-wear mismatch</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2AF3D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-0.139</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9D976C4"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0.254</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6AE1A1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-0.547</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02CAD5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0.584</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03B90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-0.740</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2DE1F2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0.240</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E5D09C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-3.088</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4E155A"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b/>
                <w:color w:val="000000"/>
                <w:sz w:val="18"/>
                <w:szCs w:val="18"/>
              </w:rPr>
            </w:pPr>
            <w:r>
              <w:rPr>
                <w:rFonts w:eastAsia="Arial" w:cs="Arial"/>
                <w:b/>
                <w:color w:val="000000"/>
                <w:sz w:val="18"/>
                <w:szCs w:val="18"/>
              </w:rPr>
              <w:t>0.002 **</w:t>
            </w:r>
          </w:p>
        </w:tc>
      </w:tr>
      <w:tr w:rsidR="00031498" w14:paraId="539E8EF5" w14:textId="77777777">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7282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Wake-up</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AC580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Intercept</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ADC8A"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0.372</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B70A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0.142</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E6ED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2.613</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E3D3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b/>
                <w:color w:val="000000"/>
                <w:sz w:val="18"/>
                <w:szCs w:val="18"/>
              </w:rPr>
            </w:pPr>
            <w:r>
              <w:rPr>
                <w:rFonts w:eastAsia="Arial" w:cs="Arial"/>
                <w:b/>
                <w:color w:val="000000"/>
                <w:sz w:val="18"/>
                <w:szCs w:val="18"/>
              </w:rPr>
              <w:t>0.009 **</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E3E8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0.167</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227B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0.180</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BAEA4"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0.926</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7A4E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0.356</w:t>
            </w:r>
          </w:p>
        </w:tc>
      </w:tr>
      <w:tr w:rsidR="00031498" w14:paraId="62E66BEC"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F20B4"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648B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Age group (children)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1996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-0.366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780D44"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0.151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1D0A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-2.420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E868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b/>
                <w:color w:val="000000"/>
                <w:sz w:val="18"/>
                <w:szCs w:val="18"/>
              </w:rPr>
            </w:pPr>
            <w:r>
              <w:rPr>
                <w:rFonts w:eastAsia="Arial" w:cs="Arial"/>
                <w:b/>
                <w:color w:val="000000"/>
                <w:sz w:val="18"/>
                <w:szCs w:val="18"/>
              </w:rPr>
              <w:t>0.016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C16E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678C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519C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-1.093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9CD5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0.277</w:t>
            </w:r>
          </w:p>
        </w:tc>
      </w:tr>
      <w:tr w:rsidR="00031498" w14:paraId="6937BA66"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7324C"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1673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Sex (female)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1D8D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-0.419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286F7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0.139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A283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-3.024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F6827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b/>
                <w:color w:val="000000"/>
                <w:sz w:val="18"/>
                <w:szCs w:val="18"/>
              </w:rPr>
            </w:pPr>
            <w:r>
              <w:rPr>
                <w:rFonts w:eastAsia="Arial" w:cs="Arial"/>
                <w:b/>
                <w:color w:val="000000"/>
                <w:sz w:val="18"/>
                <w:szCs w:val="18"/>
              </w:rPr>
              <w:t>0.003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865C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645204"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0.179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B201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-1.048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A2A5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0.297</w:t>
            </w:r>
          </w:p>
        </w:tc>
      </w:tr>
      <w:tr w:rsidR="00031498" w14:paraId="77C40D8E"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6D6FD"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A26C0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Weekend day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16D9E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3385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4E98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1.128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0837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0.260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F48E3"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5C0734"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D2E74"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3C0CC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0.838</w:t>
            </w:r>
          </w:p>
        </w:tc>
      </w:tr>
      <w:tr w:rsidR="00031498" w14:paraId="2935B7E8"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48EECF"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E41B6"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Wrist non-wear (low)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B93A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CFBE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9E07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1.685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5B4AA"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0.093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0996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9CE5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EF71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9917E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0.791</w:t>
            </w:r>
          </w:p>
        </w:tc>
      </w:tr>
      <w:tr w:rsidR="00031498" w14:paraId="0123398E"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CF65B"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3C7F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Wrist non-wear (moderate)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7A3BF3"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0.556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A932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AEEC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1.633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7B61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0.103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272F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248C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0.409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FA1B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0.409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C8B2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0.683</w:t>
            </w:r>
          </w:p>
        </w:tc>
      </w:tr>
      <w:tr w:rsidR="00031498" w14:paraId="38942E9D"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39CA8"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DA8F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Wrist non-wear (high)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C8833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0.525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ED3A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0.464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BC05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1.132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3E5C1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0.258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0993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-1.337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2437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0.560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33BC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-2.387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9B57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b/>
                <w:color w:val="000000"/>
                <w:sz w:val="18"/>
                <w:szCs w:val="18"/>
              </w:rPr>
            </w:pPr>
            <w:r>
              <w:rPr>
                <w:rFonts w:eastAsia="Arial" w:cs="Arial"/>
                <w:b/>
                <w:color w:val="000000"/>
                <w:sz w:val="18"/>
                <w:szCs w:val="18"/>
              </w:rPr>
              <w:t>0.017 *</w:t>
            </w:r>
          </w:p>
        </w:tc>
      </w:tr>
      <w:tr w:rsidR="00031498" w14:paraId="061A177B"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D0B56"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8B4F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Hip non-wear (low)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32F9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56EC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369B1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-1.590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E9920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0.112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334EA"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0.067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1B4DA"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3B96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BA23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0.802</w:t>
            </w:r>
          </w:p>
        </w:tc>
      </w:tr>
      <w:tr w:rsidR="00031498" w14:paraId="70291E2E"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38FD1"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11F5D"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Hip non-wear (moderate)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D15D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-0.848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BB7E4"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0.334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A770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-2.542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603AB"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b/>
                <w:color w:val="000000"/>
                <w:sz w:val="18"/>
                <w:szCs w:val="18"/>
              </w:rPr>
            </w:pPr>
            <w:r>
              <w:rPr>
                <w:rFonts w:eastAsia="Arial" w:cs="Arial"/>
                <w:b/>
                <w:color w:val="000000"/>
                <w:sz w:val="18"/>
                <w:szCs w:val="18"/>
              </w:rPr>
              <w:t>0.011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5777B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-0.469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84AA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396D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-1.174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6FAC1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0.241</w:t>
            </w:r>
          </w:p>
        </w:tc>
      </w:tr>
      <w:tr w:rsidR="00031498" w14:paraId="5352DBD2" w14:textId="77777777">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7C8D0"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FC86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Hip non-wear (high)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96EB9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-1.698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98640"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0.441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0497F"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b/>
                <w:color w:val="000000"/>
                <w:sz w:val="18"/>
                <w:szCs w:val="18"/>
              </w:rPr>
            </w:pPr>
            <w:r>
              <w:rPr>
                <w:rFonts w:eastAsia="Arial" w:cs="Arial"/>
                <w:b/>
                <w:color w:val="000000"/>
                <w:sz w:val="18"/>
                <w:szCs w:val="18"/>
              </w:rPr>
              <w:t>-3.847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07DE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b/>
                <w:color w:val="000000"/>
                <w:sz w:val="18"/>
                <w:szCs w:val="18"/>
              </w:rPr>
            </w:pPr>
            <w:r>
              <w:rPr>
                <w:rFonts w:eastAsia="Arial" w:cs="Arial"/>
                <w:b/>
                <w:color w:val="000000"/>
                <w:sz w:val="18"/>
                <w:szCs w:val="18"/>
              </w:rPr>
              <w:t>&lt;0.001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AEEEC"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-0.057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C8BB5"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0.532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386C8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-0.107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865B7"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0.915</w:t>
            </w:r>
          </w:p>
        </w:tc>
      </w:tr>
      <w:tr w:rsidR="00031498" w14:paraId="04BF34C5" w14:textId="77777777">
        <w:tc>
          <w:tcPr>
            <w:tcW w:w="0" w:type="auto"/>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CC7E5ED" w14:textId="77777777" w:rsidR="00031498" w:rsidRDefault="00031498">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p>
        </w:tc>
        <w:tc>
          <w:tcPr>
            <w:tcW w:w="0" w:type="auto"/>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BCC7863"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Non-wear mismatch</w:t>
            </w:r>
          </w:p>
        </w:tc>
        <w:tc>
          <w:tcPr>
            <w:tcW w:w="0" w:type="auto"/>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E3325C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0.348</w:t>
            </w:r>
          </w:p>
        </w:tc>
        <w:tc>
          <w:tcPr>
            <w:tcW w:w="0" w:type="auto"/>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B3D7639"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0.214</w:t>
            </w:r>
          </w:p>
        </w:tc>
        <w:tc>
          <w:tcPr>
            <w:tcW w:w="0" w:type="auto"/>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FED394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1.622</w:t>
            </w:r>
          </w:p>
        </w:tc>
        <w:tc>
          <w:tcPr>
            <w:tcW w:w="0" w:type="auto"/>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ABA5692"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0.105</w:t>
            </w:r>
          </w:p>
        </w:tc>
        <w:tc>
          <w:tcPr>
            <w:tcW w:w="0" w:type="auto"/>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997DE5A"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-0.441</w:t>
            </w:r>
          </w:p>
        </w:tc>
        <w:tc>
          <w:tcPr>
            <w:tcW w:w="0" w:type="auto"/>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23A0F31"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0.259</w:t>
            </w:r>
          </w:p>
        </w:tc>
        <w:tc>
          <w:tcPr>
            <w:tcW w:w="0" w:type="auto"/>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865A53E"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jc w:val="right"/>
              <w:rPr>
                <w:rFonts w:eastAsia="Arial" w:cs="Arial"/>
                <w:color w:val="000000"/>
                <w:sz w:val="18"/>
                <w:szCs w:val="18"/>
              </w:rPr>
            </w:pPr>
            <w:r>
              <w:rPr>
                <w:rFonts w:eastAsia="Arial" w:cs="Arial"/>
                <w:color w:val="000000"/>
                <w:sz w:val="18"/>
                <w:szCs w:val="18"/>
              </w:rPr>
              <w:t>-1.703</w:t>
            </w:r>
          </w:p>
        </w:tc>
        <w:tc>
          <w:tcPr>
            <w:tcW w:w="0" w:type="auto"/>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E80F838" w14:textId="77777777" w:rsidR="00031498" w:rsidRDefault="00000000">
            <w:pPr>
              <w:pBdr>
                <w:top w:val="none" w:sz="0" w:space="0" w:color="000000"/>
                <w:left w:val="none" w:sz="0" w:space="0" w:color="000000"/>
                <w:bottom w:val="none" w:sz="0" w:space="0" w:color="000000"/>
                <w:right w:val="none" w:sz="0" w:space="0" w:color="000000"/>
              </w:pBdr>
              <w:spacing w:before="60" w:after="60" w:line="240" w:lineRule="auto"/>
              <w:ind w:left="60" w:right="60"/>
              <w:rPr>
                <w:rFonts w:eastAsia="Arial" w:cs="Arial"/>
                <w:color w:val="000000"/>
                <w:sz w:val="18"/>
                <w:szCs w:val="18"/>
              </w:rPr>
            </w:pPr>
            <w:r>
              <w:rPr>
                <w:rFonts w:eastAsia="Arial" w:cs="Arial"/>
                <w:color w:val="000000"/>
                <w:sz w:val="18"/>
                <w:szCs w:val="18"/>
              </w:rPr>
              <w:t>0.089</w:t>
            </w:r>
          </w:p>
        </w:tc>
      </w:tr>
    </w:tbl>
    <w:p w14:paraId="3658146D" w14:textId="77777777" w:rsidR="00031498" w:rsidRDefault="00000000">
      <w:r>
        <w:br w:type="page"/>
      </w:r>
    </w:p>
    <w:p w14:paraId="6C146F8A" w14:textId="77777777" w:rsidR="00031498" w:rsidRDefault="00000000">
      <w:pPr>
        <w:pStyle w:val="Ttulo2"/>
      </w:pPr>
      <w:bookmarkStart w:id="4" w:name="visualisation-of-example-nights"/>
      <w:bookmarkEnd w:id="3"/>
      <w:r>
        <w:lastRenderedPageBreak/>
        <w:t>Visualisation of example nights</w:t>
      </w:r>
    </w:p>
    <w:p w14:paraId="6707E815" w14:textId="77777777" w:rsidR="00031498" w:rsidRDefault="00000000">
      <w:pPr>
        <w:pStyle w:val="FirstParagraph"/>
      </w:pPr>
      <w:r>
        <w:rPr>
          <w:noProof/>
        </w:rPr>
        <w:drawing>
          <wp:inline distT="0" distB="0" distL="0" distR="0" wp14:anchorId="6D5DD321" wp14:editId="437989FB">
            <wp:extent cx="5943600" cy="5943600"/>
            <wp:effectExtent l="0" t="0" r="0" b="0"/>
            <wp:docPr id="128" name="Picture"/>
            <wp:cNvGraphicFramePr/>
            <a:graphic xmlns:a="http://schemas.openxmlformats.org/drawingml/2006/main">
              <a:graphicData uri="http://schemas.openxmlformats.org/drawingml/2006/picture">
                <pic:pic xmlns:pic="http://schemas.openxmlformats.org/drawingml/2006/picture">
                  <pic:nvPicPr>
                    <pic:cNvPr id="129" name="Picture" descr="../results/figures/figS3_example1.png"/>
                    <pic:cNvPicPr>
                      <a:picLocks noChangeAspect="1" noChangeArrowheads="1"/>
                    </pic:cNvPicPr>
                  </pic:nvPicPr>
                  <pic:blipFill>
                    <a:blip r:embed="rId7"/>
                    <a:stretch>
                      <a:fillRect/>
                    </a:stretch>
                  </pic:blipFill>
                  <pic:spPr bwMode="auto">
                    <a:xfrm>
                      <a:off x="0" y="0"/>
                      <a:ext cx="5943600" cy="5943600"/>
                    </a:xfrm>
                    <a:prstGeom prst="rect">
                      <a:avLst/>
                    </a:prstGeom>
                    <a:noFill/>
                    <a:ln w="9525">
                      <a:noFill/>
                      <a:headEnd/>
                      <a:tailEnd/>
                    </a:ln>
                  </pic:spPr>
                </pic:pic>
              </a:graphicData>
            </a:graphic>
          </wp:inline>
        </w:drawing>
      </w:r>
    </w:p>
    <w:p w14:paraId="355F5DA6" w14:textId="77777777" w:rsidR="00031498" w:rsidRDefault="00000000">
      <w:pPr>
        <w:pStyle w:val="Textoindependiente"/>
      </w:pPr>
      <w:r>
        <w:rPr>
          <w:i/>
          <w:iCs/>
        </w:rPr>
        <w:t>Figure S1: Classification of a example night guided by sleeplog in wrist data, and by HDCZA and HorAngle in hip data. In this example, both algorithms show a similar performance compared to the reference method.</w:t>
      </w:r>
    </w:p>
    <w:p w14:paraId="269871FD" w14:textId="77777777" w:rsidR="00031498" w:rsidRDefault="00000000">
      <w:pPr>
        <w:pStyle w:val="Textoindependiente"/>
      </w:pPr>
      <w:r>
        <w:rPr>
          <w:noProof/>
        </w:rPr>
        <w:lastRenderedPageBreak/>
        <w:drawing>
          <wp:inline distT="0" distB="0" distL="0" distR="0" wp14:anchorId="28AF38BA" wp14:editId="6520098A">
            <wp:extent cx="5943600" cy="5943600"/>
            <wp:effectExtent l="0" t="0" r="0" b="0"/>
            <wp:docPr id="131" name="Picture"/>
            <wp:cNvGraphicFramePr/>
            <a:graphic xmlns:a="http://schemas.openxmlformats.org/drawingml/2006/main">
              <a:graphicData uri="http://schemas.openxmlformats.org/drawingml/2006/picture">
                <pic:pic xmlns:pic="http://schemas.openxmlformats.org/drawingml/2006/picture">
                  <pic:nvPicPr>
                    <pic:cNvPr id="132" name="Picture" descr="../results/figures/figS4_example2.png"/>
                    <pic:cNvPicPr>
                      <a:picLocks noChangeAspect="1" noChangeArrowheads="1"/>
                    </pic:cNvPicPr>
                  </pic:nvPicPr>
                  <pic:blipFill>
                    <a:blip r:embed="rId8"/>
                    <a:stretch>
                      <a:fillRect/>
                    </a:stretch>
                  </pic:blipFill>
                  <pic:spPr bwMode="auto">
                    <a:xfrm>
                      <a:off x="0" y="0"/>
                      <a:ext cx="5943600" cy="5943600"/>
                    </a:xfrm>
                    <a:prstGeom prst="rect">
                      <a:avLst/>
                    </a:prstGeom>
                    <a:noFill/>
                    <a:ln w="9525">
                      <a:noFill/>
                      <a:headEnd/>
                      <a:tailEnd/>
                    </a:ln>
                  </pic:spPr>
                </pic:pic>
              </a:graphicData>
            </a:graphic>
          </wp:inline>
        </w:drawing>
      </w:r>
    </w:p>
    <w:p w14:paraId="4159B1BB" w14:textId="77777777" w:rsidR="00031498" w:rsidRDefault="00000000">
      <w:pPr>
        <w:pStyle w:val="Textoindependiente"/>
      </w:pPr>
      <w:r>
        <w:rPr>
          <w:i/>
          <w:iCs/>
        </w:rPr>
        <w:t>Figure S2: Classification of an example night guided by sleeplog in wrist data, and by HDCZA and HorAngle in hip data. In this example the HorAngle estimates are closer to the reference method than the HDCZA algorithm.</w:t>
      </w:r>
    </w:p>
    <w:p w14:paraId="29041CF7" w14:textId="77777777" w:rsidR="00031498" w:rsidRDefault="00000000">
      <w:pPr>
        <w:pStyle w:val="Textoindependiente"/>
      </w:pPr>
      <w:r>
        <w:rPr>
          <w:noProof/>
        </w:rPr>
        <w:lastRenderedPageBreak/>
        <w:drawing>
          <wp:inline distT="0" distB="0" distL="0" distR="0" wp14:anchorId="191AE866" wp14:editId="38524ECC">
            <wp:extent cx="5943600" cy="5943600"/>
            <wp:effectExtent l="0" t="0" r="0" b="0"/>
            <wp:docPr id="134" name="Picture"/>
            <wp:cNvGraphicFramePr/>
            <a:graphic xmlns:a="http://schemas.openxmlformats.org/drawingml/2006/main">
              <a:graphicData uri="http://schemas.openxmlformats.org/drawingml/2006/picture">
                <pic:pic xmlns:pic="http://schemas.openxmlformats.org/drawingml/2006/picture">
                  <pic:nvPicPr>
                    <pic:cNvPr id="135" name="Picture" descr="../results/figures/figS5_example3.png"/>
                    <pic:cNvPicPr>
                      <a:picLocks noChangeAspect="1" noChangeArrowheads="1"/>
                    </pic:cNvPicPr>
                  </pic:nvPicPr>
                  <pic:blipFill>
                    <a:blip r:embed="rId9"/>
                    <a:stretch>
                      <a:fillRect/>
                    </a:stretch>
                  </pic:blipFill>
                  <pic:spPr bwMode="auto">
                    <a:xfrm>
                      <a:off x="0" y="0"/>
                      <a:ext cx="5943600" cy="5943600"/>
                    </a:xfrm>
                    <a:prstGeom prst="rect">
                      <a:avLst/>
                    </a:prstGeom>
                    <a:noFill/>
                    <a:ln w="9525">
                      <a:noFill/>
                      <a:headEnd/>
                      <a:tailEnd/>
                    </a:ln>
                  </pic:spPr>
                </pic:pic>
              </a:graphicData>
            </a:graphic>
          </wp:inline>
        </w:drawing>
      </w:r>
    </w:p>
    <w:p w14:paraId="1DD7F4E4" w14:textId="77777777" w:rsidR="00031498" w:rsidRDefault="00000000">
      <w:pPr>
        <w:pStyle w:val="Textoindependiente"/>
      </w:pPr>
      <w:r>
        <w:rPr>
          <w:i/>
          <w:iCs/>
        </w:rPr>
        <w:t>Figure S3: Classification of a example night guided by sleeplog in wrist data, and by HDCZA and HorAngle in hip data. In this example the HorAngle estimates wakeup time earlier than the reference method, while HDCZA seems to agree better with the reference method.</w:t>
      </w:r>
    </w:p>
    <w:p w14:paraId="00DA9B69" w14:textId="77777777" w:rsidR="00031498" w:rsidRDefault="00000000">
      <w:r>
        <w:br w:type="page"/>
      </w:r>
    </w:p>
    <w:p w14:paraId="5D88B0AF" w14:textId="77777777" w:rsidR="00031498" w:rsidRDefault="00000000">
      <w:pPr>
        <w:pStyle w:val="Textoindependiente"/>
      </w:pPr>
      <w:r>
        <w:rPr>
          <w:noProof/>
        </w:rPr>
        <w:lastRenderedPageBreak/>
        <w:drawing>
          <wp:inline distT="0" distB="0" distL="0" distR="0" wp14:anchorId="48A5B55C" wp14:editId="182B6EAE">
            <wp:extent cx="5504749" cy="7339665"/>
            <wp:effectExtent l="0" t="0" r="0" b="0"/>
            <wp:docPr id="137" name="Picture"/>
            <wp:cNvGraphicFramePr/>
            <a:graphic xmlns:a="http://schemas.openxmlformats.org/drawingml/2006/main">
              <a:graphicData uri="http://schemas.openxmlformats.org/drawingml/2006/picture">
                <pic:pic xmlns:pic="http://schemas.openxmlformats.org/drawingml/2006/picture">
                  <pic:nvPicPr>
                    <pic:cNvPr id="138" name="Picture" descr="../results/figures/figS6_BlandAltmanDefaultHDCZA.png"/>
                    <pic:cNvPicPr>
                      <a:picLocks noChangeAspect="1" noChangeArrowheads="1"/>
                    </pic:cNvPicPr>
                  </pic:nvPicPr>
                  <pic:blipFill>
                    <a:blip r:embed="rId10"/>
                    <a:stretch>
                      <a:fillRect/>
                    </a:stretch>
                  </pic:blipFill>
                  <pic:spPr bwMode="auto">
                    <a:xfrm>
                      <a:off x="0" y="0"/>
                      <a:ext cx="5504749" cy="7339665"/>
                    </a:xfrm>
                    <a:prstGeom prst="rect">
                      <a:avLst/>
                    </a:prstGeom>
                    <a:noFill/>
                    <a:ln w="9525">
                      <a:noFill/>
                      <a:headEnd/>
                      <a:tailEnd/>
                    </a:ln>
                  </pic:spPr>
                </pic:pic>
              </a:graphicData>
            </a:graphic>
          </wp:inline>
        </w:drawing>
      </w:r>
    </w:p>
    <w:p w14:paraId="5FEF037D" w14:textId="77777777" w:rsidR="00031498" w:rsidRDefault="00000000">
      <w:pPr>
        <w:pStyle w:val="Textoindependiente"/>
      </w:pPr>
      <w:r>
        <w:rPr>
          <w:i/>
          <w:iCs/>
        </w:rPr>
        <w:t>Figure S4: Bland Altman plots for the comparison of default HDCZA estimated sleep onset time, wake-up time, and SPT with reference values.</w:t>
      </w:r>
    </w:p>
    <w:p w14:paraId="6F65B683" w14:textId="77777777" w:rsidR="00031498" w:rsidRDefault="00000000">
      <w:pPr>
        <w:pStyle w:val="Ttulo2"/>
      </w:pPr>
      <w:bookmarkStart w:id="5" w:name="X2a3a4cf9a6d23b4f8d91b46f4ffff2c7f24b7ce"/>
      <w:bookmarkEnd w:id="4"/>
      <w:r>
        <w:lastRenderedPageBreak/>
        <w:t>GGIR example calls applying the optimised parameters</w:t>
      </w:r>
    </w:p>
    <w:p w14:paraId="2C17B335" w14:textId="77777777" w:rsidR="00031498" w:rsidRDefault="00000000" w:rsidP="00AF0193">
      <w:pPr>
        <w:pStyle w:val="SourceCode"/>
        <w:spacing w:after="0" w:line="240" w:lineRule="auto"/>
      </w:pPr>
      <w:r>
        <w:rPr>
          <w:rStyle w:val="CommentTok"/>
        </w:rPr>
        <w:t># HDCZA optimised parameters</w:t>
      </w:r>
      <w:r>
        <w:br/>
      </w:r>
      <w:r>
        <w:br/>
      </w:r>
      <w:r>
        <w:rPr>
          <w:rStyle w:val="FunctionTok"/>
        </w:rPr>
        <w:t>GGIR</w:t>
      </w:r>
      <w:r>
        <w:rPr>
          <w:rStyle w:val="NormalTok"/>
        </w:rPr>
        <w:t>(</w:t>
      </w:r>
      <w:r>
        <w:br/>
      </w:r>
      <w:r>
        <w:rPr>
          <w:rStyle w:val="NormalTok"/>
        </w:rPr>
        <w:t xml:space="preserve">  </w:t>
      </w:r>
      <w:r>
        <w:rPr>
          <w:rStyle w:val="CommentTok"/>
        </w:rPr>
        <w:t># SPT algorithm specification</w:t>
      </w:r>
      <w:r>
        <w:br/>
      </w:r>
      <w:r>
        <w:rPr>
          <w:rStyle w:val="NormalTok"/>
        </w:rPr>
        <w:t xml:space="preserve">  </w:t>
      </w:r>
      <w:r>
        <w:rPr>
          <w:rStyle w:val="AttributeTok"/>
        </w:rPr>
        <w:t>HASPT.algo =</w:t>
      </w:r>
      <w:r>
        <w:rPr>
          <w:rStyle w:val="NormalTok"/>
        </w:rPr>
        <w:t xml:space="preserve"> </w:t>
      </w:r>
      <w:r>
        <w:rPr>
          <w:rStyle w:val="StringTok"/>
        </w:rPr>
        <w:t>"HDCZA"</w:t>
      </w:r>
      <w:r>
        <w:rPr>
          <w:rStyle w:val="NormalTok"/>
        </w:rPr>
        <w:t>,</w:t>
      </w:r>
      <w:r>
        <w:br/>
      </w:r>
      <w:r>
        <w:br/>
      </w:r>
      <w:r>
        <w:rPr>
          <w:rStyle w:val="NormalTok"/>
        </w:rPr>
        <w:t xml:space="preserve">  </w:t>
      </w:r>
      <w:r>
        <w:rPr>
          <w:rStyle w:val="CommentTok"/>
        </w:rPr>
        <w:t># settings to ensure that guider window is the final SPT window</w:t>
      </w:r>
      <w:r>
        <w:br/>
      </w:r>
      <w:r>
        <w:rPr>
          <w:rStyle w:val="NormalTok"/>
        </w:rPr>
        <w:t xml:space="preserve">  </w:t>
      </w:r>
      <w:r>
        <w:rPr>
          <w:rStyle w:val="AttributeTok"/>
        </w:rPr>
        <w:t>HASIB.algo =</w:t>
      </w:r>
      <w:r>
        <w:rPr>
          <w:rStyle w:val="NormalTok"/>
        </w:rPr>
        <w:t xml:space="preserve"> </w:t>
      </w:r>
      <w:r>
        <w:rPr>
          <w:rStyle w:val="StringTok"/>
        </w:rPr>
        <w:t>"vanHees2015"</w:t>
      </w:r>
      <w:r>
        <w:rPr>
          <w:rStyle w:val="NormalTok"/>
        </w:rPr>
        <w:t>,</w:t>
      </w:r>
      <w:r>
        <w:br/>
      </w:r>
      <w:r>
        <w:rPr>
          <w:rStyle w:val="NormalTok"/>
        </w:rPr>
        <w:t xml:space="preserve">  </w:t>
      </w:r>
      <w:r>
        <w:rPr>
          <w:rStyle w:val="AttributeTok"/>
        </w:rPr>
        <w:t>anglethreshold =</w:t>
      </w:r>
      <w:r>
        <w:rPr>
          <w:rStyle w:val="NormalTok"/>
        </w:rPr>
        <w:t xml:space="preserve"> </w:t>
      </w:r>
      <w:r>
        <w:rPr>
          <w:rStyle w:val="DecValTok"/>
        </w:rPr>
        <w:t>100</w:t>
      </w:r>
      <w:r>
        <w:rPr>
          <w:rStyle w:val="NormalTok"/>
        </w:rPr>
        <w:t>,</w:t>
      </w:r>
      <w:r>
        <w:br/>
      </w:r>
      <w:r>
        <w:rPr>
          <w:rStyle w:val="NormalTok"/>
        </w:rPr>
        <w:t xml:space="preserve">  </w:t>
      </w:r>
      <w:r>
        <w:rPr>
          <w:rStyle w:val="AttributeTok"/>
        </w:rPr>
        <w:t>timethreshold =</w:t>
      </w:r>
      <w:r>
        <w:rPr>
          <w:rStyle w:val="NormalTok"/>
        </w:rPr>
        <w:t xml:space="preserve"> </w:t>
      </w:r>
      <w:r>
        <w:rPr>
          <w:rStyle w:val="DecValTok"/>
        </w:rPr>
        <w:t>1</w:t>
      </w:r>
      <w:r>
        <w:rPr>
          <w:rStyle w:val="NormalTok"/>
        </w:rPr>
        <w:t>,</w:t>
      </w:r>
      <w:r>
        <w:br/>
      </w:r>
      <w:r>
        <w:rPr>
          <w:rStyle w:val="NormalTok"/>
        </w:rPr>
        <w:t xml:space="preserve">  </w:t>
      </w:r>
      <w:r>
        <w:rPr>
          <w:rStyle w:val="AttributeTok"/>
        </w:rPr>
        <w:t>sib_must_fully_overlap_with_TimeInBed =</w:t>
      </w:r>
      <w:r>
        <w:rPr>
          <w:rStyle w:val="NormalTok"/>
        </w:rPr>
        <w:t xml:space="preserve"> </w:t>
      </w:r>
      <w:r>
        <w:rPr>
          <w:rStyle w:val="FunctionTok"/>
        </w:rPr>
        <w:t>c</w:t>
      </w:r>
      <w:r>
        <w:rPr>
          <w:rStyle w:val="NormalTok"/>
        </w:rPr>
        <w:t>(</w:t>
      </w:r>
      <w:r>
        <w:rPr>
          <w:rStyle w:val="ConstantTok"/>
        </w:rPr>
        <w:t>FALSE</w:t>
      </w:r>
      <w:r>
        <w:rPr>
          <w:rStyle w:val="NormalTok"/>
        </w:rPr>
        <w:t xml:space="preserve">, </w:t>
      </w:r>
      <w:r>
        <w:rPr>
          <w:rStyle w:val="ConstantTok"/>
        </w:rPr>
        <w:t>FALSE</w:t>
      </w:r>
      <w:r>
        <w:rPr>
          <w:rStyle w:val="NormalTok"/>
        </w:rPr>
        <w:t>),</w:t>
      </w:r>
      <w:r>
        <w:br/>
      </w:r>
      <w:r>
        <w:rPr>
          <w:rStyle w:val="NormalTok"/>
        </w:rPr>
        <w:t xml:space="preserve">  </w:t>
      </w:r>
      <w:r>
        <w:rPr>
          <w:rStyle w:val="AttributeTok"/>
        </w:rPr>
        <w:t>relyonguider =</w:t>
      </w:r>
      <w:r>
        <w:rPr>
          <w:rStyle w:val="NormalTok"/>
        </w:rPr>
        <w:t xml:space="preserve"> </w:t>
      </w:r>
      <w:r>
        <w:rPr>
          <w:rStyle w:val="ConstantTok"/>
        </w:rPr>
        <w:t>TRUE</w:t>
      </w:r>
      <w:r>
        <w:rPr>
          <w:rStyle w:val="NormalTok"/>
        </w:rPr>
        <w:t>,</w:t>
      </w:r>
      <w:r>
        <w:br/>
      </w:r>
      <w:r>
        <w:rPr>
          <w:rStyle w:val="NormalTok"/>
        </w:rPr>
        <w:t xml:space="preserve">  </w:t>
      </w:r>
      <w:r>
        <w:br/>
      </w:r>
      <w:r>
        <w:rPr>
          <w:rStyle w:val="NormalTok"/>
        </w:rPr>
        <w:t xml:space="preserve">  </w:t>
      </w:r>
      <w:r>
        <w:rPr>
          <w:rStyle w:val="CommentTok"/>
        </w:rPr>
        <w:t># Optimised parameters</w:t>
      </w:r>
      <w:r>
        <w:br/>
      </w:r>
      <w:r>
        <w:rPr>
          <w:rStyle w:val="NormalTok"/>
        </w:rPr>
        <w:t xml:space="preserve">  </w:t>
      </w:r>
      <w:r>
        <w:rPr>
          <w:rStyle w:val="AttributeTok"/>
        </w:rPr>
        <w:t>HDCZA_threshold =</w:t>
      </w:r>
      <w:r>
        <w:rPr>
          <w:rStyle w:val="NormalTok"/>
        </w:rPr>
        <w:t xml:space="preserve"> </w:t>
      </w:r>
      <w:r>
        <w:rPr>
          <w:rStyle w:val="FloatTok"/>
        </w:rPr>
        <w:t>0.259</w:t>
      </w:r>
      <w:r>
        <w:rPr>
          <w:rStyle w:val="NormalTok"/>
        </w:rPr>
        <w:t>,</w:t>
      </w:r>
      <w:r>
        <w:br/>
      </w:r>
      <w:r>
        <w:rPr>
          <w:rStyle w:val="NormalTok"/>
        </w:rPr>
        <w:t xml:space="preserve">  </w:t>
      </w:r>
      <w:r>
        <w:rPr>
          <w:rStyle w:val="AttributeTok"/>
        </w:rPr>
        <w:t>spt_min_block_dur =</w:t>
      </w:r>
      <w:r>
        <w:rPr>
          <w:rStyle w:val="NormalTok"/>
        </w:rPr>
        <w:t xml:space="preserve"> </w:t>
      </w:r>
      <w:r>
        <w:rPr>
          <w:rStyle w:val="DecValTok"/>
        </w:rPr>
        <w:t>34</w:t>
      </w:r>
      <w:r>
        <w:rPr>
          <w:rStyle w:val="NormalTok"/>
        </w:rPr>
        <w:t>,</w:t>
      </w:r>
      <w:r>
        <w:br/>
      </w:r>
      <w:r>
        <w:rPr>
          <w:rStyle w:val="NormalTok"/>
        </w:rPr>
        <w:t xml:space="preserve">  </w:t>
      </w:r>
      <w:r>
        <w:rPr>
          <w:rStyle w:val="AttributeTok"/>
        </w:rPr>
        <w:t>spt_max_gap_dur =</w:t>
      </w:r>
      <w:r>
        <w:rPr>
          <w:rStyle w:val="NormalTok"/>
        </w:rPr>
        <w:t xml:space="preserve"> </w:t>
      </w:r>
      <w:r>
        <w:rPr>
          <w:rStyle w:val="DecValTok"/>
        </w:rPr>
        <w:t>52</w:t>
      </w:r>
      <w:r>
        <w:rPr>
          <w:rStyle w:val="NormalTok"/>
        </w:rPr>
        <w:t>,</w:t>
      </w:r>
      <w:r>
        <w:br/>
      </w:r>
      <w:r>
        <w:rPr>
          <w:rStyle w:val="NormalTok"/>
        </w:rPr>
        <w:t xml:space="preserve">  </w:t>
      </w:r>
      <w:r>
        <w:rPr>
          <w:rStyle w:val="AttributeTok"/>
        </w:rPr>
        <w:t>spt_max_gap_ratio =</w:t>
      </w:r>
      <w:r>
        <w:rPr>
          <w:rStyle w:val="NormalTok"/>
        </w:rPr>
        <w:t xml:space="preserve"> </w:t>
      </w:r>
      <w:r>
        <w:rPr>
          <w:rStyle w:val="FloatTok"/>
        </w:rPr>
        <w:t>0.282</w:t>
      </w:r>
      <w:r>
        <w:rPr>
          <w:rStyle w:val="NormalTok"/>
        </w:rPr>
        <w:t>,</w:t>
      </w:r>
      <w:r>
        <w:br/>
      </w:r>
      <w:r>
        <w:rPr>
          <w:rStyle w:val="NormalTok"/>
        </w:rPr>
        <w:t>)</w:t>
      </w:r>
      <w:r>
        <w:br/>
      </w:r>
      <w:r>
        <w:br/>
      </w:r>
      <w:r>
        <w:br/>
      </w:r>
      <w:r>
        <w:rPr>
          <w:rStyle w:val="CommentTok"/>
        </w:rPr>
        <w:t># HorAngle optimised parameters</w:t>
      </w:r>
      <w:r>
        <w:br/>
      </w:r>
      <w:r>
        <w:br/>
      </w:r>
      <w:r>
        <w:rPr>
          <w:rStyle w:val="FunctionTok"/>
        </w:rPr>
        <w:t>GGIR</w:t>
      </w:r>
      <w:r>
        <w:rPr>
          <w:rStyle w:val="NormalTok"/>
        </w:rPr>
        <w:t>(</w:t>
      </w:r>
      <w:r>
        <w:br/>
      </w:r>
      <w:r>
        <w:rPr>
          <w:rStyle w:val="NormalTok"/>
        </w:rPr>
        <w:t xml:space="preserve">  </w:t>
      </w:r>
      <w:r>
        <w:rPr>
          <w:rStyle w:val="CommentTok"/>
        </w:rPr>
        <w:t># SPT algorithm specification</w:t>
      </w:r>
      <w:r>
        <w:br/>
      </w:r>
      <w:r>
        <w:rPr>
          <w:rStyle w:val="NormalTok"/>
        </w:rPr>
        <w:t xml:space="preserve">  </w:t>
      </w:r>
      <w:r>
        <w:rPr>
          <w:rStyle w:val="AttributeTok"/>
        </w:rPr>
        <w:t>HASPT.algo =</w:t>
      </w:r>
      <w:r>
        <w:rPr>
          <w:rStyle w:val="NormalTok"/>
        </w:rPr>
        <w:t xml:space="preserve"> </w:t>
      </w:r>
      <w:r>
        <w:rPr>
          <w:rStyle w:val="StringTok"/>
        </w:rPr>
        <w:t>"HorAngle"</w:t>
      </w:r>
      <w:r>
        <w:rPr>
          <w:rStyle w:val="NormalTok"/>
        </w:rPr>
        <w:t>,</w:t>
      </w:r>
      <w:r>
        <w:br/>
      </w:r>
      <w:r>
        <w:rPr>
          <w:rStyle w:val="NormalTok"/>
        </w:rPr>
        <w:t xml:space="preserve">  </w:t>
      </w:r>
      <w:r>
        <w:rPr>
          <w:rStyle w:val="AttributeTok"/>
        </w:rPr>
        <w:t>sensor.location =</w:t>
      </w:r>
      <w:r>
        <w:rPr>
          <w:rStyle w:val="NormalTok"/>
        </w:rPr>
        <w:t xml:space="preserve"> </w:t>
      </w:r>
      <w:r>
        <w:rPr>
          <w:rStyle w:val="StringTok"/>
        </w:rPr>
        <w:t>"hip"</w:t>
      </w:r>
      <w:r>
        <w:rPr>
          <w:rStyle w:val="NormalTok"/>
        </w:rPr>
        <w:t>,</w:t>
      </w:r>
      <w:r>
        <w:br/>
      </w:r>
      <w:r>
        <w:br/>
      </w:r>
      <w:r>
        <w:rPr>
          <w:rStyle w:val="NormalTok"/>
        </w:rPr>
        <w:t xml:space="preserve">  </w:t>
      </w:r>
      <w:r>
        <w:rPr>
          <w:rStyle w:val="CommentTok"/>
        </w:rPr>
        <w:t># settings to ensure that guider window is the final SPT window</w:t>
      </w:r>
      <w:r>
        <w:br/>
      </w:r>
      <w:r>
        <w:rPr>
          <w:rStyle w:val="NormalTok"/>
        </w:rPr>
        <w:t xml:space="preserve">  </w:t>
      </w:r>
      <w:r>
        <w:rPr>
          <w:rStyle w:val="AttributeTok"/>
        </w:rPr>
        <w:t>HASIB.algo =</w:t>
      </w:r>
      <w:r>
        <w:rPr>
          <w:rStyle w:val="NormalTok"/>
        </w:rPr>
        <w:t xml:space="preserve"> </w:t>
      </w:r>
      <w:r>
        <w:rPr>
          <w:rStyle w:val="StringTok"/>
        </w:rPr>
        <w:t>"vanHees2015"</w:t>
      </w:r>
      <w:r>
        <w:rPr>
          <w:rStyle w:val="NormalTok"/>
        </w:rPr>
        <w:t>,</w:t>
      </w:r>
      <w:r>
        <w:br/>
      </w:r>
      <w:r>
        <w:rPr>
          <w:rStyle w:val="NormalTok"/>
        </w:rPr>
        <w:t xml:space="preserve">  </w:t>
      </w:r>
      <w:r>
        <w:rPr>
          <w:rStyle w:val="AttributeTok"/>
        </w:rPr>
        <w:t>anglethreshold =</w:t>
      </w:r>
      <w:r>
        <w:rPr>
          <w:rStyle w:val="NormalTok"/>
        </w:rPr>
        <w:t xml:space="preserve"> </w:t>
      </w:r>
      <w:r>
        <w:rPr>
          <w:rStyle w:val="DecValTok"/>
        </w:rPr>
        <w:t>100</w:t>
      </w:r>
      <w:r>
        <w:rPr>
          <w:rStyle w:val="NormalTok"/>
        </w:rPr>
        <w:t>,</w:t>
      </w:r>
      <w:r>
        <w:br/>
      </w:r>
      <w:r>
        <w:rPr>
          <w:rStyle w:val="NormalTok"/>
        </w:rPr>
        <w:t xml:space="preserve">  </w:t>
      </w:r>
      <w:r>
        <w:rPr>
          <w:rStyle w:val="AttributeTok"/>
        </w:rPr>
        <w:t>timethreshold =</w:t>
      </w:r>
      <w:r>
        <w:rPr>
          <w:rStyle w:val="NormalTok"/>
        </w:rPr>
        <w:t xml:space="preserve"> </w:t>
      </w:r>
      <w:r>
        <w:rPr>
          <w:rStyle w:val="DecValTok"/>
        </w:rPr>
        <w:t>1</w:t>
      </w:r>
      <w:r>
        <w:rPr>
          <w:rStyle w:val="NormalTok"/>
        </w:rPr>
        <w:t>,</w:t>
      </w:r>
      <w:r>
        <w:br/>
      </w:r>
      <w:r>
        <w:rPr>
          <w:rStyle w:val="NormalTok"/>
        </w:rPr>
        <w:t xml:space="preserve">  </w:t>
      </w:r>
      <w:r>
        <w:rPr>
          <w:rStyle w:val="AttributeTok"/>
        </w:rPr>
        <w:t>sib_must_fully_overlap_with_TimeInBed =</w:t>
      </w:r>
      <w:r>
        <w:rPr>
          <w:rStyle w:val="NormalTok"/>
        </w:rPr>
        <w:t xml:space="preserve"> </w:t>
      </w:r>
      <w:r>
        <w:rPr>
          <w:rStyle w:val="FunctionTok"/>
        </w:rPr>
        <w:t>c</w:t>
      </w:r>
      <w:r>
        <w:rPr>
          <w:rStyle w:val="NormalTok"/>
        </w:rPr>
        <w:t>(</w:t>
      </w:r>
      <w:r>
        <w:rPr>
          <w:rStyle w:val="ConstantTok"/>
        </w:rPr>
        <w:t>FALSE</w:t>
      </w:r>
      <w:r>
        <w:rPr>
          <w:rStyle w:val="NormalTok"/>
        </w:rPr>
        <w:t xml:space="preserve">, </w:t>
      </w:r>
      <w:r>
        <w:rPr>
          <w:rStyle w:val="ConstantTok"/>
        </w:rPr>
        <w:t>FALSE</w:t>
      </w:r>
      <w:r>
        <w:rPr>
          <w:rStyle w:val="NormalTok"/>
        </w:rPr>
        <w:t>),</w:t>
      </w:r>
      <w:r>
        <w:br/>
      </w:r>
      <w:r>
        <w:rPr>
          <w:rStyle w:val="NormalTok"/>
        </w:rPr>
        <w:t xml:space="preserve">  </w:t>
      </w:r>
      <w:r>
        <w:rPr>
          <w:rStyle w:val="AttributeTok"/>
        </w:rPr>
        <w:t>relyonguider =</w:t>
      </w:r>
      <w:r>
        <w:rPr>
          <w:rStyle w:val="NormalTok"/>
        </w:rPr>
        <w:t xml:space="preserve"> </w:t>
      </w:r>
      <w:r>
        <w:rPr>
          <w:rStyle w:val="ConstantTok"/>
        </w:rPr>
        <w:t>TRUE</w:t>
      </w:r>
      <w:r>
        <w:rPr>
          <w:rStyle w:val="NormalTok"/>
        </w:rPr>
        <w:t>,</w:t>
      </w:r>
      <w:r>
        <w:br/>
      </w:r>
      <w:r>
        <w:rPr>
          <w:rStyle w:val="NormalTok"/>
        </w:rPr>
        <w:t xml:space="preserve">  </w:t>
      </w:r>
      <w:r>
        <w:br/>
      </w:r>
      <w:r>
        <w:rPr>
          <w:rStyle w:val="NormalTok"/>
        </w:rPr>
        <w:t xml:space="preserve">  </w:t>
      </w:r>
      <w:r>
        <w:rPr>
          <w:rStyle w:val="CommentTok"/>
        </w:rPr>
        <w:t># Optimised parameters</w:t>
      </w:r>
      <w:r>
        <w:br/>
      </w:r>
      <w:r>
        <w:rPr>
          <w:rStyle w:val="NormalTok"/>
        </w:rPr>
        <w:t xml:space="preserve">  </w:t>
      </w:r>
      <w:r>
        <w:rPr>
          <w:rStyle w:val="AttributeTok"/>
        </w:rPr>
        <w:t>HorAngle_threshold =</w:t>
      </w:r>
      <w:r>
        <w:rPr>
          <w:rStyle w:val="NormalTok"/>
        </w:rPr>
        <w:t xml:space="preserve"> </w:t>
      </w:r>
      <w:r>
        <w:rPr>
          <w:rStyle w:val="DecValTok"/>
        </w:rPr>
        <w:t>58</w:t>
      </w:r>
      <w:r>
        <w:rPr>
          <w:rStyle w:val="NormalTok"/>
        </w:rPr>
        <w:t>,</w:t>
      </w:r>
      <w:r>
        <w:br/>
      </w:r>
      <w:r>
        <w:rPr>
          <w:rStyle w:val="NormalTok"/>
        </w:rPr>
        <w:t xml:space="preserve">  </w:t>
      </w:r>
      <w:r>
        <w:rPr>
          <w:rStyle w:val="AttributeTok"/>
        </w:rPr>
        <w:t>spt_min_block_dur =</w:t>
      </w:r>
      <w:r>
        <w:rPr>
          <w:rStyle w:val="NormalTok"/>
        </w:rPr>
        <w:t xml:space="preserve"> </w:t>
      </w:r>
      <w:r>
        <w:rPr>
          <w:rStyle w:val="DecValTok"/>
        </w:rPr>
        <w:t>60</w:t>
      </w:r>
      <w:r>
        <w:rPr>
          <w:rStyle w:val="NormalTok"/>
        </w:rPr>
        <w:t>,</w:t>
      </w:r>
      <w:r>
        <w:br/>
      </w:r>
      <w:r>
        <w:rPr>
          <w:rStyle w:val="NormalTok"/>
        </w:rPr>
        <w:t xml:space="preserve">  </w:t>
      </w:r>
      <w:r>
        <w:rPr>
          <w:rStyle w:val="AttributeTok"/>
        </w:rPr>
        <w:t>spt_max_gap_dur =</w:t>
      </w:r>
      <w:r>
        <w:rPr>
          <w:rStyle w:val="NormalTok"/>
        </w:rPr>
        <w:t xml:space="preserve"> </w:t>
      </w:r>
      <w:r>
        <w:rPr>
          <w:rStyle w:val="DecValTok"/>
        </w:rPr>
        <w:t>20</w:t>
      </w:r>
      <w:r>
        <w:rPr>
          <w:rStyle w:val="NormalTok"/>
        </w:rPr>
        <w:t>,</w:t>
      </w:r>
      <w:r>
        <w:br/>
      </w:r>
      <w:r>
        <w:rPr>
          <w:rStyle w:val="NormalTok"/>
        </w:rPr>
        <w:t xml:space="preserve">  </w:t>
      </w:r>
      <w:r>
        <w:rPr>
          <w:rStyle w:val="AttributeTok"/>
        </w:rPr>
        <w:t>spt_max_gap_ratio =</w:t>
      </w:r>
      <w:r>
        <w:rPr>
          <w:rStyle w:val="NormalTok"/>
        </w:rPr>
        <w:t xml:space="preserve"> </w:t>
      </w:r>
      <w:r>
        <w:rPr>
          <w:rStyle w:val="FloatTok"/>
        </w:rPr>
        <w:t>0.034</w:t>
      </w:r>
      <w:r>
        <w:rPr>
          <w:rStyle w:val="NormalTok"/>
        </w:rPr>
        <w:t>,</w:t>
      </w:r>
      <w:r>
        <w:br/>
      </w:r>
      <w:r>
        <w:rPr>
          <w:rStyle w:val="NormalTok"/>
        </w:rPr>
        <w:t>)</w:t>
      </w:r>
      <w:bookmarkEnd w:id="0"/>
      <w:bookmarkEnd w:id="5"/>
    </w:p>
    <w:sectPr w:rsidR="00031498" w:rsidSect="008833C0">
      <w:footerReference w:type="even" r:id="rId11"/>
      <w:footerReference w:type="default" r:id="rId12"/>
      <w:pgSz w:w="12240" w:h="15840"/>
      <w:pgMar w:top="1440" w:right="1440" w:bottom="1440" w:left="144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5AB2" w14:textId="77777777" w:rsidR="00CA0AC8" w:rsidRDefault="00CA0AC8">
      <w:pPr>
        <w:spacing w:after="0" w:line="240" w:lineRule="auto"/>
      </w:pPr>
      <w:r>
        <w:separator/>
      </w:r>
    </w:p>
  </w:endnote>
  <w:endnote w:type="continuationSeparator" w:id="0">
    <w:p w14:paraId="34D3EF7A" w14:textId="77777777" w:rsidR="00CA0AC8" w:rsidRDefault="00CA0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964246445"/>
      <w:docPartObj>
        <w:docPartGallery w:val="Page Numbers (Bottom of Page)"/>
        <w:docPartUnique/>
      </w:docPartObj>
    </w:sdtPr>
    <w:sdtContent>
      <w:p w14:paraId="2C44573F" w14:textId="77777777" w:rsidR="000963D2" w:rsidRDefault="000963D2" w:rsidP="003222F0">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54D3E101" w14:textId="77777777" w:rsidR="000963D2" w:rsidRDefault="000963D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82343074"/>
      <w:docPartObj>
        <w:docPartGallery w:val="Page Numbers (Bottom of Page)"/>
        <w:docPartUnique/>
      </w:docPartObj>
    </w:sdtPr>
    <w:sdtContent>
      <w:p w14:paraId="45402ECD" w14:textId="77777777" w:rsidR="000963D2" w:rsidRDefault="000963D2" w:rsidP="003222F0">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4A504B75" w14:textId="77777777" w:rsidR="000963D2" w:rsidRDefault="000963D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6545F" w14:textId="77777777" w:rsidR="00CA0AC8" w:rsidRDefault="00CA0AC8">
      <w:pPr>
        <w:spacing w:after="0" w:line="240" w:lineRule="auto"/>
      </w:pPr>
      <w:r>
        <w:separator/>
      </w:r>
    </w:p>
  </w:footnote>
  <w:footnote w:type="continuationSeparator" w:id="0">
    <w:p w14:paraId="040F2358" w14:textId="77777777" w:rsidR="00CA0AC8" w:rsidRDefault="00CA0A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35BA74CC"/>
    <w:lvl w:ilvl="0">
      <w:numFmt w:val="bullet"/>
      <w:pStyle w:val="Compac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FFFFFF7C"/>
    <w:multiLevelType w:val="singleLevel"/>
    <w:tmpl w:val="1C508C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B4E80C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654113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40A1C8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4383D4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29808C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0EE48D4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178D54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73A2B9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C926A6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A990"/>
    <w:multiLevelType w:val="multilevel"/>
    <w:tmpl w:val="929E1E7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2" w15:restartNumberingAfterBreak="0">
    <w:nsid w:val="0000A991"/>
    <w:multiLevelType w:val="multilevel"/>
    <w:tmpl w:val="F1BECCE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3" w15:restartNumberingAfterBreak="0">
    <w:nsid w:val="00A99411"/>
    <w:multiLevelType w:val="multilevel"/>
    <w:tmpl w:val="A1EA1B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00A99413"/>
    <w:multiLevelType w:val="multilevel"/>
    <w:tmpl w:val="6FF47616"/>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15" w15:restartNumberingAfterBreak="0">
    <w:nsid w:val="01066D4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87205D3"/>
    <w:multiLevelType w:val="multilevel"/>
    <w:tmpl w:val="06648C64"/>
    <w:styleLink w:val="CurrentList3"/>
    <w:lvl w:ilvl="0">
      <w:start w:val="1"/>
      <w:numFmt w:val="decimal"/>
      <w:lvlText w:val="Figure %1."/>
      <w:lvlJc w:val="left"/>
      <w:pPr>
        <w:tabs>
          <w:tab w:val="num" w:pos="0"/>
        </w:tabs>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B5E68F1"/>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1AE401"/>
    <w:multiLevelType w:val="multilevel"/>
    <w:tmpl w:val="7B58736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9" w15:restartNumberingAfterBreak="0">
    <w:nsid w:val="30B97144"/>
    <w:multiLevelType w:val="hybridMultilevel"/>
    <w:tmpl w:val="0B46E658"/>
    <w:lvl w:ilvl="0" w:tplc="115C3D6A">
      <w:start w:val="1"/>
      <w:numFmt w:val="decimal"/>
      <w:lvlText w:val="Figur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9854C2"/>
    <w:multiLevelType w:val="hybridMultilevel"/>
    <w:tmpl w:val="EE668152"/>
    <w:lvl w:ilvl="0" w:tplc="D85498DC">
      <w:start w:val="1"/>
      <w:numFmt w:val="decimal"/>
      <w:lvlText w:val="Figure %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E444B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46684063">
    <w:abstractNumId w:val="18"/>
  </w:num>
  <w:num w:numId="2" w16cid:durableId="366877024">
    <w:abstractNumId w:val="0"/>
  </w:num>
  <w:num w:numId="3" w16cid:durableId="1334917739">
    <w:abstractNumId w:val="0"/>
  </w:num>
  <w:num w:numId="4" w16cid:durableId="1169097612">
    <w:abstractNumId w:val="1"/>
  </w:num>
  <w:num w:numId="5" w16cid:durableId="664288085">
    <w:abstractNumId w:val="2"/>
  </w:num>
  <w:num w:numId="6" w16cid:durableId="1582256496">
    <w:abstractNumId w:val="3"/>
  </w:num>
  <w:num w:numId="7" w16cid:durableId="2025285620">
    <w:abstractNumId w:val="4"/>
  </w:num>
  <w:num w:numId="8" w16cid:durableId="1973635648">
    <w:abstractNumId w:val="9"/>
  </w:num>
  <w:num w:numId="9" w16cid:durableId="1159418762">
    <w:abstractNumId w:val="5"/>
  </w:num>
  <w:num w:numId="10" w16cid:durableId="975142882">
    <w:abstractNumId w:val="6"/>
  </w:num>
  <w:num w:numId="11" w16cid:durableId="326595534">
    <w:abstractNumId w:val="7"/>
  </w:num>
  <w:num w:numId="12" w16cid:durableId="1433889588">
    <w:abstractNumId w:val="8"/>
  </w:num>
  <w:num w:numId="13" w16cid:durableId="37173768">
    <w:abstractNumId w:val="10"/>
  </w:num>
  <w:num w:numId="14" w16cid:durableId="147329443">
    <w:abstractNumId w:val="20"/>
  </w:num>
  <w:num w:numId="15" w16cid:durableId="1073970532">
    <w:abstractNumId w:val="19"/>
  </w:num>
  <w:num w:numId="16" w16cid:durableId="1637372437">
    <w:abstractNumId w:val="17"/>
  </w:num>
  <w:num w:numId="17" w16cid:durableId="1352729813">
    <w:abstractNumId w:val="15"/>
  </w:num>
  <w:num w:numId="18" w16cid:durableId="243686690">
    <w:abstractNumId w:val="16"/>
  </w:num>
  <w:num w:numId="19" w16cid:durableId="1876842781">
    <w:abstractNumId w:val="21"/>
  </w:num>
  <w:num w:numId="20" w16cid:durableId="1744792069">
    <w:abstractNumId w:val="11"/>
  </w:num>
  <w:num w:numId="21" w16cid:durableId="14331660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349846">
    <w:abstractNumId w:val="12"/>
  </w:num>
  <w:num w:numId="23" w16cid:durableId="12859640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37125103">
    <w:abstractNumId w:val="12"/>
  </w:num>
  <w:num w:numId="25" w16cid:durableId="1229653590">
    <w:abstractNumId w:val="12"/>
  </w:num>
  <w:num w:numId="26" w16cid:durableId="1358066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82492309">
    <w:abstractNumId w:val="12"/>
  </w:num>
  <w:num w:numId="28" w16cid:durableId="7053707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19421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30706095">
    <w:abstractNumId w:val="12"/>
  </w:num>
  <w:num w:numId="31" w16cid:durableId="3829507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02250255">
    <w:abstractNumId w:val="12"/>
  </w:num>
  <w:num w:numId="33" w16cid:durableId="473889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91455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00345154">
    <w:abstractNumId w:val="12"/>
  </w:num>
  <w:num w:numId="36" w16cid:durableId="13500614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7768724">
    <w:abstractNumId w:val="12"/>
  </w:num>
  <w:num w:numId="38" w16cid:durableId="1948809179">
    <w:abstractNumId w:val="14"/>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122E"/>
    <w:rsid w:val="00002E52"/>
    <w:rsid w:val="00011C8B"/>
    <w:rsid w:val="00031498"/>
    <w:rsid w:val="000331F3"/>
    <w:rsid w:val="000963D2"/>
    <w:rsid w:val="000A6B6B"/>
    <w:rsid w:val="00102CA5"/>
    <w:rsid w:val="00147B7F"/>
    <w:rsid w:val="001C3CB4"/>
    <w:rsid w:val="00233A3C"/>
    <w:rsid w:val="0023506B"/>
    <w:rsid w:val="00280C8C"/>
    <w:rsid w:val="003001B7"/>
    <w:rsid w:val="00355943"/>
    <w:rsid w:val="00362264"/>
    <w:rsid w:val="003C1AAD"/>
    <w:rsid w:val="004218D7"/>
    <w:rsid w:val="0043636B"/>
    <w:rsid w:val="004471DE"/>
    <w:rsid w:val="00470919"/>
    <w:rsid w:val="004E29B3"/>
    <w:rsid w:val="004F0762"/>
    <w:rsid w:val="00585288"/>
    <w:rsid w:val="00587998"/>
    <w:rsid w:val="00590D07"/>
    <w:rsid w:val="00671C62"/>
    <w:rsid w:val="006C0E8A"/>
    <w:rsid w:val="00784D58"/>
    <w:rsid w:val="007A26AE"/>
    <w:rsid w:val="007E302E"/>
    <w:rsid w:val="00836C0B"/>
    <w:rsid w:val="0087419E"/>
    <w:rsid w:val="008833C0"/>
    <w:rsid w:val="00895035"/>
    <w:rsid w:val="008C2368"/>
    <w:rsid w:val="008D3D81"/>
    <w:rsid w:val="008D6863"/>
    <w:rsid w:val="00985876"/>
    <w:rsid w:val="009865D4"/>
    <w:rsid w:val="00993CA2"/>
    <w:rsid w:val="009C53E9"/>
    <w:rsid w:val="009E6C49"/>
    <w:rsid w:val="00A34114"/>
    <w:rsid w:val="00A86AF7"/>
    <w:rsid w:val="00AB6B6D"/>
    <w:rsid w:val="00AF0193"/>
    <w:rsid w:val="00AF50A2"/>
    <w:rsid w:val="00B21DEB"/>
    <w:rsid w:val="00B419DE"/>
    <w:rsid w:val="00B86B75"/>
    <w:rsid w:val="00BA0535"/>
    <w:rsid w:val="00BA0CC9"/>
    <w:rsid w:val="00BC48D5"/>
    <w:rsid w:val="00C36279"/>
    <w:rsid w:val="00C647DF"/>
    <w:rsid w:val="00C84A10"/>
    <w:rsid w:val="00C94A43"/>
    <w:rsid w:val="00CA0AC8"/>
    <w:rsid w:val="00CA6DC2"/>
    <w:rsid w:val="00CA779B"/>
    <w:rsid w:val="00CC763C"/>
    <w:rsid w:val="00CF41A4"/>
    <w:rsid w:val="00D23CFB"/>
    <w:rsid w:val="00D2648E"/>
    <w:rsid w:val="00D9513C"/>
    <w:rsid w:val="00DA00D7"/>
    <w:rsid w:val="00DC4CEA"/>
    <w:rsid w:val="00E315A3"/>
    <w:rsid w:val="00E357B5"/>
    <w:rsid w:val="00E61588"/>
    <w:rsid w:val="00E93A53"/>
    <w:rsid w:val="00E951BB"/>
    <w:rsid w:val="00EA5DAC"/>
    <w:rsid w:val="00F9370C"/>
    <w:rsid w:val="00F97599"/>
    <w:rsid w:val="00FB2523"/>
    <w:rsid w:val="00FD0500"/>
    <w:rsid w:val="00FF1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ADD82"/>
  <w15:docId w15:val="{59586C39-1805-4E62-9122-3B7A0A99A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0919"/>
    <w:pPr>
      <w:spacing w:line="480" w:lineRule="auto"/>
    </w:pPr>
    <w:rPr>
      <w:rFonts w:ascii="Arial" w:hAnsi="Arial"/>
      <w:sz w:val="22"/>
    </w:rPr>
  </w:style>
  <w:style w:type="paragraph" w:styleId="Ttulo1">
    <w:name w:val="heading 1"/>
    <w:basedOn w:val="Normal"/>
    <w:next w:val="Textoindependiente"/>
    <w:uiPriority w:val="9"/>
    <w:qFormat/>
    <w:rsid w:val="00585288"/>
    <w:pPr>
      <w:keepNext/>
      <w:keepLines/>
      <w:spacing w:before="240" w:after="0"/>
      <w:outlineLvl w:val="0"/>
    </w:pPr>
    <w:rPr>
      <w:rFonts w:eastAsiaTheme="majorEastAsia" w:cs="Arial"/>
      <w:b/>
      <w:bCs/>
      <w:color w:val="000000" w:themeColor="text1"/>
      <w:sz w:val="28"/>
      <w:szCs w:val="32"/>
    </w:rPr>
  </w:style>
  <w:style w:type="paragraph" w:styleId="Ttulo2">
    <w:name w:val="heading 2"/>
    <w:basedOn w:val="Textoindependiente"/>
    <w:next w:val="Textoindependiente"/>
    <w:uiPriority w:val="9"/>
    <w:unhideWhenUsed/>
    <w:qFormat/>
    <w:rsid w:val="00585288"/>
    <w:pPr>
      <w:spacing w:before="240" w:after="0"/>
      <w:outlineLvl w:val="1"/>
    </w:pPr>
    <w:rPr>
      <w:b/>
      <w:bCs/>
      <w:szCs w:val="22"/>
    </w:rPr>
  </w:style>
  <w:style w:type="paragraph" w:styleId="Ttulo3">
    <w:name w:val="heading 3"/>
    <w:basedOn w:val="Textoindependiente"/>
    <w:next w:val="Textoindependiente"/>
    <w:uiPriority w:val="9"/>
    <w:unhideWhenUsed/>
    <w:qFormat/>
    <w:rsid w:val="00585288"/>
    <w:pPr>
      <w:spacing w:before="240" w:after="0"/>
      <w:outlineLvl w:val="2"/>
    </w:pPr>
    <w:rPr>
      <w:i/>
      <w:iCs/>
    </w:rPr>
  </w:style>
  <w:style w:type="paragraph" w:styleId="Ttulo4">
    <w:name w:val="heading 4"/>
    <w:basedOn w:val="Textoindependiente"/>
    <w:next w:val="Textoindependiente"/>
    <w:uiPriority w:val="9"/>
    <w:unhideWhenUsed/>
    <w:qFormat/>
    <w:rsid w:val="00585288"/>
    <w:pPr>
      <w:spacing w:before="240" w:after="0"/>
      <w:outlineLvl w:val="3"/>
    </w:pPr>
    <w:rPr>
      <w:u w:val="single"/>
    </w:rPr>
  </w:style>
  <w:style w:type="paragraph" w:styleId="Ttulo5">
    <w:name w:val="heading 5"/>
    <w:basedOn w:val="Normal"/>
    <w:next w:val="Textoindependiente"/>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Ttulo6">
    <w:name w:val="heading 6"/>
    <w:basedOn w:val="Normal"/>
    <w:next w:val="Textoindependiente"/>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tulo7">
    <w:name w:val="heading 7"/>
    <w:basedOn w:val="Normal"/>
    <w:next w:val="Textoindependiente"/>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tulo8">
    <w:name w:val="heading 8"/>
    <w:basedOn w:val="Normal"/>
    <w:next w:val="Textoindependiente"/>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tulo9">
    <w:name w:val="heading 9"/>
    <w:basedOn w:val="Normal"/>
    <w:next w:val="Textoindependiente"/>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qFormat/>
    <w:rsid w:val="00280C8C"/>
    <w:pPr>
      <w:spacing w:before="180" w:after="180"/>
    </w:pPr>
    <w:rPr>
      <w:rFonts w:cs="Arial"/>
      <w:szCs w:val="20"/>
    </w:rPr>
  </w:style>
  <w:style w:type="paragraph" w:customStyle="1" w:styleId="FirstParagraph">
    <w:name w:val="First Paragraph"/>
    <w:basedOn w:val="Textoindependiente"/>
    <w:next w:val="Textoindependiente"/>
    <w:qFormat/>
    <w:rsid w:val="00895035"/>
    <w:pPr>
      <w:spacing w:before="0" w:after="120"/>
    </w:pPr>
  </w:style>
  <w:style w:type="paragraph" w:customStyle="1" w:styleId="Compact">
    <w:name w:val="Compact"/>
    <w:basedOn w:val="Textoindependiente"/>
    <w:qFormat/>
    <w:rsid w:val="00895035"/>
    <w:pPr>
      <w:numPr>
        <w:numId w:val="2"/>
      </w:numPr>
      <w:spacing w:before="36" w:after="36"/>
    </w:pPr>
    <w:rPr>
      <w:szCs w:val="22"/>
    </w:rPr>
  </w:style>
  <w:style w:type="paragraph" w:styleId="Ttulo">
    <w:name w:val="Title"/>
    <w:basedOn w:val="Normal"/>
    <w:next w:val="Textoindependiente"/>
    <w:qFormat/>
    <w:rsid w:val="00CC763C"/>
    <w:pPr>
      <w:keepNext/>
      <w:keepLines/>
      <w:spacing w:before="480" w:after="240"/>
    </w:pPr>
    <w:rPr>
      <w:rFonts w:eastAsiaTheme="majorEastAsia" w:cs="Arial"/>
      <w:b/>
      <w:bCs/>
      <w:color w:val="000000" w:themeColor="text1"/>
      <w:sz w:val="32"/>
      <w:szCs w:val="32"/>
    </w:rPr>
  </w:style>
  <w:style w:type="paragraph" w:styleId="Subttulo">
    <w:name w:val="Subtitle"/>
    <w:basedOn w:val="Textoindependiente"/>
    <w:next w:val="Textoindependiente"/>
    <w:qFormat/>
    <w:rsid w:val="00CC763C"/>
    <w:rPr>
      <w:b/>
      <w:bCs/>
      <w:sz w:val="28"/>
      <w:szCs w:val="28"/>
    </w:rPr>
  </w:style>
  <w:style w:type="paragraph" w:customStyle="1" w:styleId="Author">
    <w:name w:val="Author"/>
    <w:next w:val="Textoindependiente"/>
    <w:qFormat/>
    <w:rsid w:val="00280C8C"/>
    <w:pPr>
      <w:keepNext/>
      <w:keepLines/>
      <w:spacing w:line="480" w:lineRule="auto"/>
      <w:jc w:val="center"/>
    </w:pPr>
    <w:rPr>
      <w:rFonts w:ascii="Arial" w:hAnsi="Arial" w:cs="Arial"/>
      <w:sz w:val="22"/>
      <w:szCs w:val="20"/>
    </w:rPr>
  </w:style>
  <w:style w:type="paragraph" w:styleId="Fecha">
    <w:name w:val="Date"/>
    <w:next w:val="Textoindependiente"/>
    <w:qFormat/>
    <w:rsid w:val="00280C8C"/>
    <w:pPr>
      <w:keepNext/>
      <w:keepLines/>
      <w:jc w:val="center"/>
    </w:pPr>
    <w:rPr>
      <w:rFonts w:ascii="Arial" w:hAnsi="Arial"/>
      <w:sz w:val="22"/>
    </w:rPr>
  </w:style>
  <w:style w:type="paragraph" w:customStyle="1" w:styleId="Abstract">
    <w:name w:val="Abstract"/>
    <w:basedOn w:val="Normal"/>
    <w:next w:val="Textoindependiente"/>
    <w:qFormat/>
    <w:rsid w:val="00280C8C"/>
    <w:pPr>
      <w:keepNext/>
      <w:keepLines/>
      <w:spacing w:before="300" w:after="300"/>
    </w:pPr>
    <w:rPr>
      <w:rFonts w:cs="Arial"/>
      <w:szCs w:val="20"/>
    </w:rPr>
  </w:style>
  <w:style w:type="paragraph" w:styleId="Bibliografa">
    <w:name w:val="Bibliography"/>
    <w:basedOn w:val="Normal"/>
    <w:qFormat/>
    <w:rsid w:val="008C2368"/>
  </w:style>
  <w:style w:type="paragraph" w:styleId="Textodebloque">
    <w:name w:val="Block Text"/>
    <w:basedOn w:val="Textoindependiente"/>
    <w:next w:val="Textoindependiente"/>
    <w:uiPriority w:val="9"/>
    <w:unhideWhenUsed/>
    <w:qFormat/>
    <w:pPr>
      <w:spacing w:before="100" w:after="100"/>
    </w:pPr>
    <w:rPr>
      <w:rFonts w:asciiTheme="majorHAnsi" w:eastAsiaTheme="majorEastAsia" w:hAnsiTheme="majorHAnsi" w:cstheme="majorBidi"/>
      <w:bCs/>
    </w:rPr>
  </w:style>
  <w:style w:type="paragraph" w:styleId="Textonotapie">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rsid w:val="00280C8C"/>
    <w:pPr>
      <w:keepNext/>
    </w:pPr>
  </w:style>
  <w:style w:type="paragraph" w:customStyle="1" w:styleId="ImageCaption">
    <w:name w:val="Image Caption"/>
    <w:basedOn w:val="Descripcin"/>
    <w:rsid w:val="00280C8C"/>
  </w:style>
  <w:style w:type="paragraph" w:customStyle="1" w:styleId="Figure">
    <w:name w:val="Figure"/>
    <w:basedOn w:val="Normal"/>
  </w:style>
  <w:style w:type="paragraph" w:customStyle="1" w:styleId="CaptionedFigure">
    <w:name w:val="Captioned Figure"/>
    <w:basedOn w:val="Figure"/>
    <w:rsid w:val="00280C8C"/>
    <w:pPr>
      <w:keepNext/>
      <w:spacing w:after="0"/>
    </w:pPr>
    <w:rPr>
      <w:i/>
    </w:rPr>
  </w:style>
  <w:style w:type="character" w:customStyle="1" w:styleId="DescripcinCar">
    <w:name w:val="Descripción Car"/>
    <w:basedOn w:val="Fuentedeprrafopredeter"/>
    <w:link w:val="Descripcin"/>
    <w:rPr>
      <w:rFonts w:ascii="Arial" w:hAnsi="Arial"/>
      <w:sz w:val="20"/>
    </w:rPr>
  </w:style>
  <w:style w:type="character" w:customStyle="1" w:styleId="VerbatimChar">
    <w:name w:val="Verbatim Char"/>
    <w:basedOn w:val="DescripcinCar"/>
    <w:link w:val="SourceCode"/>
    <w:rPr>
      <w:rFonts w:ascii="Consolas" w:hAnsi="Consolas"/>
      <w:sz w:val="22"/>
    </w:rPr>
  </w:style>
  <w:style w:type="character" w:styleId="Refdenotaalpie">
    <w:name w:val="footnote reference"/>
    <w:basedOn w:val="DescripcinCar"/>
    <w:rPr>
      <w:rFonts w:ascii="Arial" w:hAnsi="Arial"/>
      <w:sz w:val="20"/>
      <w:vertAlign w:val="superscript"/>
    </w:rPr>
  </w:style>
  <w:style w:type="character" w:styleId="Hipervnculo">
    <w:name w:val="Hyperlink"/>
    <w:basedOn w:val="DescripcinCar"/>
    <w:rsid w:val="00002E52"/>
    <w:rPr>
      <w:rFonts w:ascii="Arial" w:hAnsi="Arial"/>
      <w:color w:val="auto"/>
      <w:sz w:val="22"/>
    </w:rPr>
  </w:style>
  <w:style w:type="paragraph" w:styleId="TtuloTDC">
    <w:name w:val="TOC Heading"/>
    <w:basedOn w:val="Ttulo1"/>
    <w:next w:val="Textoindependiente"/>
    <w:uiPriority w:val="39"/>
    <w:unhideWhenUsed/>
    <w:qFormat/>
    <w:pPr>
      <w:spacing w:line="259" w:lineRule="auto"/>
      <w:outlineLvl w:val="9"/>
    </w:pPr>
    <w:rPr>
      <w:rFonts w:asciiTheme="majorHAnsi" w:hAnsiTheme="majorHAnsi"/>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character" w:customStyle="1" w:styleId="TextoindependienteCar">
    <w:name w:val="Texto independiente Car"/>
    <w:basedOn w:val="Fuentedeprrafopredeter"/>
    <w:link w:val="Textoindependiente"/>
    <w:rsid w:val="00280C8C"/>
    <w:rPr>
      <w:rFonts w:ascii="Arial" w:hAnsi="Arial" w:cs="Arial"/>
      <w:sz w:val="22"/>
      <w:szCs w:val="20"/>
    </w:rPr>
  </w:style>
  <w:style w:type="character" w:styleId="Nmerodelnea">
    <w:name w:val="line number"/>
    <w:basedOn w:val="Fuentedeprrafopredeter"/>
    <w:semiHidden/>
    <w:unhideWhenUsed/>
    <w:rsid w:val="0087419E"/>
    <w:rPr>
      <w:rFonts w:ascii="Arial" w:hAnsi="Arial"/>
      <w:sz w:val="20"/>
    </w:rPr>
  </w:style>
  <w:style w:type="paragraph" w:styleId="Encabezado">
    <w:name w:val="header"/>
    <w:basedOn w:val="Normal"/>
    <w:link w:val="EncabezadoCar"/>
    <w:unhideWhenUsed/>
    <w:rsid w:val="00F97599"/>
    <w:pPr>
      <w:tabs>
        <w:tab w:val="center" w:pos="4680"/>
        <w:tab w:val="right" w:pos="9360"/>
      </w:tabs>
      <w:spacing w:after="0"/>
    </w:pPr>
  </w:style>
  <w:style w:type="character" w:customStyle="1" w:styleId="EncabezadoCar">
    <w:name w:val="Encabezado Car"/>
    <w:basedOn w:val="Fuentedeprrafopredeter"/>
    <w:link w:val="Encabezado"/>
    <w:rsid w:val="00F97599"/>
    <w:rPr>
      <w:rFonts w:ascii="Arial" w:hAnsi="Arial"/>
      <w:sz w:val="20"/>
    </w:rPr>
  </w:style>
  <w:style w:type="paragraph" w:styleId="Piedepgina">
    <w:name w:val="footer"/>
    <w:basedOn w:val="Normal"/>
    <w:link w:val="PiedepginaCar"/>
    <w:unhideWhenUsed/>
    <w:rsid w:val="00F97599"/>
    <w:pPr>
      <w:tabs>
        <w:tab w:val="center" w:pos="4680"/>
        <w:tab w:val="right" w:pos="9360"/>
      </w:tabs>
      <w:spacing w:after="0"/>
    </w:pPr>
  </w:style>
  <w:style w:type="character" w:customStyle="1" w:styleId="PiedepginaCar">
    <w:name w:val="Pie de página Car"/>
    <w:basedOn w:val="Fuentedeprrafopredeter"/>
    <w:link w:val="Piedepgina"/>
    <w:rsid w:val="00F97599"/>
    <w:rPr>
      <w:rFonts w:ascii="Arial" w:hAnsi="Arial"/>
      <w:sz w:val="20"/>
    </w:rPr>
  </w:style>
  <w:style w:type="character" w:styleId="Hipervnculovisitado">
    <w:name w:val="FollowedHyperlink"/>
    <w:basedOn w:val="Fuentedeprrafopredeter"/>
    <w:semiHidden/>
    <w:unhideWhenUsed/>
    <w:rsid w:val="0023506B"/>
    <w:rPr>
      <w:rFonts w:ascii="Arial" w:hAnsi="Arial"/>
      <w:color w:val="800080" w:themeColor="followedHyperlink"/>
      <w:sz w:val="20"/>
      <w:u w:val="single"/>
    </w:rPr>
  </w:style>
  <w:style w:type="character" w:styleId="Nmerodepgina">
    <w:name w:val="page number"/>
    <w:basedOn w:val="Fuentedeprrafopredeter"/>
    <w:semiHidden/>
    <w:unhideWhenUsed/>
    <w:rsid w:val="008D3D81"/>
    <w:rPr>
      <w:rFonts w:ascii="Arial" w:hAnsi="Arial"/>
      <w:sz w:val="20"/>
    </w:rPr>
  </w:style>
  <w:style w:type="numbering" w:customStyle="1" w:styleId="CurrentList1">
    <w:name w:val="Current List1"/>
    <w:uiPriority w:val="99"/>
    <w:rsid w:val="003001B7"/>
    <w:pPr>
      <w:numPr>
        <w:numId w:val="16"/>
      </w:numPr>
    </w:pPr>
  </w:style>
  <w:style w:type="numbering" w:customStyle="1" w:styleId="CurrentList2">
    <w:name w:val="Current List2"/>
    <w:uiPriority w:val="99"/>
    <w:rsid w:val="009E6C49"/>
    <w:pPr>
      <w:numPr>
        <w:numId w:val="17"/>
      </w:numPr>
    </w:pPr>
  </w:style>
  <w:style w:type="numbering" w:customStyle="1" w:styleId="CurrentList3">
    <w:name w:val="Current List3"/>
    <w:uiPriority w:val="99"/>
    <w:rsid w:val="009E6C49"/>
    <w:pPr>
      <w:numPr>
        <w:numId w:val="18"/>
      </w:numPr>
    </w:pPr>
  </w:style>
  <w:style w:type="numbering" w:customStyle="1" w:styleId="CurrentList4">
    <w:name w:val="Current List4"/>
    <w:uiPriority w:val="99"/>
    <w:rsid w:val="004F0762"/>
    <w:pPr>
      <w:numPr>
        <w:numId w:val="19"/>
      </w:numPr>
    </w:pPr>
  </w:style>
  <w:style w:type="character" w:styleId="nfasis">
    <w:name w:val="Emphasis"/>
    <w:basedOn w:val="Fuentedeprrafopredeter"/>
    <w:rsid w:val="00D23CFB"/>
    <w:rPr>
      <w:color w:val="FF0000"/>
    </w:rPr>
  </w:style>
  <w:style w:type="paragraph" w:customStyle="1" w:styleId="redtext">
    <w:name w:val="redtext"/>
    <w:basedOn w:val="Textoindependiente"/>
    <w:qFormat/>
    <w:rsid w:val="00BA0535"/>
    <w:rPr>
      <w:color w:val="FF0000"/>
    </w:rPr>
  </w:style>
  <w:style w:type="paragraph" w:customStyle="1" w:styleId="highlighted">
    <w:name w:val="highlighted"/>
    <w:basedOn w:val="redtext"/>
    <w:qFormat/>
    <w:rsid w:val="007A26AE"/>
    <w:rPr>
      <w:color w:val="auto"/>
    </w:rPr>
  </w:style>
  <w:style w:type="character" w:styleId="Refdecomentario">
    <w:name w:val="annotation reference"/>
    <w:basedOn w:val="Fuentedeprrafopredeter"/>
    <w:semiHidden/>
    <w:unhideWhenUsed/>
    <w:rsid w:val="00AF0193"/>
    <w:rPr>
      <w:sz w:val="16"/>
      <w:szCs w:val="16"/>
    </w:rPr>
  </w:style>
  <w:style w:type="paragraph" w:styleId="Textocomentario">
    <w:name w:val="annotation text"/>
    <w:basedOn w:val="Normal"/>
    <w:link w:val="TextocomentarioCar"/>
    <w:unhideWhenUsed/>
    <w:rsid w:val="00AF0193"/>
    <w:pPr>
      <w:spacing w:line="240" w:lineRule="auto"/>
    </w:pPr>
    <w:rPr>
      <w:sz w:val="20"/>
      <w:szCs w:val="20"/>
    </w:rPr>
  </w:style>
  <w:style w:type="character" w:customStyle="1" w:styleId="TextocomentarioCar">
    <w:name w:val="Texto comentario Car"/>
    <w:basedOn w:val="Fuentedeprrafopredeter"/>
    <w:link w:val="Textocomentario"/>
    <w:rsid w:val="00AF0193"/>
    <w:rPr>
      <w:rFonts w:ascii="Arial" w:hAnsi="Arial"/>
      <w:sz w:val="20"/>
      <w:szCs w:val="20"/>
    </w:rPr>
  </w:style>
  <w:style w:type="paragraph" w:styleId="Asuntodelcomentario">
    <w:name w:val="annotation subject"/>
    <w:basedOn w:val="Textocomentario"/>
    <w:next w:val="Textocomentario"/>
    <w:link w:val="AsuntodelcomentarioCar"/>
    <w:semiHidden/>
    <w:unhideWhenUsed/>
    <w:rsid w:val="00AF0193"/>
    <w:rPr>
      <w:b/>
      <w:bCs/>
    </w:rPr>
  </w:style>
  <w:style w:type="character" w:customStyle="1" w:styleId="AsuntodelcomentarioCar">
    <w:name w:val="Asunto del comentario Car"/>
    <w:basedOn w:val="TextocomentarioCar"/>
    <w:link w:val="Asuntodelcomentario"/>
    <w:semiHidden/>
    <w:rsid w:val="00AF0193"/>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963</Words>
  <Characters>5115</Characters>
  <Application>Microsoft Office Word</Application>
  <DocSecurity>0</DocSecurity>
  <Lines>457</Lines>
  <Paragraphs>352</Paragraphs>
  <ScaleCrop>false</ScaleCrop>
  <HeadingPairs>
    <vt:vector size="2" baseType="variant">
      <vt:variant>
        <vt:lpstr>Title</vt:lpstr>
      </vt:variant>
      <vt:variant>
        <vt:i4>1</vt:i4>
      </vt:variant>
    </vt:vector>
  </HeadingPairs>
  <TitlesOfParts>
    <vt:vector size="1" baseType="lpstr">
      <vt:lpstr>YAML Template for Managing Affiliations</vt:lpstr>
    </vt:vector>
  </TitlesOfParts>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Estimating the sleep period time window based on a hip-worn accelerometer collected in children and adults.</dc:title>
  <dc:creator>Jairo H Migueles1,2, Vincent T van Hees3, Michael J Stein4, Michael F Leitzmann4, Hansjoerg Baurecht4, and Claas Lendt4,5</dc:creator>
  <cp:keywords/>
  <cp:lastModifiedBy>Jairo Hidalgo</cp:lastModifiedBy>
  <cp:revision>10</cp:revision>
  <dcterms:created xsi:type="dcterms:W3CDTF">2025-10-16T15:46:00Z</dcterms:created>
  <dcterms:modified xsi:type="dcterms:W3CDTF">2025-11-25T11:57:00Z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extras/RJreferences.bib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itation-abbreviations">
    <vt:lpwstr>extras/abbreviations.json</vt:lpwstr>
  </property>
  <property fmtid="{D5CDD505-2E9C-101B-9397-08002B2CF9AE}" pid="12" name="codeBlockCaptions">
    <vt:lpwstr>False</vt:lpwstr>
  </property>
  <property fmtid="{D5CDD505-2E9C-101B-9397-08002B2CF9AE}" pid="13" name="cref">
    <vt:lpwstr>False</vt:lpwstr>
  </property>
  <property fmtid="{D5CDD505-2E9C-101B-9397-08002B2CF9AE}" pid="14" name="crossrefYaml">
    <vt:lpwstr>pandoc-crossref.yaml</vt:lpwstr>
  </property>
  <property fmtid="{D5CDD505-2E9C-101B-9397-08002B2CF9AE}" pid="15" name="csl">
    <vt:lpwstr>extras/sleep.csl</vt:lpwstr>
  </property>
  <property fmtid="{D5CDD505-2E9C-101B-9397-08002B2CF9AE}" pid="16" name="date">
    <vt:lpwstr/>
  </property>
  <property fmtid="{D5CDD505-2E9C-101B-9397-08002B2CF9AE}" pid="17" name="eqLabels">
    <vt:lpwstr>arabic</vt:lpwstr>
  </property>
  <property fmtid="{D5CDD505-2E9C-101B-9397-08002B2CF9AE}" pid="18" name="eqnBlockInlineMath">
    <vt:lpwstr>False</vt:lpwstr>
  </property>
  <property fmtid="{D5CDD505-2E9C-101B-9397-08002B2CF9AE}" pid="19" name="eqnBlockTemplate">
    <vt:lpwstr>ti</vt:lpwstr>
  </property>
  <property fmtid="{D5CDD505-2E9C-101B-9397-08002B2CF9AE}" pid="20" name="eqnDisplayTemplate">
    <vt:lpwstr>e</vt:lpwstr>
  </property>
  <property fmtid="{D5CDD505-2E9C-101B-9397-08002B2CF9AE}" pid="21" name="eqnIndexTemplate">
    <vt:lpwstr>(i)</vt:lpwstr>
  </property>
  <property fmtid="{D5CDD505-2E9C-101B-9397-08002B2CF9AE}" pid="22" name="eqnInlineTableTemplate">
    <vt:lpwstr>e</vt:lpwstr>
  </property>
  <property fmtid="{D5CDD505-2E9C-101B-9397-08002B2CF9AE}" pid="23" name="eqnInlineTemplate">
    <vt:lpwstr>eequationNumberTeX{i}</vt:lpwstr>
  </property>
  <property fmtid="{D5CDD505-2E9C-101B-9397-08002B2CF9AE}" pid="24" name="eqnPrefix">
    <vt:lpwstr/>
  </property>
  <property fmtid="{D5CDD505-2E9C-101B-9397-08002B2CF9AE}" pid="25" name="eqnPrefixTemplate">
    <vt:lpwstr>p i</vt:lpwstr>
  </property>
  <property fmtid="{D5CDD505-2E9C-101B-9397-08002B2CF9AE}" pid="26" name="equationNumberTeX">
    <vt:lpwstr>\qquad</vt:lpwstr>
  </property>
  <property fmtid="{D5CDD505-2E9C-101B-9397-08002B2CF9AE}" pid="27" name="figLabels">
    <vt:lpwstr>arabic</vt:lpwstr>
  </property>
  <property fmtid="{D5CDD505-2E9C-101B-9397-08002B2CF9AE}" pid="28" name="figPrefix">
    <vt:lpwstr/>
  </property>
  <property fmtid="{D5CDD505-2E9C-101B-9397-08002B2CF9AE}" pid="29" name="figPrefixTemplate">
    <vt:lpwstr>p i</vt:lpwstr>
  </property>
  <property fmtid="{D5CDD505-2E9C-101B-9397-08002B2CF9AE}" pid="30" name="figureTemplate">
    <vt:lpwstr>figureTitle ititleDelim t</vt:lpwstr>
  </property>
  <property fmtid="{D5CDD505-2E9C-101B-9397-08002B2CF9AE}" pid="31" name="figureTitle">
    <vt:lpwstr>Figure</vt:lpwstr>
  </property>
  <property fmtid="{D5CDD505-2E9C-101B-9397-08002B2CF9AE}" pid="32" name="lastDelim">
    <vt:lpwstr>, </vt:lpwstr>
  </property>
  <property fmtid="{D5CDD505-2E9C-101B-9397-08002B2CF9AE}" pid="33" name="linkReferences">
    <vt:lpwstr>False</vt:lpwstr>
  </property>
  <property fmtid="{D5CDD505-2E9C-101B-9397-08002B2CF9AE}" pid="34" name="listItemTitleDelim">
    <vt:lpwstr>.</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umberSections">
    <vt:lpwstr>False</vt:lpwstr>
  </property>
  <property fmtid="{D5CDD505-2E9C-101B-9397-08002B2CF9AE}" pid="52" name="output">
    <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p 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subtitle">
    <vt:lpwstr/>
  </property>
  <property fmtid="{D5CDD505-2E9C-101B-9397-08002B2CF9AE}" pid="69" name="tableEqns">
    <vt:lpwstr>False</vt:lpwstr>
  </property>
  <property fmtid="{D5CDD505-2E9C-101B-9397-08002B2CF9AE}" pid="70" name="tableTemplate">
    <vt:lpwstr>tableTitle ititleDelim t</vt:lpwstr>
  </property>
  <property fmtid="{D5CDD505-2E9C-101B-9397-08002B2CF9AE}" pid="71" name="tableTitle">
    <vt:lpwstr>Table</vt:lpwstr>
  </property>
  <property fmtid="{D5CDD505-2E9C-101B-9397-08002B2CF9AE}" pid="72" name="tblLabels">
    <vt:lpwstr>arabic</vt:lpwstr>
  </property>
  <property fmtid="{D5CDD505-2E9C-101B-9397-08002B2CF9AE}" pid="73" name="tblPrefix">
    <vt:lpwstr/>
  </property>
  <property fmtid="{D5CDD505-2E9C-101B-9397-08002B2CF9AE}" pid="74" name="tblPrefixTemplate">
    <vt:lpwstr>p i</vt:lpwstr>
  </property>
  <property fmtid="{D5CDD505-2E9C-101B-9397-08002B2CF9AE}" pid="75" name="titleDelim">
    <vt:lpwstr>:</vt:lpwstr>
  </property>
  <property fmtid="{D5CDD505-2E9C-101B-9397-08002B2CF9AE}" pid="76" name="toc">
    <vt:lpwstr>False</vt:lpwstr>
  </property>
</Properties>
</file>