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B2F55" w14:textId="77777777" w:rsidR="00AA6B28" w:rsidRPr="007658E9" w:rsidRDefault="00AA6B28" w:rsidP="00AA6B28">
      <w:pPr>
        <w:keepNext/>
        <w:spacing w:before="160" w:after="80" w:line="240" w:lineRule="auto"/>
      </w:pPr>
      <w:r w:rsidRPr="007658E9">
        <w:rPr>
          <w:rFonts w:ascii="Arial" w:hAnsi="Arial"/>
          <w:b/>
          <w:sz w:val="24"/>
        </w:rPr>
        <w:t>Appendix A. Core evidence map</w:t>
      </w:r>
    </w:p>
    <w:p w14:paraId="7EA399C1" w14:textId="77777777" w:rsidR="00AA6B28" w:rsidRPr="007658E9" w:rsidRDefault="00AA6B28" w:rsidP="00AA6B28">
      <w:pPr>
        <w:spacing w:after="60" w:line="240" w:lineRule="auto"/>
      </w:pPr>
      <w:r w:rsidRPr="007658E9">
        <w:rPr>
          <w:rFonts w:ascii="Arial" w:hAnsi="Arial"/>
        </w:rPr>
        <w:t>The table records what each publication can support. It does not assign a formal quality score, because the designs answer different questions. Limitations are kept visible in the synthesis.</w:t>
      </w:r>
    </w:p>
    <w:tbl>
      <w:tblPr>
        <w:tblW w:w="9681" w:type="dxa"/>
        <w:jc w:val="center"/>
        <w:tblLook w:val="04A0" w:firstRow="1" w:lastRow="0" w:firstColumn="1" w:lastColumn="0" w:noHBand="0" w:noVBand="1"/>
      </w:tblPr>
      <w:tblGrid>
        <w:gridCol w:w="1451"/>
        <w:gridCol w:w="1809"/>
        <w:gridCol w:w="1978"/>
        <w:gridCol w:w="1698"/>
        <w:gridCol w:w="2745"/>
      </w:tblGrid>
      <w:tr w:rsidR="00AA6B28" w:rsidRPr="007658E9" w14:paraId="6EABF18D" w14:textId="77777777" w:rsidTr="00B812E8">
        <w:trPr>
          <w:trHeight w:val="336"/>
          <w:jc w:val="center"/>
        </w:trPr>
        <w:tc>
          <w:tcPr>
            <w:tcW w:w="14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54E850F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color w:val="074F6A" w:themeColor="accent4" w:themeShade="80"/>
                <w:sz w:val="20"/>
                <w:szCs w:val="20"/>
              </w:rPr>
            </w:pPr>
            <w:r w:rsidRPr="007658E9">
              <w:rPr>
                <w:rFonts w:ascii="Arial" w:hAnsi="Arial" w:cs="Arial"/>
                <w:b/>
                <w:color w:val="074F6A" w:themeColor="accent4" w:themeShade="80"/>
                <w:sz w:val="18"/>
                <w:szCs w:val="20"/>
              </w:rPr>
              <w:t>Publication</w:t>
            </w:r>
          </w:p>
        </w:tc>
        <w:tc>
          <w:tcPr>
            <w:tcW w:w="1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0538BB6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color w:val="074F6A" w:themeColor="accent4" w:themeShade="80"/>
                <w:sz w:val="20"/>
                <w:szCs w:val="20"/>
              </w:rPr>
            </w:pPr>
            <w:r w:rsidRPr="007658E9">
              <w:rPr>
                <w:rFonts w:ascii="Arial" w:hAnsi="Arial" w:cs="Arial"/>
                <w:b/>
                <w:color w:val="074F6A" w:themeColor="accent4" w:themeShade="80"/>
                <w:sz w:val="18"/>
                <w:szCs w:val="20"/>
              </w:rPr>
              <w:t>Country and site</w:t>
            </w:r>
          </w:p>
        </w:tc>
        <w:tc>
          <w:tcPr>
            <w:tcW w:w="19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02370DF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color w:val="074F6A" w:themeColor="accent4" w:themeShade="80"/>
                <w:sz w:val="20"/>
                <w:szCs w:val="20"/>
              </w:rPr>
            </w:pPr>
            <w:r w:rsidRPr="007658E9">
              <w:rPr>
                <w:rFonts w:ascii="Arial" w:hAnsi="Arial" w:cs="Arial"/>
                <w:b/>
                <w:color w:val="074F6A" w:themeColor="accent4" w:themeShade="80"/>
                <w:sz w:val="18"/>
                <w:szCs w:val="20"/>
              </w:rPr>
              <w:t>Population</w:t>
            </w:r>
          </w:p>
        </w:tc>
        <w:tc>
          <w:tcPr>
            <w:tcW w:w="16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AAE1E37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color w:val="074F6A" w:themeColor="accent4" w:themeShade="80"/>
                <w:sz w:val="20"/>
                <w:szCs w:val="20"/>
              </w:rPr>
            </w:pPr>
            <w:r w:rsidRPr="007658E9">
              <w:rPr>
                <w:rFonts w:ascii="Arial" w:hAnsi="Arial" w:cs="Arial"/>
                <w:b/>
                <w:color w:val="074F6A" w:themeColor="accent4" w:themeShade="80"/>
                <w:sz w:val="18"/>
                <w:szCs w:val="20"/>
              </w:rPr>
              <w:t>Design</w:t>
            </w:r>
          </w:p>
        </w:tc>
        <w:tc>
          <w:tcPr>
            <w:tcW w:w="27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4C9D98E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color w:val="074F6A" w:themeColor="accent4" w:themeShade="80"/>
                <w:sz w:val="20"/>
                <w:szCs w:val="20"/>
              </w:rPr>
            </w:pPr>
            <w:r w:rsidRPr="007658E9">
              <w:rPr>
                <w:rFonts w:ascii="Arial" w:hAnsi="Arial" w:cs="Arial"/>
                <w:b/>
                <w:color w:val="074F6A" w:themeColor="accent4" w:themeShade="80"/>
                <w:sz w:val="18"/>
                <w:szCs w:val="20"/>
              </w:rPr>
              <w:t>Contribution and boundary</w:t>
            </w:r>
          </w:p>
        </w:tc>
      </w:tr>
      <w:tr w:rsidR="00AA6B28" w:rsidRPr="007658E9" w14:paraId="5BD3B638" w14:textId="77777777" w:rsidTr="00B812E8">
        <w:trPr>
          <w:trHeight w:val="1175"/>
          <w:jc w:val="center"/>
        </w:trPr>
        <w:tc>
          <w:tcPr>
            <w:tcW w:w="14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55EADAD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Bruner (1996)</w:t>
            </w:r>
          </w:p>
        </w:tc>
        <w:tc>
          <w:tcPr>
            <w:tcW w:w="1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C399EA4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Ghana: Cape Coast and Elmina Castles</w:t>
            </w:r>
          </w:p>
        </w:tc>
        <w:tc>
          <w:tcPr>
            <w:tcW w:w="19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987B66C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Diaspora visitors and heritage actors</w:t>
            </w:r>
          </w:p>
        </w:tc>
        <w:tc>
          <w:tcPr>
            <w:tcW w:w="16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66E1398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Ethnography and interpretive analysis</w:t>
            </w:r>
          </w:p>
        </w:tc>
        <w:tc>
          <w:tcPr>
            <w:tcW w:w="27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7F27732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 xml:space="preserve">Return, identity and representation; emotions are </w:t>
            </w:r>
            <w:proofErr w:type="gramStart"/>
            <w:r w:rsidRPr="007658E9">
              <w:rPr>
                <w:rFonts w:ascii="Arial" w:hAnsi="Arial" w:cs="Arial"/>
                <w:sz w:val="18"/>
                <w:szCs w:val="20"/>
              </w:rPr>
              <w:t>central</w:t>
            </w:r>
            <w:proofErr w:type="gramEnd"/>
            <w:r w:rsidRPr="007658E9">
              <w:rPr>
                <w:rFonts w:ascii="Arial" w:hAnsi="Arial" w:cs="Arial"/>
                <w:sz w:val="18"/>
                <w:szCs w:val="20"/>
              </w:rPr>
              <w:t xml:space="preserve"> but wellbeing is not measured.</w:t>
            </w:r>
          </w:p>
        </w:tc>
      </w:tr>
      <w:tr w:rsidR="00AA6B28" w:rsidRPr="007658E9" w14:paraId="2E8AFBF0" w14:textId="77777777" w:rsidTr="00B812E8">
        <w:trPr>
          <w:trHeight w:val="1346"/>
          <w:jc w:val="center"/>
        </w:trPr>
        <w:tc>
          <w:tcPr>
            <w:tcW w:w="14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4026240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Bellagamba (2009)</w:t>
            </w:r>
          </w:p>
        </w:tc>
        <w:tc>
          <w:tcPr>
            <w:tcW w:w="1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A801E45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 xml:space="preserve">The Gambia: River Gambia, </w:t>
            </w:r>
            <w:proofErr w:type="spellStart"/>
            <w:r w:rsidRPr="007658E9">
              <w:rPr>
                <w:rFonts w:ascii="Arial" w:hAnsi="Arial" w:cs="Arial"/>
                <w:sz w:val="18"/>
                <w:szCs w:val="20"/>
              </w:rPr>
              <w:t>Juffureh</w:t>
            </w:r>
            <w:proofErr w:type="spellEnd"/>
            <w:r w:rsidRPr="007658E9">
              <w:rPr>
                <w:rFonts w:ascii="Arial" w:hAnsi="Arial" w:cs="Arial"/>
                <w:sz w:val="18"/>
                <w:szCs w:val="20"/>
              </w:rPr>
              <w:t xml:space="preserve"> and related sites</w:t>
            </w:r>
          </w:p>
        </w:tc>
        <w:tc>
          <w:tcPr>
            <w:tcW w:w="19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01621EC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African American visitors and local hosts</w:t>
            </w:r>
          </w:p>
        </w:tc>
        <w:tc>
          <w:tcPr>
            <w:tcW w:w="16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C2020F1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Ethnographic observation</w:t>
            </w:r>
          </w:p>
        </w:tc>
        <w:tc>
          <w:tcPr>
            <w:tcW w:w="27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79C9EF5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Roots visits can produce intense emotion and belonging, shaped by public memory and host–visitor relations.</w:t>
            </w:r>
          </w:p>
        </w:tc>
      </w:tr>
      <w:tr w:rsidR="00AA6B28" w:rsidRPr="007658E9" w14:paraId="2FAFADD8" w14:textId="77777777" w:rsidTr="00B812E8">
        <w:trPr>
          <w:trHeight w:val="1180"/>
          <w:jc w:val="center"/>
        </w:trPr>
        <w:tc>
          <w:tcPr>
            <w:tcW w:w="14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4F00559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Benton &amp; Zulu Shabazz (2009)</w:t>
            </w:r>
          </w:p>
        </w:tc>
        <w:tc>
          <w:tcPr>
            <w:tcW w:w="1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709F509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Ghana and Sierra Leone: roots-tourism settings</w:t>
            </w:r>
          </w:p>
        </w:tc>
        <w:tc>
          <w:tcPr>
            <w:tcW w:w="19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40A1B9B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African American visitors and local actors</w:t>
            </w:r>
          </w:p>
        </w:tc>
        <w:tc>
          <w:tcPr>
            <w:tcW w:w="16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2D1F222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Comparative ethnography</w:t>
            </w:r>
          </w:p>
        </w:tc>
        <w:tc>
          <w:tcPr>
            <w:tcW w:w="27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B42E09C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Pilgrimage, citizenship and identity are negotiated; connection is not uniform or uncomplicated.</w:t>
            </w:r>
          </w:p>
        </w:tc>
      </w:tr>
      <w:tr w:rsidR="00AA6B28" w:rsidRPr="007658E9" w14:paraId="74ED3352" w14:textId="77777777" w:rsidTr="00B812E8">
        <w:trPr>
          <w:trHeight w:val="1009"/>
          <w:jc w:val="center"/>
        </w:trPr>
        <w:tc>
          <w:tcPr>
            <w:tcW w:w="14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1AD03E6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8E9">
              <w:rPr>
                <w:rFonts w:ascii="Arial" w:hAnsi="Arial" w:cs="Arial"/>
                <w:sz w:val="18"/>
                <w:szCs w:val="20"/>
              </w:rPr>
              <w:t>Yankholmes</w:t>
            </w:r>
            <w:proofErr w:type="spellEnd"/>
            <w:r w:rsidRPr="007658E9">
              <w:rPr>
                <w:rFonts w:ascii="Arial" w:hAnsi="Arial" w:cs="Arial"/>
                <w:sz w:val="18"/>
                <w:szCs w:val="20"/>
              </w:rPr>
              <w:t>, Akyeampong &amp; Dei (2009)</w:t>
            </w:r>
          </w:p>
        </w:tc>
        <w:tc>
          <w:tcPr>
            <w:tcW w:w="1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57B4C85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Ghana: Danish-Osu</w:t>
            </w:r>
          </w:p>
        </w:tc>
        <w:tc>
          <w:tcPr>
            <w:tcW w:w="19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6336C7A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Residents</w:t>
            </w:r>
          </w:p>
        </w:tc>
        <w:tc>
          <w:tcPr>
            <w:tcW w:w="16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DD54CDA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Questionnaire plus qualitative work</w:t>
            </w:r>
          </w:p>
        </w:tc>
        <w:tc>
          <w:tcPr>
            <w:tcW w:w="27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AF21A71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Residents’ views of slave-trade attractions; companion evidence to the 2010 publication.</w:t>
            </w:r>
          </w:p>
        </w:tc>
      </w:tr>
      <w:tr w:rsidR="00AA6B28" w:rsidRPr="007658E9" w14:paraId="16BC1048" w14:textId="77777777" w:rsidTr="00B812E8">
        <w:trPr>
          <w:trHeight w:val="1009"/>
          <w:jc w:val="center"/>
        </w:trPr>
        <w:tc>
          <w:tcPr>
            <w:tcW w:w="14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AD6BB90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8E9">
              <w:rPr>
                <w:rFonts w:ascii="Arial" w:hAnsi="Arial" w:cs="Arial"/>
                <w:sz w:val="18"/>
                <w:szCs w:val="20"/>
              </w:rPr>
              <w:t>Yankholmes</w:t>
            </w:r>
            <w:proofErr w:type="spellEnd"/>
            <w:r w:rsidRPr="007658E9">
              <w:rPr>
                <w:rFonts w:ascii="Arial" w:hAnsi="Arial" w:cs="Arial"/>
                <w:sz w:val="18"/>
                <w:szCs w:val="20"/>
              </w:rPr>
              <w:t>, Boakye &amp; Wellington (2010)</w:t>
            </w:r>
          </w:p>
        </w:tc>
        <w:tc>
          <w:tcPr>
            <w:tcW w:w="1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AE65702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Ghana: Danish-Osu</w:t>
            </w:r>
          </w:p>
        </w:tc>
        <w:tc>
          <w:tcPr>
            <w:tcW w:w="19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1A4BD71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200 residents across six communities</w:t>
            </w:r>
          </w:p>
        </w:tc>
        <w:tc>
          <w:tcPr>
            <w:tcW w:w="16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8049077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Questionnaires, interviews and focus groups</w:t>
            </w:r>
          </w:p>
        </w:tc>
        <w:tc>
          <w:tcPr>
            <w:tcW w:w="27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226D4BC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Knowledge, comfort with the area and support for heritage use; overlaps with the 2009 dataset.</w:t>
            </w:r>
          </w:p>
        </w:tc>
      </w:tr>
      <w:tr w:rsidR="00AA6B28" w:rsidRPr="007658E9" w14:paraId="41410254" w14:textId="77777777" w:rsidTr="00B812E8">
        <w:trPr>
          <w:trHeight w:val="1009"/>
          <w:jc w:val="center"/>
        </w:trPr>
        <w:tc>
          <w:tcPr>
            <w:tcW w:w="14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7C967C8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Mowatt &amp; Chancellor (2011)</w:t>
            </w:r>
          </w:p>
        </w:tc>
        <w:tc>
          <w:tcPr>
            <w:tcW w:w="1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49F4464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Ghana: Cape Coast Castle</w:t>
            </w:r>
          </w:p>
        </w:tc>
        <w:tc>
          <w:tcPr>
            <w:tcW w:w="19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D0F76E9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14 travellers interviewed before and after travel</w:t>
            </w:r>
          </w:p>
        </w:tc>
        <w:tc>
          <w:tcPr>
            <w:tcW w:w="16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551A688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Interviews, photographs and narrative analysis</w:t>
            </w:r>
          </w:p>
        </w:tc>
        <w:tc>
          <w:tcPr>
            <w:tcW w:w="27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86E79BB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 xml:space="preserve">The visit connected death, life, identity and memory; small and </w:t>
            </w:r>
            <w:proofErr w:type="gramStart"/>
            <w:r w:rsidRPr="007658E9">
              <w:rPr>
                <w:rFonts w:ascii="Arial" w:hAnsi="Arial" w:cs="Arial"/>
                <w:sz w:val="18"/>
                <w:szCs w:val="20"/>
              </w:rPr>
              <w:t>visitor-focused</w:t>
            </w:r>
            <w:proofErr w:type="gramEnd"/>
            <w:r w:rsidRPr="007658E9">
              <w:rPr>
                <w:rFonts w:ascii="Arial" w:hAnsi="Arial" w:cs="Arial"/>
                <w:sz w:val="18"/>
                <w:szCs w:val="20"/>
              </w:rPr>
              <w:t>.</w:t>
            </w:r>
          </w:p>
        </w:tc>
      </w:tr>
      <w:tr w:rsidR="00AA6B28" w:rsidRPr="007658E9" w14:paraId="19745AB2" w14:textId="77777777" w:rsidTr="00B812E8">
        <w:trPr>
          <w:trHeight w:val="838"/>
          <w:jc w:val="center"/>
        </w:trPr>
        <w:tc>
          <w:tcPr>
            <w:tcW w:w="14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603330B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Mensah (2015)</w:t>
            </w:r>
          </w:p>
        </w:tc>
        <w:tc>
          <w:tcPr>
            <w:tcW w:w="1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3CA27BA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Ghana: Cape Coast and Elmina Castles</w:t>
            </w:r>
          </w:p>
        </w:tc>
        <w:tc>
          <w:tcPr>
            <w:tcW w:w="19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D62F8CB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264 African-diaspora visitors</w:t>
            </w:r>
          </w:p>
        </w:tc>
        <w:tc>
          <w:tcPr>
            <w:tcW w:w="16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8EF3EB7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Cross-sectional questionnaire and factor analysis</w:t>
            </w:r>
          </w:p>
        </w:tc>
        <w:tc>
          <w:tcPr>
            <w:tcW w:w="27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D45CA73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Emotion was one of four experience dimensions; it was not a wellbeing scale.</w:t>
            </w:r>
          </w:p>
        </w:tc>
      </w:tr>
      <w:tr w:rsidR="00AA6B28" w:rsidRPr="007658E9" w14:paraId="412F5B0E" w14:textId="77777777" w:rsidTr="00B812E8">
        <w:trPr>
          <w:trHeight w:val="1009"/>
          <w:jc w:val="center"/>
        </w:trPr>
        <w:tc>
          <w:tcPr>
            <w:tcW w:w="14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FC82BFE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8E9">
              <w:rPr>
                <w:rFonts w:ascii="Arial" w:hAnsi="Arial" w:cs="Arial"/>
                <w:sz w:val="18"/>
                <w:szCs w:val="20"/>
              </w:rPr>
              <w:t>Yankholmes</w:t>
            </w:r>
            <w:proofErr w:type="spellEnd"/>
            <w:r w:rsidRPr="007658E9">
              <w:rPr>
                <w:rFonts w:ascii="Arial" w:hAnsi="Arial" w:cs="Arial"/>
                <w:sz w:val="18"/>
                <w:szCs w:val="20"/>
              </w:rPr>
              <w:t xml:space="preserve"> &amp; McKercher (2015)</w:t>
            </w:r>
          </w:p>
        </w:tc>
        <w:tc>
          <w:tcPr>
            <w:tcW w:w="1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D4C7422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Ghana: slavery-heritage sites</w:t>
            </w:r>
          </w:p>
        </w:tc>
        <w:tc>
          <w:tcPr>
            <w:tcW w:w="19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910136B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550 visitors</w:t>
            </w:r>
          </w:p>
        </w:tc>
        <w:tc>
          <w:tcPr>
            <w:tcW w:w="16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8C5CC42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Cross-sectional survey and segmentation</w:t>
            </w:r>
          </w:p>
        </w:tc>
        <w:tc>
          <w:tcPr>
            <w:tcW w:w="27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739D865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Visitor groups differed in connection to slavery, motive and experience intensity.</w:t>
            </w:r>
          </w:p>
        </w:tc>
      </w:tr>
      <w:tr w:rsidR="00AA6B28" w:rsidRPr="007658E9" w14:paraId="0B3CB504" w14:textId="77777777" w:rsidTr="00B812E8">
        <w:trPr>
          <w:trHeight w:val="1180"/>
          <w:jc w:val="center"/>
        </w:trPr>
        <w:tc>
          <w:tcPr>
            <w:tcW w:w="14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0C5030C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Woosnam et al. (2018)</w:t>
            </w:r>
          </w:p>
        </w:tc>
        <w:tc>
          <w:tcPr>
            <w:tcW w:w="1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12D0D5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Nigeria: Osun-Osogbo Sacred Grove</w:t>
            </w:r>
          </w:p>
        </w:tc>
        <w:tc>
          <w:tcPr>
            <w:tcW w:w="19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9E23D51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469 residents and 461 tourists</w:t>
            </w:r>
          </w:p>
        </w:tc>
        <w:tc>
          <w:tcPr>
            <w:tcW w:w="16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7572045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Cross-sectional survey</w:t>
            </w:r>
          </w:p>
        </w:tc>
        <w:tc>
          <w:tcPr>
            <w:tcW w:w="27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47DDAB9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Tourists scored higher on attachment items; visit frequency and emotional closeness mattered.</w:t>
            </w:r>
          </w:p>
        </w:tc>
      </w:tr>
      <w:tr w:rsidR="00AA6B28" w:rsidRPr="007658E9" w14:paraId="30BF655D" w14:textId="77777777" w:rsidTr="00B812E8">
        <w:trPr>
          <w:trHeight w:val="1346"/>
          <w:jc w:val="center"/>
        </w:trPr>
        <w:tc>
          <w:tcPr>
            <w:tcW w:w="14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2F90AB5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 xml:space="preserve">Prayag, </w:t>
            </w:r>
            <w:proofErr w:type="spellStart"/>
            <w:r w:rsidRPr="007658E9">
              <w:rPr>
                <w:rFonts w:ascii="Arial" w:hAnsi="Arial" w:cs="Arial"/>
                <w:sz w:val="18"/>
                <w:szCs w:val="20"/>
              </w:rPr>
              <w:t>Suntikul</w:t>
            </w:r>
            <w:proofErr w:type="spellEnd"/>
            <w:r w:rsidRPr="007658E9">
              <w:rPr>
                <w:rFonts w:ascii="Arial" w:hAnsi="Arial" w:cs="Arial"/>
                <w:sz w:val="18"/>
                <w:szCs w:val="20"/>
              </w:rPr>
              <w:t xml:space="preserve"> &amp; </w:t>
            </w:r>
            <w:proofErr w:type="spellStart"/>
            <w:r w:rsidRPr="007658E9">
              <w:rPr>
                <w:rFonts w:ascii="Arial" w:hAnsi="Arial" w:cs="Arial"/>
                <w:sz w:val="18"/>
                <w:szCs w:val="20"/>
              </w:rPr>
              <w:t>Agyeiwaah</w:t>
            </w:r>
            <w:proofErr w:type="spellEnd"/>
            <w:r w:rsidRPr="007658E9">
              <w:rPr>
                <w:rFonts w:ascii="Arial" w:hAnsi="Arial" w:cs="Arial"/>
                <w:sz w:val="18"/>
                <w:szCs w:val="20"/>
              </w:rPr>
              <w:t xml:space="preserve"> (2018)</w:t>
            </w:r>
          </w:p>
        </w:tc>
        <w:tc>
          <w:tcPr>
            <w:tcW w:w="1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71C9AB2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Ghana: Elmina Castle</w:t>
            </w:r>
          </w:p>
        </w:tc>
        <w:tc>
          <w:tcPr>
            <w:tcW w:w="19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F676971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414 domestic tourists</w:t>
            </w:r>
          </w:p>
        </w:tc>
        <w:tc>
          <w:tcPr>
            <w:tcW w:w="16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D44F887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Survey and partial least-squares modelling</w:t>
            </w:r>
          </w:p>
        </w:tc>
        <w:tc>
          <w:tcPr>
            <w:tcW w:w="27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9FF4322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Place attachment was linked with motives, perceived impacts and satisfaction; cross-sectional associations only.</w:t>
            </w:r>
          </w:p>
        </w:tc>
      </w:tr>
      <w:tr w:rsidR="00AA6B28" w:rsidRPr="007658E9" w14:paraId="32E83842" w14:textId="77777777" w:rsidTr="00B812E8">
        <w:trPr>
          <w:trHeight w:val="1346"/>
          <w:jc w:val="center"/>
        </w:trPr>
        <w:tc>
          <w:tcPr>
            <w:tcW w:w="14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9A07DD9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lastRenderedPageBreak/>
              <w:t xml:space="preserve">Boateng, </w:t>
            </w:r>
            <w:proofErr w:type="spellStart"/>
            <w:r w:rsidRPr="007658E9">
              <w:rPr>
                <w:rFonts w:ascii="Arial" w:hAnsi="Arial" w:cs="Arial"/>
                <w:sz w:val="18"/>
                <w:szCs w:val="20"/>
              </w:rPr>
              <w:t>Okoe</w:t>
            </w:r>
            <w:proofErr w:type="spellEnd"/>
            <w:r w:rsidRPr="007658E9">
              <w:rPr>
                <w:rFonts w:ascii="Arial" w:hAnsi="Arial" w:cs="Arial"/>
                <w:sz w:val="18"/>
                <w:szCs w:val="20"/>
              </w:rPr>
              <w:t xml:space="preserve"> &amp; Hinson (2018)</w:t>
            </w:r>
          </w:p>
        </w:tc>
        <w:tc>
          <w:tcPr>
            <w:tcW w:w="1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D08B83C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Ghana: Cape Coast Castle</w:t>
            </w:r>
          </w:p>
        </w:tc>
        <w:tc>
          <w:tcPr>
            <w:tcW w:w="19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290BDCC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436 public TripAdvisor reviews</w:t>
            </w:r>
          </w:p>
        </w:tc>
        <w:tc>
          <w:tcPr>
            <w:tcW w:w="16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5CE1971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Phenomenological thematic analysis</w:t>
            </w:r>
          </w:p>
        </w:tc>
        <w:tc>
          <w:tcPr>
            <w:tcW w:w="27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EB2F830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Anxiety, sorrow and horror appeared alongside excitement and identity; reviewers were self-selecting.</w:t>
            </w:r>
          </w:p>
        </w:tc>
      </w:tr>
      <w:tr w:rsidR="00AA6B28" w:rsidRPr="007658E9" w14:paraId="139610A2" w14:textId="77777777" w:rsidTr="00B812E8">
        <w:trPr>
          <w:trHeight w:val="1346"/>
          <w:jc w:val="center"/>
        </w:trPr>
        <w:tc>
          <w:tcPr>
            <w:tcW w:w="14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1C30855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Mourre (2020)</w:t>
            </w:r>
          </w:p>
        </w:tc>
        <w:tc>
          <w:tcPr>
            <w:tcW w:w="1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2235BE1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 xml:space="preserve">Senegal: House of Slaves, </w:t>
            </w:r>
            <w:proofErr w:type="spellStart"/>
            <w:r w:rsidRPr="007658E9">
              <w:rPr>
                <w:rFonts w:ascii="Arial" w:hAnsi="Arial" w:cs="Arial"/>
                <w:sz w:val="18"/>
                <w:szCs w:val="20"/>
              </w:rPr>
              <w:t>Gorée</w:t>
            </w:r>
            <w:proofErr w:type="spellEnd"/>
          </w:p>
        </w:tc>
        <w:tc>
          <w:tcPr>
            <w:tcW w:w="19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18886A8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Visitors, guides and site practices</w:t>
            </w:r>
          </w:p>
        </w:tc>
        <w:tc>
          <w:tcPr>
            <w:tcW w:w="16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DA28C31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Ethnographic observation and interpretive analysis</w:t>
            </w:r>
          </w:p>
        </w:tc>
        <w:tc>
          <w:tcPr>
            <w:tcW w:w="27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FE8DDE9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Architecture, staging and narration organise emotional experience; no wellbeing outcome.</w:t>
            </w:r>
          </w:p>
        </w:tc>
      </w:tr>
      <w:tr w:rsidR="00AA6B28" w:rsidRPr="007658E9" w14:paraId="068EF00C" w14:textId="77777777" w:rsidTr="00B812E8">
        <w:trPr>
          <w:trHeight w:val="1175"/>
          <w:jc w:val="center"/>
        </w:trPr>
        <w:tc>
          <w:tcPr>
            <w:tcW w:w="14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F08DA49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 xml:space="preserve">Eshun &amp; </w:t>
            </w:r>
            <w:proofErr w:type="spellStart"/>
            <w:r w:rsidRPr="007658E9">
              <w:rPr>
                <w:rFonts w:ascii="Arial" w:hAnsi="Arial" w:cs="Arial"/>
                <w:sz w:val="18"/>
                <w:szCs w:val="20"/>
              </w:rPr>
              <w:t>Gedzi</w:t>
            </w:r>
            <w:proofErr w:type="spellEnd"/>
            <w:r w:rsidRPr="007658E9">
              <w:rPr>
                <w:rFonts w:ascii="Arial" w:hAnsi="Arial" w:cs="Arial"/>
                <w:sz w:val="18"/>
                <w:szCs w:val="20"/>
              </w:rPr>
              <w:t xml:space="preserve"> (2020)</w:t>
            </w:r>
          </w:p>
        </w:tc>
        <w:tc>
          <w:tcPr>
            <w:tcW w:w="1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1AB0EA5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Ghana: Cape Coast Castle</w:t>
            </w:r>
          </w:p>
        </w:tc>
        <w:tc>
          <w:tcPr>
            <w:tcW w:w="19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A5D879C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45 visitors and five staff</w:t>
            </w:r>
          </w:p>
        </w:tc>
        <w:tc>
          <w:tcPr>
            <w:tcW w:w="16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1286A4E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Observation, interviews and poetic analysis</w:t>
            </w:r>
          </w:p>
        </w:tc>
        <w:tc>
          <w:tcPr>
            <w:tcW w:w="27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682E4C4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Distress, bonding, transcendence and resistance varied by social position and racialised history.</w:t>
            </w:r>
          </w:p>
        </w:tc>
      </w:tr>
      <w:tr w:rsidR="00AA6B28" w:rsidRPr="007658E9" w14:paraId="04BCCE0D" w14:textId="77777777" w:rsidTr="00B812E8">
        <w:trPr>
          <w:trHeight w:val="1009"/>
          <w:jc w:val="center"/>
        </w:trPr>
        <w:tc>
          <w:tcPr>
            <w:tcW w:w="14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49BC2B8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8E9">
              <w:rPr>
                <w:rFonts w:ascii="Arial" w:hAnsi="Arial" w:cs="Arial"/>
                <w:sz w:val="18"/>
                <w:szCs w:val="20"/>
              </w:rPr>
              <w:t>Massally</w:t>
            </w:r>
            <w:proofErr w:type="spellEnd"/>
            <w:r w:rsidRPr="007658E9">
              <w:rPr>
                <w:rFonts w:ascii="Arial" w:hAnsi="Arial" w:cs="Arial"/>
                <w:sz w:val="18"/>
                <w:szCs w:val="20"/>
              </w:rPr>
              <w:t xml:space="preserve"> et al. (2021)</w:t>
            </w:r>
          </w:p>
        </w:tc>
        <w:tc>
          <w:tcPr>
            <w:tcW w:w="1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689D5D3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Sierra Leone: Bunce Island and Gullah Geechee itinerary</w:t>
            </w:r>
          </w:p>
        </w:tc>
        <w:tc>
          <w:tcPr>
            <w:tcW w:w="19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0DCD659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22 respondents from a 54-person post-trip sample</w:t>
            </w:r>
          </w:p>
        </w:tc>
        <w:tc>
          <w:tcPr>
            <w:tcW w:w="16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317CDE1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Online questionnaire; closed and open responses</w:t>
            </w:r>
          </w:p>
        </w:tc>
        <w:tc>
          <w:tcPr>
            <w:tcW w:w="27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341F766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Emotional and spiritual connection appeared within a tourism-satisfaction study.</w:t>
            </w:r>
          </w:p>
        </w:tc>
      </w:tr>
      <w:tr w:rsidR="00AA6B28" w:rsidRPr="007658E9" w14:paraId="693CDAD6" w14:textId="77777777" w:rsidTr="00B812E8">
        <w:trPr>
          <w:trHeight w:val="1346"/>
          <w:jc w:val="center"/>
        </w:trPr>
        <w:tc>
          <w:tcPr>
            <w:tcW w:w="14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A397737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Mensah (2022)</w:t>
            </w:r>
          </w:p>
        </w:tc>
        <w:tc>
          <w:tcPr>
            <w:tcW w:w="1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99F5ACC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Ghana: Cape Coast Castle</w:t>
            </w:r>
          </w:p>
        </w:tc>
        <w:tc>
          <w:tcPr>
            <w:tcW w:w="19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16B3627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658E9">
              <w:rPr>
                <w:rFonts w:ascii="Arial" w:hAnsi="Arial" w:cs="Arial"/>
                <w:sz w:val="18"/>
                <w:szCs w:val="20"/>
              </w:rPr>
              <w:t>Local residents</w:t>
            </w:r>
            <w:proofErr w:type="gramEnd"/>
            <w:r w:rsidRPr="007658E9">
              <w:rPr>
                <w:rFonts w:ascii="Arial" w:hAnsi="Arial" w:cs="Arial"/>
                <w:sz w:val="18"/>
                <w:szCs w:val="20"/>
              </w:rPr>
              <w:t xml:space="preserve"> and heritage-management staff</w:t>
            </w:r>
          </w:p>
        </w:tc>
        <w:tc>
          <w:tcPr>
            <w:tcW w:w="16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9093B2E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Focus groups, interviews and thematic analysis</w:t>
            </w:r>
          </w:p>
        </w:tc>
        <w:tc>
          <w:tcPr>
            <w:tcW w:w="27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2301259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Residents recognised heritage values but reported weak attachment where participation and benefits were limited.</w:t>
            </w:r>
          </w:p>
        </w:tc>
      </w:tr>
      <w:tr w:rsidR="00AA6B28" w:rsidRPr="007658E9" w14:paraId="323B19C2" w14:textId="77777777" w:rsidTr="00B812E8">
        <w:trPr>
          <w:trHeight w:val="48"/>
          <w:jc w:val="center"/>
        </w:trPr>
        <w:tc>
          <w:tcPr>
            <w:tcW w:w="14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EA44345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Sene (2022)</w:t>
            </w:r>
          </w:p>
        </w:tc>
        <w:tc>
          <w:tcPr>
            <w:tcW w:w="1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EB58DC0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 xml:space="preserve">Senegal: House of Slaves, </w:t>
            </w:r>
            <w:proofErr w:type="spellStart"/>
            <w:r w:rsidRPr="007658E9">
              <w:rPr>
                <w:rFonts w:ascii="Arial" w:hAnsi="Arial" w:cs="Arial"/>
                <w:sz w:val="18"/>
                <w:szCs w:val="20"/>
              </w:rPr>
              <w:t>Gorée</w:t>
            </w:r>
            <w:proofErr w:type="spellEnd"/>
          </w:p>
        </w:tc>
        <w:tc>
          <w:tcPr>
            <w:tcW w:w="19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60BD6DD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Public narratives, records and reported voices</w:t>
            </w:r>
          </w:p>
        </w:tc>
        <w:tc>
          <w:tcPr>
            <w:tcW w:w="16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F3ECD81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Historical and public-memory analysis</w:t>
            </w:r>
          </w:p>
        </w:tc>
        <w:tc>
          <w:tcPr>
            <w:tcW w:w="27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75E9305" w14:textId="77777777" w:rsidR="00AA6B28" w:rsidRPr="007658E9" w:rsidRDefault="00AA6B28" w:rsidP="00B812E8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7658E9">
              <w:rPr>
                <w:rFonts w:ascii="Arial" w:hAnsi="Arial" w:cs="Arial"/>
                <w:sz w:val="18"/>
                <w:szCs w:val="20"/>
              </w:rPr>
              <w:t>Emotional shock and injustice are tied to contested memory; interpretive evidence, not a health study.</w:t>
            </w:r>
          </w:p>
        </w:tc>
      </w:tr>
    </w:tbl>
    <w:p w14:paraId="2057F362" w14:textId="77777777" w:rsidR="00AA6B28" w:rsidRPr="007658E9" w:rsidRDefault="00AA6B28" w:rsidP="00AA6B28">
      <w:pPr>
        <w:spacing w:after="40" w:line="240" w:lineRule="auto"/>
      </w:pPr>
    </w:p>
    <w:p w14:paraId="6920AA26" w14:textId="77777777" w:rsidR="00AA6B28" w:rsidRPr="007658E9" w:rsidRDefault="00AA6B28" w:rsidP="00AA6B28">
      <w:pPr>
        <w:keepNext/>
        <w:spacing w:before="160" w:after="80" w:line="240" w:lineRule="auto"/>
      </w:pPr>
      <w:r w:rsidRPr="007658E9">
        <w:rPr>
          <w:rFonts w:ascii="Arial" w:hAnsi="Arial"/>
          <w:b/>
          <w:sz w:val="24"/>
        </w:rPr>
        <w:t>Appendix B. Summary Search Strategy</w:t>
      </w:r>
    </w:p>
    <w:p w14:paraId="252C72CF" w14:textId="77777777" w:rsidR="00AA6B28" w:rsidRPr="007658E9" w:rsidRDefault="00AA6B28" w:rsidP="00AA6B28">
      <w:pPr>
        <w:spacing w:after="60" w:line="240" w:lineRule="auto"/>
      </w:pPr>
      <w:r w:rsidRPr="007658E9">
        <w:rPr>
          <w:rFonts w:ascii="Arial" w:hAnsi="Arial"/>
        </w:rPr>
        <w:t xml:space="preserve">Structured searches combined three groups of terms: material heritage, human response, and geographical location. Searches covered academic indexes, publisher platforms and institutional repositories, including African Journals Online, PubMed, HAL, </w:t>
      </w:r>
      <w:proofErr w:type="spellStart"/>
      <w:r w:rsidRPr="007658E9">
        <w:rPr>
          <w:rFonts w:ascii="Arial" w:hAnsi="Arial"/>
        </w:rPr>
        <w:t>OpenEdition</w:t>
      </w:r>
      <w:proofErr w:type="spellEnd"/>
      <w:r w:rsidRPr="007658E9">
        <w:rPr>
          <w:rFonts w:ascii="Arial" w:hAnsi="Arial"/>
        </w:rPr>
        <w:t xml:space="preserve">, Cairn and </w:t>
      </w:r>
      <w:proofErr w:type="spellStart"/>
      <w:r w:rsidRPr="007658E9">
        <w:rPr>
          <w:rFonts w:ascii="Arial" w:hAnsi="Arial"/>
        </w:rPr>
        <w:t>Crossref</w:t>
      </w:r>
      <w:proofErr w:type="spellEnd"/>
      <w:r w:rsidRPr="007658E9">
        <w:rPr>
          <w:rFonts w:ascii="Arial" w:hAnsi="Arial"/>
        </w:rPr>
        <w:t xml:space="preserve"> records. English, French and Portuguese terms were used.  The representative English search structure was:</w:t>
      </w:r>
    </w:p>
    <w:p w14:paraId="353D4478" w14:textId="77777777" w:rsidR="00AA6B28" w:rsidRPr="007658E9" w:rsidRDefault="00AA6B28" w:rsidP="00AA6B28">
      <w:pPr>
        <w:spacing w:after="60" w:line="240" w:lineRule="auto"/>
      </w:pPr>
      <w:r w:rsidRPr="007658E9">
        <w:rPr>
          <w:rFonts w:ascii="Arial" w:hAnsi="Arial"/>
        </w:rPr>
        <w:t>(“built heritage” OR “architectural heritage” OR “historic building*” OR “historic place*” OR castle* OR fort* OR monument* OR museum* OR shrine* OR “historic town*” OR “cultural landscape*” OR “World Heritage Site*”)</w:t>
      </w:r>
    </w:p>
    <w:p w14:paraId="0A787E32" w14:textId="77777777" w:rsidR="00AA6B28" w:rsidRPr="007658E9" w:rsidRDefault="00AA6B28" w:rsidP="00AA6B28">
      <w:pPr>
        <w:spacing w:after="60" w:line="240" w:lineRule="auto"/>
      </w:pPr>
      <w:r w:rsidRPr="007658E9">
        <w:rPr>
          <w:rFonts w:ascii="Arial" w:hAnsi="Arial"/>
        </w:rPr>
        <w:t>AND</w:t>
      </w:r>
      <w:r w:rsidRPr="007658E9">
        <w:rPr>
          <w:rFonts w:ascii="Arial" w:hAnsi="Arial"/>
        </w:rPr>
        <w:br/>
        <w:t>(“place attachment” OR “sense of place” OR “place identity” OR emotion* OR affect* OR wellbeing OR “well-being” OR “mental health” OR distress OR belonging OR identity OR memory OR grief OR sorrow OR pride)</w:t>
      </w:r>
    </w:p>
    <w:p w14:paraId="4B8E0C65" w14:textId="77777777" w:rsidR="00AA6B28" w:rsidRPr="007658E9" w:rsidRDefault="00AA6B28" w:rsidP="00AA6B28">
      <w:pPr>
        <w:spacing w:after="60" w:line="240" w:lineRule="auto"/>
      </w:pPr>
      <w:r w:rsidRPr="007658E9">
        <w:rPr>
          <w:rFonts w:ascii="Arial" w:hAnsi="Arial"/>
        </w:rPr>
        <w:t>AND</w:t>
      </w:r>
      <w:r w:rsidRPr="007658E9">
        <w:rPr>
          <w:rFonts w:ascii="Arial" w:hAnsi="Arial"/>
        </w:rPr>
        <w:br/>
        <w:t>(“West Africa” OR Benin OR “Burkina Faso” OR “Cabo Verde” OR “Côte d’Ivoire” OR Gambia OR Ghana OR Guinea OR “Guinea-Bissau” OR Liberia OR Mali OR Mauritania OR Niger OR Nigeria OR Senegal OR “Sierra Leone” OR Togo)</w:t>
      </w:r>
    </w:p>
    <w:p w14:paraId="0E416EB7" w14:textId="237E5C6E" w:rsidR="00A91650" w:rsidRDefault="00AA6B28" w:rsidP="00AA6B28">
      <w:r w:rsidRPr="007658E9">
        <w:rPr>
          <w:rFonts w:ascii="Arial" w:hAnsi="Arial"/>
        </w:rPr>
        <w:t xml:space="preserve">Equivalent French and Portuguese searches were conducted. Additional searches combined emotional-response terms with named sites, including Cape Coast Castle, Elmina Castle, Osun-Osogbo Sacred Grove, </w:t>
      </w:r>
      <w:proofErr w:type="spellStart"/>
      <w:r w:rsidRPr="007658E9">
        <w:rPr>
          <w:rFonts w:ascii="Arial" w:hAnsi="Arial"/>
        </w:rPr>
        <w:t>Gorée</w:t>
      </w:r>
      <w:proofErr w:type="spellEnd"/>
      <w:r w:rsidRPr="007658E9">
        <w:rPr>
          <w:rFonts w:ascii="Arial" w:hAnsi="Arial"/>
        </w:rPr>
        <w:t xml:space="preserve">, Maison des </w:t>
      </w:r>
      <w:proofErr w:type="spellStart"/>
      <w:r w:rsidRPr="007658E9">
        <w:rPr>
          <w:rFonts w:ascii="Arial" w:hAnsi="Arial"/>
        </w:rPr>
        <w:t>Esclaves</w:t>
      </w:r>
      <w:proofErr w:type="spellEnd"/>
      <w:r w:rsidRPr="007658E9">
        <w:rPr>
          <w:rFonts w:ascii="Arial" w:hAnsi="Arial"/>
        </w:rPr>
        <w:t xml:space="preserve">, Bunce Island, </w:t>
      </w:r>
      <w:proofErr w:type="spellStart"/>
      <w:r w:rsidRPr="007658E9">
        <w:rPr>
          <w:rFonts w:ascii="Arial" w:hAnsi="Arial"/>
        </w:rPr>
        <w:t>Juffureh</w:t>
      </w:r>
      <w:proofErr w:type="spellEnd"/>
      <w:r w:rsidRPr="007658E9">
        <w:rPr>
          <w:rFonts w:ascii="Arial" w:hAnsi="Arial"/>
        </w:rPr>
        <w:t xml:space="preserve">, Kunta </w:t>
      </w:r>
      <w:proofErr w:type="spellStart"/>
      <w:r w:rsidRPr="007658E9">
        <w:rPr>
          <w:rFonts w:ascii="Arial" w:hAnsi="Arial"/>
        </w:rPr>
        <w:t>Kinteh</w:t>
      </w:r>
      <w:proofErr w:type="spellEnd"/>
      <w:r w:rsidRPr="007658E9">
        <w:rPr>
          <w:rFonts w:ascii="Arial" w:hAnsi="Arial"/>
        </w:rPr>
        <w:t xml:space="preserve"> Island, Ouidah, </w:t>
      </w:r>
      <w:proofErr w:type="spellStart"/>
      <w:r w:rsidRPr="007658E9">
        <w:rPr>
          <w:rFonts w:ascii="Arial" w:hAnsi="Arial"/>
        </w:rPr>
        <w:t>Cidade</w:t>
      </w:r>
      <w:proofErr w:type="spellEnd"/>
      <w:r w:rsidRPr="007658E9">
        <w:rPr>
          <w:rFonts w:ascii="Arial" w:hAnsi="Arial"/>
        </w:rPr>
        <w:t xml:space="preserve"> Velha and Saint-Louis. Reference lists and forward citations of eligible publications were</w:t>
      </w:r>
    </w:p>
    <w:sectPr w:rsidR="00A916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B28"/>
    <w:rsid w:val="000E2EDD"/>
    <w:rsid w:val="004929B5"/>
    <w:rsid w:val="00A91650"/>
    <w:rsid w:val="00AA6B28"/>
    <w:rsid w:val="00CD53DF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74C55"/>
  <w15:chartTrackingRefBased/>
  <w15:docId w15:val="{D65692E7-DAA4-48BF-BF6E-2E89125A9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B28"/>
    <w:pPr>
      <w:widowControl w:val="0"/>
      <w:jc w:val="both"/>
    </w:pPr>
    <w:rPr>
      <w:rFonts w:eastAsiaTheme="minorEastAsia"/>
      <w:sz w:val="21"/>
      <w:lang w:val="en-GB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6B28"/>
    <w:pPr>
      <w:keepNext/>
      <w:keepLines/>
      <w:widowControl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6B28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6B28"/>
    <w:pPr>
      <w:keepNext/>
      <w:keepLines/>
      <w:widowControl/>
      <w:spacing w:before="160" w:after="80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6B28"/>
    <w:pPr>
      <w:keepNext/>
      <w:keepLines/>
      <w:widowControl/>
      <w:spacing w:before="80" w:after="40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6B28"/>
    <w:pPr>
      <w:keepNext/>
      <w:keepLines/>
      <w:widowControl/>
      <w:spacing w:before="80" w:after="40"/>
      <w:jc w:val="left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6B28"/>
    <w:pPr>
      <w:keepNext/>
      <w:keepLines/>
      <w:widowControl/>
      <w:spacing w:before="40" w:after="0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6B28"/>
    <w:pPr>
      <w:keepNext/>
      <w:keepLines/>
      <w:widowControl/>
      <w:spacing w:before="40" w:after="0"/>
      <w:jc w:val="left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6B28"/>
    <w:pPr>
      <w:keepNext/>
      <w:keepLines/>
      <w:widowControl/>
      <w:spacing w:after="0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6B28"/>
    <w:pPr>
      <w:keepNext/>
      <w:keepLines/>
      <w:widowControl/>
      <w:spacing w:after="0"/>
      <w:jc w:val="left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6B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6B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6B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6B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6B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6B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6B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6B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6B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6B28"/>
    <w:pPr>
      <w:widowControl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A6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6B28"/>
    <w:pPr>
      <w:widowControl/>
      <w:numPr>
        <w:ilvl w:val="1"/>
      </w:numPr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A6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6B28"/>
    <w:pPr>
      <w:widowControl/>
      <w:spacing w:before="160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A6B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6B28"/>
    <w:pPr>
      <w:widowControl/>
      <w:ind w:left="720"/>
      <w:contextualSpacing/>
      <w:jc w:val="left"/>
    </w:pPr>
    <w:rPr>
      <w:rFonts w:eastAsiaTheme="minorHAns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A6B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6B2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6B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6B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799</Words>
  <Characters>4556</Characters>
  <Application>Microsoft Office Word</Application>
  <DocSecurity>0</DocSecurity>
  <Lines>37</Lines>
  <Paragraphs>10</Paragraphs>
  <ScaleCrop>false</ScaleCrop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2026-08-25T19:03:00Z</dcterms:created>
  <dcterms:modified xsi:type="dcterms:W3CDTF">2026-08-25T19:03:00Z</dcterms:modified>
</cp:coreProperties>
</file>