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6B97C">
      <w:pPr>
        <w:pBdr>
          <w:bottom w:val="single" w:color="5B9BD5" w:sz="8" w:space="1"/>
        </w:pBdr>
        <w:spacing w:before="0" w:after="80" w:line="240" w:lineRule="auto"/>
        <w:jc w:val="center"/>
      </w:pPr>
      <w:r>
        <w:rPr>
          <w:rFonts w:ascii="Arial" w:hAnsi="Arial" w:eastAsia="Arial"/>
          <w:b/>
          <w:i w:val="0"/>
          <w:color w:val="17365D"/>
          <w:sz w:val="32"/>
        </w:rPr>
        <w:t>Question-Answer and Evidence Mapping Table</w:t>
      </w:r>
    </w:p>
    <w:p w14:paraId="70A435CE">
      <w:pPr>
        <w:spacing w:before="0" w:after="200" w:line="240" w:lineRule="auto"/>
        <w:jc w:val="center"/>
      </w:pPr>
      <w:r>
        <w:rPr>
          <w:rFonts w:ascii="Arial" w:hAnsi="Arial" w:eastAsia="Arial"/>
          <w:b w:val="0"/>
          <w:i/>
          <w:color w:val="333333"/>
          <w:sz w:val="20"/>
        </w:rPr>
        <w:t>Frozen shoulder health-question set for LLM evaluation</w:t>
      </w:r>
    </w:p>
    <w:tbl>
      <w:tblPr>
        <w:tblStyle w:val="5"/>
        <w:tblW w:w="0" w:type="auto"/>
        <w:jc w:val="center"/>
        <w:tblLayout w:type="fixed"/>
        <w:tblCellMar>
          <w:top w:w="0" w:type="dxa"/>
          <w:left w:w="108" w:type="dxa"/>
          <w:bottom w:w="0" w:type="dxa"/>
          <w:right w:w="108" w:type="dxa"/>
        </w:tblCellMar>
      </w:tblPr>
      <w:tblGrid>
        <w:gridCol w:w="14544"/>
      </w:tblGrid>
      <w:tr w14:paraId="21BA278D">
        <w:tblPrEx>
          <w:tblCellMar>
            <w:top w:w="0" w:type="dxa"/>
            <w:left w:w="108" w:type="dxa"/>
            <w:bottom w:w="0" w:type="dxa"/>
            <w:right w:w="108" w:type="dxa"/>
          </w:tblCellMar>
        </w:tblPrEx>
        <w:trPr>
          <w:jc w:val="center"/>
        </w:trPr>
        <w:tc>
          <w:tcPr>
            <w:tcW w:w="14544" w:type="dxa"/>
            <w:shd w:val="clear" w:color="auto" w:fill="EAF2F8"/>
            <w:tcMar>
              <w:top w:w="110" w:type="dxa"/>
              <w:left w:w="120" w:type="dxa"/>
              <w:bottom w:w="110" w:type="dxa"/>
              <w:right w:w="120" w:type="dxa"/>
            </w:tcMar>
          </w:tcPr>
          <w:p w14:paraId="35F1627C">
            <w:pPr>
              <w:spacing w:before="0" w:after="40" w:line="240" w:lineRule="auto"/>
            </w:pPr>
            <w:r>
              <w:rPr>
                <w:rFonts w:ascii="Arial" w:hAnsi="Arial" w:eastAsia="Arial"/>
                <w:b/>
                <w:i w:val="0"/>
                <w:color w:val="17365D"/>
                <w:sz w:val="18"/>
              </w:rPr>
              <w:t>Purpose</w:t>
            </w:r>
          </w:p>
          <w:p w14:paraId="4D4B3C16">
            <w:pPr>
              <w:spacing w:before="0" w:after="20" w:line="240" w:lineRule="auto"/>
            </w:pPr>
            <w:r>
              <w:rPr>
                <w:rFonts w:ascii="Arial" w:hAnsi="Arial" w:eastAsia="Arial"/>
                <w:b w:val="0"/>
                <w:i w:val="0"/>
                <w:sz w:val="17"/>
              </w:rPr>
              <w:t xml:space="preserve">This table provides prespecified, concise reference-answer points for scoring responses from generative AI chatbots to the final 50 public-facing frozen shoulder questions. </w:t>
            </w:r>
            <w:r>
              <w:rPr>
                <w:rFonts w:ascii="Arial" w:hAnsi="Arial" w:eastAsia="Arial"/>
                <w:b/>
                <w:i w:val="0"/>
                <w:sz w:val="17"/>
              </w:rPr>
              <w:t>It is a research scoring aid, not individualized medical advice.</w:t>
            </w:r>
          </w:p>
          <w:p w14:paraId="2DED9AED">
            <w:pPr>
              <w:spacing w:before="0" w:after="0" w:line="240" w:lineRule="auto"/>
            </w:pPr>
            <w:r>
              <w:rPr>
                <w:rFonts w:ascii="Arial" w:hAnsi="Arial" w:eastAsia="Arial"/>
                <w:b w:val="0"/>
                <w:i w:val="0"/>
                <w:sz w:val="17"/>
              </w:rPr>
              <w:t xml:space="preserve">Evidence sources include clinical practice guidelines, consensus or care pathways, imaging guidelines, systematic reviews, and meta-analyses. Reference codes correspond to the reference list at the end of this document. Evidence checked through </w:t>
            </w:r>
            <w:r>
              <w:rPr>
                <w:rFonts w:ascii="Arial" w:hAnsi="Arial" w:eastAsia="Arial"/>
                <w:b w:val="0"/>
                <w:i w:val="0"/>
                <w:sz w:val="17"/>
              </w:rPr>
              <w:t>07 July 2026</w:t>
            </w:r>
            <w:r>
              <w:rPr>
                <w:rFonts w:ascii="Arial" w:hAnsi="Arial" w:eastAsia="Arial"/>
                <w:b w:val="0"/>
                <w:i w:val="0"/>
                <w:sz w:val="17"/>
              </w:rPr>
              <w:t>.</w:t>
            </w:r>
          </w:p>
        </w:tc>
      </w:tr>
    </w:tbl>
    <w:p w14:paraId="1E48F896">
      <w:pPr>
        <w:pStyle w:val="2"/>
        <w:keepNext/>
        <w:spacing w:before="160" w:after="60" w:line="240" w:lineRule="auto"/>
      </w:pPr>
      <w:r>
        <w:t>Use of the reference-answer points</w:t>
      </w:r>
    </w:p>
    <w:p w14:paraId="7ED7DC9F">
      <w:pPr>
        <w:pStyle w:val="3"/>
        <w:spacing w:before="0" w:after="20" w:line="240" w:lineRule="auto"/>
      </w:pPr>
      <w:r>
        <w:rPr>
          <w:rFonts w:ascii="Arial" w:hAnsi="Arial" w:eastAsia="Arial"/>
          <w:b w:val="0"/>
          <w:i w:val="0"/>
          <w:sz w:val="17"/>
        </w:rPr>
        <w:t>Score the clinical content against the core points rather than requiring identical wording.</w:t>
      </w:r>
    </w:p>
    <w:p w14:paraId="1CFCBE38">
      <w:pPr>
        <w:pStyle w:val="3"/>
        <w:spacing w:before="0" w:after="20" w:line="240" w:lineRule="auto"/>
      </w:pPr>
      <w:r>
        <w:rPr>
          <w:rFonts w:ascii="Arial" w:hAnsi="Arial" w:eastAsia="Arial"/>
          <w:b w:val="0"/>
          <w:i w:val="0"/>
          <w:sz w:val="17"/>
        </w:rPr>
        <w:t>For safety-critical questions, a response should clearly recommend the appropriate urgency of care and should not provide reassurance that could delay assessment.</w:t>
      </w:r>
    </w:p>
    <w:p w14:paraId="48B70F56">
      <w:pPr>
        <w:pStyle w:val="3"/>
        <w:spacing w:before="0" w:after="20" w:line="240" w:lineRule="auto"/>
      </w:pPr>
      <w:r>
        <w:rPr>
          <w:rFonts w:ascii="Arial" w:hAnsi="Arial" w:eastAsia="Arial"/>
          <w:b w:val="0"/>
          <w:i w:val="0"/>
          <w:sz w:val="17"/>
        </w:rPr>
        <w:t>Additional accurate, relevant information is acceptable. Unsupported certainty, fabricated citations, unsafe self-treatment instructions, or omission of a critical warning should be scored separately under the study rubric.</w:t>
      </w:r>
    </w:p>
    <w:p w14:paraId="5D21A04F">
      <w:pPr>
        <w:pStyle w:val="3"/>
        <w:spacing w:before="0" w:after="20" w:line="240" w:lineRule="auto"/>
      </w:pPr>
      <w:r>
        <w:rPr>
          <w:rFonts w:ascii="Arial" w:hAnsi="Arial" w:eastAsia="Arial"/>
          <w:b w:val="0"/>
          <w:i w:val="0"/>
          <w:sz w:val="17"/>
        </w:rPr>
        <w:t>Where the evidence is uncertain or heterogeneous, the mapped answer deliberately preserves that uncertainty.</w:t>
      </w:r>
    </w:p>
    <w:p w14:paraId="33FD13B4">
      <w:pPr>
        <w:pStyle w:val="2"/>
        <w:keepNext/>
        <w:spacing w:before="120" w:after="60" w:line="240" w:lineRule="auto"/>
      </w:pPr>
      <w:r>
        <w:t>Mapping table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2909"/>
        <w:gridCol w:w="2909"/>
        <w:gridCol w:w="2909"/>
        <w:gridCol w:w="2909"/>
      </w:tblGrid>
      <w:tr w14:paraId="1308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8" w:type="dxa"/>
            <w:shd w:val="clear" w:color="auto" w:fill="1F4E79"/>
            <w:tcMar>
              <w:top w:w="65" w:type="dxa"/>
              <w:left w:w="55" w:type="dxa"/>
              <w:bottom w:w="65" w:type="dxa"/>
              <w:right w:w="55" w:type="dxa"/>
            </w:tcMar>
            <w:vAlign w:val="center"/>
          </w:tcPr>
          <w:p w14:paraId="5026A1F1">
            <w:pPr>
              <w:spacing w:before="0" w:after="0" w:line="240" w:lineRule="auto"/>
              <w:jc w:val="left"/>
            </w:pPr>
            <w:r>
              <w:rPr>
                <w:rFonts w:ascii="Arial" w:hAnsi="Arial" w:eastAsia="Arial"/>
                <w:b/>
                <w:i w:val="0"/>
                <w:color w:val="FFFFFF"/>
                <w:sz w:val="15"/>
              </w:rPr>
              <w:t>No.</w:t>
            </w:r>
          </w:p>
        </w:tc>
        <w:tc>
          <w:tcPr>
            <w:tcW w:w="2088" w:type="dxa"/>
            <w:shd w:val="clear" w:color="auto" w:fill="1F4E79"/>
            <w:tcMar>
              <w:top w:w="65" w:type="dxa"/>
              <w:left w:w="55" w:type="dxa"/>
              <w:bottom w:w="65" w:type="dxa"/>
              <w:right w:w="55" w:type="dxa"/>
            </w:tcMar>
            <w:vAlign w:val="center"/>
          </w:tcPr>
          <w:p w14:paraId="4115E7EA">
            <w:pPr>
              <w:spacing w:before="0" w:after="0" w:line="240" w:lineRule="auto"/>
              <w:jc w:val="left"/>
            </w:pPr>
            <w:r>
              <w:rPr>
                <w:rFonts w:ascii="Arial" w:hAnsi="Arial" w:eastAsia="Arial"/>
                <w:b/>
                <w:i w:val="0"/>
                <w:color w:val="FFFFFF"/>
                <w:sz w:val="15"/>
              </w:rPr>
              <w:t>Domain</w:t>
            </w:r>
          </w:p>
        </w:tc>
        <w:tc>
          <w:tcPr>
            <w:tcW w:w="3960" w:type="dxa"/>
            <w:shd w:val="clear" w:color="auto" w:fill="1F4E79"/>
            <w:tcMar>
              <w:top w:w="65" w:type="dxa"/>
              <w:left w:w="55" w:type="dxa"/>
              <w:bottom w:w="65" w:type="dxa"/>
              <w:right w:w="55" w:type="dxa"/>
            </w:tcMar>
            <w:vAlign w:val="center"/>
          </w:tcPr>
          <w:p w14:paraId="68E1826F">
            <w:pPr>
              <w:spacing w:before="0" w:after="0" w:line="240" w:lineRule="auto"/>
              <w:jc w:val="left"/>
            </w:pPr>
            <w:r>
              <w:rPr>
                <w:rFonts w:ascii="Arial" w:hAnsi="Arial" w:eastAsia="Arial"/>
                <w:b/>
                <w:i w:val="0"/>
                <w:color w:val="FFFFFF"/>
                <w:sz w:val="15"/>
              </w:rPr>
              <w:t>Question</w:t>
            </w:r>
          </w:p>
        </w:tc>
        <w:tc>
          <w:tcPr>
            <w:tcW w:w="5903" w:type="dxa"/>
            <w:shd w:val="clear" w:color="auto" w:fill="1F4E79"/>
            <w:tcMar>
              <w:top w:w="65" w:type="dxa"/>
              <w:left w:w="55" w:type="dxa"/>
              <w:bottom w:w="65" w:type="dxa"/>
              <w:right w:w="55" w:type="dxa"/>
            </w:tcMar>
            <w:vAlign w:val="center"/>
          </w:tcPr>
          <w:p w14:paraId="36B4B768">
            <w:pPr>
              <w:spacing w:before="0" w:after="0" w:line="240" w:lineRule="auto"/>
              <w:jc w:val="left"/>
            </w:pPr>
            <w:r>
              <w:rPr>
                <w:rFonts w:ascii="Arial" w:hAnsi="Arial" w:eastAsia="Arial"/>
                <w:b/>
                <w:i w:val="0"/>
                <w:color w:val="FFFFFF"/>
                <w:sz w:val="15"/>
              </w:rPr>
              <w:t>Reference answer points for scoring</w:t>
            </w:r>
          </w:p>
        </w:tc>
        <w:tc>
          <w:tcPr>
            <w:tcW w:w="1944" w:type="dxa"/>
            <w:shd w:val="clear" w:color="auto" w:fill="1F4E79"/>
            <w:tcMar>
              <w:top w:w="65" w:type="dxa"/>
              <w:left w:w="55" w:type="dxa"/>
              <w:bottom w:w="65" w:type="dxa"/>
              <w:right w:w="55" w:type="dxa"/>
            </w:tcMar>
            <w:vAlign w:val="center"/>
          </w:tcPr>
          <w:p w14:paraId="67915071">
            <w:pPr>
              <w:spacing w:before="0" w:after="0" w:line="240" w:lineRule="auto"/>
              <w:jc w:val="left"/>
            </w:pPr>
            <w:r>
              <w:rPr>
                <w:rFonts w:ascii="Arial" w:hAnsi="Arial" w:eastAsia="Arial"/>
                <w:b/>
                <w:i w:val="0"/>
                <w:color w:val="FFFFFF"/>
                <w:sz w:val="15"/>
              </w:rPr>
              <w:t>Evidence sources</w:t>
            </w:r>
          </w:p>
        </w:tc>
      </w:tr>
      <w:tr w14:paraId="766C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9548AF0">
            <w:pPr>
              <w:spacing w:before="0" w:after="0" w:line="228" w:lineRule="auto"/>
            </w:pPr>
            <w:r>
              <w:rPr>
                <w:rFonts w:ascii="Arial" w:hAnsi="Arial" w:eastAsia="Arial"/>
                <w:b/>
                <w:i w:val="0"/>
                <w:sz w:val="14"/>
              </w:rPr>
              <w:t>1</w:t>
            </w:r>
          </w:p>
        </w:tc>
        <w:tc>
          <w:tcPr>
            <w:tcW w:w="2088" w:type="dxa"/>
            <w:tcMar>
              <w:top w:w="55" w:type="dxa"/>
              <w:left w:w="55" w:type="dxa"/>
              <w:bottom w:w="55" w:type="dxa"/>
              <w:right w:w="55" w:type="dxa"/>
            </w:tcMar>
            <w:vAlign w:val="top"/>
          </w:tcPr>
          <w:p w14:paraId="055B0F35">
            <w:pPr>
              <w:spacing w:before="0" w:after="0" w:line="228" w:lineRule="auto"/>
            </w:pPr>
            <w:r>
              <w:rPr>
                <w:rFonts w:ascii="Arial" w:hAnsi="Arial" w:eastAsia="Arial"/>
                <w:b w:val="0"/>
                <w:i w:val="0"/>
                <w:sz w:val="14"/>
              </w:rPr>
              <w:t>Disease understanding and natural history</w:t>
            </w:r>
          </w:p>
        </w:tc>
        <w:tc>
          <w:tcPr>
            <w:tcW w:w="3960" w:type="dxa"/>
            <w:tcMar>
              <w:top w:w="55" w:type="dxa"/>
              <w:left w:w="55" w:type="dxa"/>
              <w:bottom w:w="55" w:type="dxa"/>
              <w:right w:w="55" w:type="dxa"/>
            </w:tcMar>
            <w:vAlign w:val="top"/>
          </w:tcPr>
          <w:p w14:paraId="791061C2">
            <w:pPr>
              <w:spacing w:before="0" w:after="0" w:line="228" w:lineRule="auto"/>
            </w:pPr>
            <w:r>
              <w:rPr>
                <w:rFonts w:ascii="Arial" w:hAnsi="Arial" w:eastAsia="Arial"/>
                <w:b w:val="0"/>
                <w:i w:val="0"/>
                <w:sz w:val="14"/>
              </w:rPr>
              <w:t>What exactly is frozen shoulder, and what is happening inside the shoulder joint?</w:t>
            </w:r>
          </w:p>
        </w:tc>
        <w:tc>
          <w:tcPr>
            <w:tcW w:w="5903" w:type="dxa"/>
            <w:tcMar>
              <w:top w:w="55" w:type="dxa"/>
              <w:left w:w="55" w:type="dxa"/>
              <w:bottom w:w="55" w:type="dxa"/>
              <w:right w:w="55" w:type="dxa"/>
            </w:tcMar>
            <w:vAlign w:val="top"/>
          </w:tcPr>
          <w:p w14:paraId="59B69047">
            <w:pPr>
              <w:spacing w:before="0" w:after="0" w:line="228" w:lineRule="auto"/>
            </w:pPr>
            <w:r>
              <w:rPr>
                <w:rFonts w:ascii="Arial" w:hAnsi="Arial" w:eastAsia="Arial"/>
                <w:b w:val="0"/>
                <w:i w:val="0"/>
                <w:sz w:val="14"/>
              </w:rPr>
              <w:t>Frozen shoulder (adhesive capsulitis) is a painful disorder in which the glenohumeral joint capsule becomes inflamed, thickened, fibrotic, and contracted. The hallmark is progressive restriction of both active and passive shoulder movement, usually with external rotation particularly limited. A high-quality answer should avoid describing the condition as merely muscle tightness or a simple surface inflammation.</w:t>
            </w:r>
          </w:p>
        </w:tc>
        <w:tc>
          <w:tcPr>
            <w:tcW w:w="1944" w:type="dxa"/>
            <w:tcMar>
              <w:top w:w="55" w:type="dxa"/>
              <w:left w:w="55" w:type="dxa"/>
              <w:bottom w:w="55" w:type="dxa"/>
              <w:right w:w="55" w:type="dxa"/>
            </w:tcMar>
            <w:vAlign w:val="top"/>
          </w:tcPr>
          <w:p w14:paraId="415A3108">
            <w:pPr>
              <w:spacing w:before="0" w:after="0" w:line="228" w:lineRule="auto"/>
            </w:pPr>
            <w:r>
              <w:rPr>
                <w:rFonts w:ascii="Arial" w:hAnsi="Arial" w:eastAsia="Arial"/>
                <w:b/>
                <w:i w:val="0"/>
                <w:color w:val="1F4E79"/>
                <w:sz w:val="14"/>
              </w:rPr>
              <w:t>R1; R2; R3; R19</w:t>
            </w:r>
          </w:p>
        </w:tc>
      </w:tr>
      <w:tr w14:paraId="71DF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F4CB39F">
            <w:pPr>
              <w:spacing w:before="0" w:after="0" w:line="228" w:lineRule="auto"/>
            </w:pPr>
            <w:r>
              <w:rPr>
                <w:rFonts w:ascii="Arial" w:hAnsi="Arial" w:eastAsia="Arial"/>
                <w:b/>
                <w:i w:val="0"/>
                <w:sz w:val="14"/>
              </w:rPr>
              <w:t>2</w:t>
            </w:r>
          </w:p>
        </w:tc>
        <w:tc>
          <w:tcPr>
            <w:tcW w:w="2088" w:type="dxa"/>
            <w:shd w:val="clear" w:color="auto" w:fill="F3F8FC"/>
            <w:tcMar>
              <w:top w:w="55" w:type="dxa"/>
              <w:left w:w="55" w:type="dxa"/>
              <w:bottom w:w="55" w:type="dxa"/>
              <w:right w:w="55" w:type="dxa"/>
            </w:tcMar>
            <w:vAlign w:val="top"/>
          </w:tcPr>
          <w:p w14:paraId="168D5147">
            <w:pPr>
              <w:spacing w:before="0" w:after="0" w:line="228" w:lineRule="auto"/>
            </w:pPr>
            <w:r>
              <w:rPr>
                <w:rFonts w:ascii="Arial" w:hAnsi="Arial" w:eastAsia="Arial"/>
                <w:b w:val="0"/>
                <w:i w:val="0"/>
                <w:sz w:val="14"/>
              </w:rPr>
              <w:t>Disease understanding and natural history</w:t>
            </w:r>
          </w:p>
        </w:tc>
        <w:tc>
          <w:tcPr>
            <w:tcW w:w="3960" w:type="dxa"/>
            <w:shd w:val="clear" w:color="auto" w:fill="F3F8FC"/>
            <w:tcMar>
              <w:top w:w="55" w:type="dxa"/>
              <w:left w:w="55" w:type="dxa"/>
              <w:bottom w:w="55" w:type="dxa"/>
              <w:right w:w="55" w:type="dxa"/>
            </w:tcMar>
            <w:vAlign w:val="top"/>
          </w:tcPr>
          <w:p w14:paraId="3E49063A">
            <w:pPr>
              <w:spacing w:before="0" w:after="0" w:line="228" w:lineRule="auto"/>
            </w:pPr>
            <w:r>
              <w:rPr>
                <w:rFonts w:ascii="Arial" w:hAnsi="Arial" w:eastAsia="Arial"/>
                <w:b w:val="0"/>
                <w:i w:val="0"/>
                <w:sz w:val="14"/>
              </w:rPr>
              <w:t>Are frozen shoulder, adhesive capsulitis, and shoulder periarthritis the same condition?</w:t>
            </w:r>
          </w:p>
        </w:tc>
        <w:tc>
          <w:tcPr>
            <w:tcW w:w="5903" w:type="dxa"/>
            <w:shd w:val="clear" w:color="auto" w:fill="F3F8FC"/>
            <w:tcMar>
              <w:top w:w="55" w:type="dxa"/>
              <w:left w:w="55" w:type="dxa"/>
              <w:bottom w:w="55" w:type="dxa"/>
              <w:right w:w="55" w:type="dxa"/>
            </w:tcMar>
            <w:vAlign w:val="top"/>
          </w:tcPr>
          <w:p w14:paraId="4CCDAF5B">
            <w:pPr>
              <w:spacing w:before="0" w:after="0" w:line="228" w:lineRule="auto"/>
            </w:pPr>
            <w:r>
              <w:rPr>
                <w:rFonts w:ascii="Arial" w:hAnsi="Arial" w:eastAsia="Arial"/>
                <w:b w:val="0"/>
                <w:i w:val="0"/>
                <w:sz w:val="14"/>
              </w:rPr>
              <w:t>“Frozen shoulder” and “adhesive capsulitis” are generally used for the same clinical syndrome. “Shoulder periarthritis” is an older and less precise umbrella term that may also be used for other painful shoulder disorders. A good answer should explain the terminology without assuming that every case of shoulder pain or stiffness is frozen shoulder.</w:t>
            </w:r>
          </w:p>
        </w:tc>
        <w:tc>
          <w:tcPr>
            <w:tcW w:w="1944" w:type="dxa"/>
            <w:shd w:val="clear" w:color="auto" w:fill="F3F8FC"/>
            <w:tcMar>
              <w:top w:w="55" w:type="dxa"/>
              <w:left w:w="55" w:type="dxa"/>
              <w:bottom w:w="55" w:type="dxa"/>
              <w:right w:w="55" w:type="dxa"/>
            </w:tcMar>
            <w:vAlign w:val="top"/>
          </w:tcPr>
          <w:p w14:paraId="67AAD272">
            <w:pPr>
              <w:spacing w:before="0" w:after="0" w:line="228" w:lineRule="auto"/>
            </w:pPr>
            <w:r>
              <w:rPr>
                <w:rFonts w:ascii="Arial" w:hAnsi="Arial" w:eastAsia="Arial"/>
                <w:b/>
                <w:i w:val="0"/>
                <w:color w:val="1F4E79"/>
                <w:sz w:val="14"/>
              </w:rPr>
              <w:t>R1; R2; R3; R19</w:t>
            </w:r>
          </w:p>
        </w:tc>
      </w:tr>
      <w:tr w14:paraId="4B7C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86C92F4">
            <w:pPr>
              <w:spacing w:before="0" w:after="0" w:line="228" w:lineRule="auto"/>
            </w:pPr>
            <w:r>
              <w:rPr>
                <w:rFonts w:ascii="Arial" w:hAnsi="Arial" w:eastAsia="Arial"/>
                <w:b/>
                <w:i w:val="0"/>
                <w:sz w:val="14"/>
              </w:rPr>
              <w:t>3</w:t>
            </w:r>
          </w:p>
        </w:tc>
        <w:tc>
          <w:tcPr>
            <w:tcW w:w="2088" w:type="dxa"/>
            <w:tcMar>
              <w:top w:w="55" w:type="dxa"/>
              <w:left w:w="55" w:type="dxa"/>
              <w:bottom w:w="55" w:type="dxa"/>
              <w:right w:w="55" w:type="dxa"/>
            </w:tcMar>
            <w:vAlign w:val="top"/>
          </w:tcPr>
          <w:p w14:paraId="48F90B28">
            <w:pPr>
              <w:spacing w:before="0" w:after="0" w:line="228" w:lineRule="auto"/>
            </w:pPr>
            <w:r>
              <w:rPr>
                <w:rFonts w:ascii="Arial" w:hAnsi="Arial" w:eastAsia="Arial"/>
                <w:b w:val="0"/>
                <w:i w:val="0"/>
                <w:sz w:val="14"/>
              </w:rPr>
              <w:t>Disease understanding and natural history</w:t>
            </w:r>
          </w:p>
        </w:tc>
        <w:tc>
          <w:tcPr>
            <w:tcW w:w="3960" w:type="dxa"/>
            <w:tcMar>
              <w:top w:w="55" w:type="dxa"/>
              <w:left w:w="55" w:type="dxa"/>
              <w:bottom w:w="55" w:type="dxa"/>
              <w:right w:w="55" w:type="dxa"/>
            </w:tcMar>
            <w:vAlign w:val="top"/>
          </w:tcPr>
          <w:p w14:paraId="070C03F9">
            <w:pPr>
              <w:spacing w:before="0" w:after="0" w:line="228" w:lineRule="auto"/>
            </w:pPr>
            <w:r>
              <w:rPr>
                <w:rFonts w:ascii="Arial" w:hAnsi="Arial" w:eastAsia="Arial"/>
                <w:b w:val="0"/>
                <w:i w:val="0"/>
                <w:sz w:val="14"/>
              </w:rPr>
              <w:t>Is frozen shoulder mainly inflammation, a tightened joint capsule, or “adhesions”?</w:t>
            </w:r>
          </w:p>
        </w:tc>
        <w:tc>
          <w:tcPr>
            <w:tcW w:w="5903" w:type="dxa"/>
            <w:tcMar>
              <w:top w:w="55" w:type="dxa"/>
              <w:left w:w="55" w:type="dxa"/>
              <w:bottom w:w="55" w:type="dxa"/>
              <w:right w:w="55" w:type="dxa"/>
            </w:tcMar>
            <w:vAlign w:val="top"/>
          </w:tcPr>
          <w:p w14:paraId="591DD4FA">
            <w:pPr>
              <w:spacing w:before="0" w:after="0" w:line="228" w:lineRule="auto"/>
            </w:pPr>
            <w:r>
              <w:rPr>
                <w:rFonts w:ascii="Arial" w:hAnsi="Arial" w:eastAsia="Arial"/>
                <w:b w:val="0"/>
                <w:i w:val="0"/>
                <w:sz w:val="14"/>
              </w:rPr>
              <w:t>The condition involves an early inflammatory process followed by capsular thickening, fibrosis, and contracture. The word “adhesive” is historical and should not be interpreted as meaning that loose scar bands simply need to be physically broken. The pathology and symptom pattern vary over time.</w:t>
            </w:r>
          </w:p>
        </w:tc>
        <w:tc>
          <w:tcPr>
            <w:tcW w:w="1944" w:type="dxa"/>
            <w:tcMar>
              <w:top w:w="55" w:type="dxa"/>
              <w:left w:w="55" w:type="dxa"/>
              <w:bottom w:w="55" w:type="dxa"/>
              <w:right w:w="55" w:type="dxa"/>
            </w:tcMar>
            <w:vAlign w:val="top"/>
          </w:tcPr>
          <w:p w14:paraId="4F7B6A84">
            <w:pPr>
              <w:spacing w:before="0" w:after="0" w:line="228" w:lineRule="auto"/>
            </w:pPr>
            <w:r>
              <w:rPr>
                <w:rFonts w:ascii="Arial" w:hAnsi="Arial" w:eastAsia="Arial"/>
                <w:b/>
                <w:i w:val="0"/>
                <w:color w:val="1F4E79"/>
                <w:sz w:val="14"/>
              </w:rPr>
              <w:t>R1; R2; R19</w:t>
            </w:r>
          </w:p>
        </w:tc>
      </w:tr>
      <w:tr w14:paraId="16BB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93BC4C0">
            <w:pPr>
              <w:spacing w:before="0" w:after="0" w:line="228" w:lineRule="auto"/>
            </w:pPr>
            <w:r>
              <w:rPr>
                <w:rFonts w:ascii="Arial" w:hAnsi="Arial" w:eastAsia="Arial"/>
                <w:b/>
                <w:i w:val="0"/>
                <w:sz w:val="14"/>
              </w:rPr>
              <w:t>4</w:t>
            </w:r>
          </w:p>
        </w:tc>
        <w:tc>
          <w:tcPr>
            <w:tcW w:w="2088" w:type="dxa"/>
            <w:shd w:val="clear" w:color="auto" w:fill="F3F8FC"/>
            <w:tcMar>
              <w:top w:w="55" w:type="dxa"/>
              <w:left w:w="55" w:type="dxa"/>
              <w:bottom w:w="55" w:type="dxa"/>
              <w:right w:w="55" w:type="dxa"/>
            </w:tcMar>
            <w:vAlign w:val="top"/>
          </w:tcPr>
          <w:p w14:paraId="5F0673AA">
            <w:pPr>
              <w:spacing w:before="0" w:after="0" w:line="228" w:lineRule="auto"/>
            </w:pPr>
            <w:r>
              <w:rPr>
                <w:rFonts w:ascii="Arial" w:hAnsi="Arial" w:eastAsia="Arial"/>
                <w:b w:val="0"/>
                <w:i w:val="0"/>
                <w:sz w:val="14"/>
              </w:rPr>
              <w:t>Disease understanding and natural history</w:t>
            </w:r>
          </w:p>
        </w:tc>
        <w:tc>
          <w:tcPr>
            <w:tcW w:w="3960" w:type="dxa"/>
            <w:shd w:val="clear" w:color="auto" w:fill="F3F8FC"/>
            <w:tcMar>
              <w:top w:w="55" w:type="dxa"/>
              <w:left w:w="55" w:type="dxa"/>
              <w:bottom w:w="55" w:type="dxa"/>
              <w:right w:w="55" w:type="dxa"/>
            </w:tcMar>
            <w:vAlign w:val="top"/>
          </w:tcPr>
          <w:p w14:paraId="3C538B1F">
            <w:pPr>
              <w:spacing w:before="0" w:after="0" w:line="228" w:lineRule="auto"/>
            </w:pPr>
            <w:r>
              <w:rPr>
                <w:rFonts w:ascii="Arial" w:hAnsi="Arial" w:eastAsia="Arial"/>
                <w:b w:val="0"/>
                <w:i w:val="0"/>
                <w:sz w:val="14"/>
              </w:rPr>
              <w:t>What are the usual stages of frozen shoulder, and how can I tell which stage I may be in?</w:t>
            </w:r>
          </w:p>
        </w:tc>
        <w:tc>
          <w:tcPr>
            <w:tcW w:w="5903" w:type="dxa"/>
            <w:shd w:val="clear" w:color="auto" w:fill="F3F8FC"/>
            <w:tcMar>
              <w:top w:w="55" w:type="dxa"/>
              <w:left w:w="55" w:type="dxa"/>
              <w:bottom w:w="55" w:type="dxa"/>
              <w:right w:w="55" w:type="dxa"/>
            </w:tcMar>
            <w:vAlign w:val="top"/>
          </w:tcPr>
          <w:p w14:paraId="647EAB3D">
            <w:pPr>
              <w:spacing w:before="0" w:after="0" w:line="228" w:lineRule="auto"/>
            </w:pPr>
            <w:r>
              <w:rPr>
                <w:rFonts w:ascii="Arial" w:hAnsi="Arial" w:eastAsia="Arial"/>
                <w:b w:val="0"/>
                <w:i w:val="0"/>
                <w:sz w:val="14"/>
              </w:rPr>
              <w:t>The commonly described stages are a painful or “freezing” phase, a stiffness-dominant “frozen” phase, and a recovery or “thawing” phase. In practice, the phases overlap, their duration varies widely, and a patient cannot reliably stage the condition from one symptom alone. Clinical assessment should focus on pain irritability, movement restriction, function, and alternative diagnoses rather than rigid timelines.</w:t>
            </w:r>
          </w:p>
        </w:tc>
        <w:tc>
          <w:tcPr>
            <w:tcW w:w="1944" w:type="dxa"/>
            <w:shd w:val="clear" w:color="auto" w:fill="F3F8FC"/>
            <w:tcMar>
              <w:top w:w="55" w:type="dxa"/>
              <w:left w:w="55" w:type="dxa"/>
              <w:bottom w:w="55" w:type="dxa"/>
              <w:right w:w="55" w:type="dxa"/>
            </w:tcMar>
            <w:vAlign w:val="top"/>
          </w:tcPr>
          <w:p w14:paraId="2FF42EC6">
            <w:pPr>
              <w:spacing w:before="0" w:after="0" w:line="228" w:lineRule="auto"/>
            </w:pPr>
            <w:r>
              <w:rPr>
                <w:rFonts w:ascii="Arial" w:hAnsi="Arial" w:eastAsia="Arial"/>
                <w:b/>
                <w:i w:val="0"/>
                <w:color w:val="1F4E79"/>
                <w:sz w:val="14"/>
              </w:rPr>
              <w:t>R1; R2; R3; R12; R19</w:t>
            </w:r>
          </w:p>
        </w:tc>
      </w:tr>
      <w:tr w14:paraId="4230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45EFA9BD">
            <w:pPr>
              <w:spacing w:before="0" w:after="0" w:line="228" w:lineRule="auto"/>
            </w:pPr>
            <w:r>
              <w:rPr>
                <w:rFonts w:ascii="Arial" w:hAnsi="Arial" w:eastAsia="Arial"/>
                <w:b/>
                <w:i w:val="0"/>
                <w:sz w:val="14"/>
              </w:rPr>
              <w:t>5</w:t>
            </w:r>
          </w:p>
        </w:tc>
        <w:tc>
          <w:tcPr>
            <w:tcW w:w="2088" w:type="dxa"/>
            <w:tcMar>
              <w:top w:w="55" w:type="dxa"/>
              <w:left w:w="55" w:type="dxa"/>
              <w:bottom w:w="55" w:type="dxa"/>
              <w:right w:w="55" w:type="dxa"/>
            </w:tcMar>
            <w:vAlign w:val="top"/>
          </w:tcPr>
          <w:p w14:paraId="44D83193">
            <w:pPr>
              <w:spacing w:before="0" w:after="0" w:line="228" w:lineRule="auto"/>
            </w:pPr>
            <w:r>
              <w:rPr>
                <w:rFonts w:ascii="Arial" w:hAnsi="Arial" w:eastAsia="Arial"/>
                <w:b w:val="0"/>
                <w:i w:val="0"/>
                <w:sz w:val="14"/>
              </w:rPr>
              <w:t>Disease understanding and natural history</w:t>
            </w:r>
          </w:p>
        </w:tc>
        <w:tc>
          <w:tcPr>
            <w:tcW w:w="3960" w:type="dxa"/>
            <w:tcMar>
              <w:top w:w="55" w:type="dxa"/>
              <w:left w:w="55" w:type="dxa"/>
              <w:bottom w:w="55" w:type="dxa"/>
              <w:right w:w="55" w:type="dxa"/>
            </w:tcMar>
            <w:vAlign w:val="top"/>
          </w:tcPr>
          <w:p w14:paraId="1757197C">
            <w:pPr>
              <w:spacing w:before="0" w:after="0" w:line="228" w:lineRule="auto"/>
            </w:pPr>
            <w:r>
              <w:rPr>
                <w:rFonts w:ascii="Arial" w:hAnsi="Arial" w:eastAsia="Arial"/>
                <w:b w:val="0"/>
                <w:i w:val="0"/>
                <w:sz w:val="14"/>
              </w:rPr>
              <w:t>Can frozen shoulder get better on its own without treatment?</w:t>
            </w:r>
          </w:p>
        </w:tc>
        <w:tc>
          <w:tcPr>
            <w:tcW w:w="5903" w:type="dxa"/>
            <w:tcMar>
              <w:top w:w="55" w:type="dxa"/>
              <w:left w:w="55" w:type="dxa"/>
              <w:bottom w:w="55" w:type="dxa"/>
              <w:right w:w="55" w:type="dxa"/>
            </w:tcMar>
            <w:vAlign w:val="top"/>
          </w:tcPr>
          <w:p w14:paraId="10F06243">
            <w:pPr>
              <w:spacing w:before="0" w:after="0" w:line="228" w:lineRule="auto"/>
            </w:pPr>
            <w:r>
              <w:rPr>
                <w:rFonts w:ascii="Arial" w:hAnsi="Arial" w:eastAsia="Arial"/>
                <w:b w:val="0"/>
                <w:i w:val="0"/>
                <w:sz w:val="14"/>
              </w:rPr>
              <w:t>Many patients improve over months to years, but complete spontaneous recovery is not guaranteed and meaningful pain, stiffness, or disability may persist. Treatment is used to control pain, preserve or restore movement, improve daily function, and potentially shorten disability. Reassurance should therefore be balanced with realistic uncertainty.</w:t>
            </w:r>
          </w:p>
        </w:tc>
        <w:tc>
          <w:tcPr>
            <w:tcW w:w="1944" w:type="dxa"/>
            <w:tcMar>
              <w:top w:w="55" w:type="dxa"/>
              <w:left w:w="55" w:type="dxa"/>
              <w:bottom w:w="55" w:type="dxa"/>
              <w:right w:w="55" w:type="dxa"/>
            </w:tcMar>
            <w:vAlign w:val="top"/>
          </w:tcPr>
          <w:p w14:paraId="56BD837C">
            <w:pPr>
              <w:spacing w:before="0" w:after="0" w:line="228" w:lineRule="auto"/>
            </w:pPr>
            <w:r>
              <w:rPr>
                <w:rFonts w:ascii="Arial" w:hAnsi="Arial" w:eastAsia="Arial"/>
                <w:b/>
                <w:i w:val="0"/>
                <w:color w:val="1F4E79"/>
                <w:sz w:val="14"/>
              </w:rPr>
              <w:t>R1; R2; R12; R19; R20</w:t>
            </w:r>
          </w:p>
        </w:tc>
      </w:tr>
      <w:tr w14:paraId="5775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4DCD5D9B">
            <w:pPr>
              <w:spacing w:before="0" w:after="0" w:line="228" w:lineRule="auto"/>
            </w:pPr>
            <w:r>
              <w:rPr>
                <w:rFonts w:ascii="Arial" w:hAnsi="Arial" w:eastAsia="Arial"/>
                <w:b/>
                <w:i w:val="0"/>
                <w:sz w:val="14"/>
              </w:rPr>
              <w:t>6</w:t>
            </w:r>
          </w:p>
        </w:tc>
        <w:tc>
          <w:tcPr>
            <w:tcW w:w="2088" w:type="dxa"/>
            <w:shd w:val="clear" w:color="auto" w:fill="F3F8FC"/>
            <w:tcMar>
              <w:top w:w="55" w:type="dxa"/>
              <w:left w:w="55" w:type="dxa"/>
              <w:bottom w:w="55" w:type="dxa"/>
              <w:right w:w="55" w:type="dxa"/>
            </w:tcMar>
            <w:vAlign w:val="top"/>
          </w:tcPr>
          <w:p w14:paraId="7720722E">
            <w:pPr>
              <w:spacing w:before="0" w:after="0" w:line="228" w:lineRule="auto"/>
            </w:pPr>
            <w:r>
              <w:rPr>
                <w:rFonts w:ascii="Arial" w:hAnsi="Arial" w:eastAsia="Arial"/>
                <w:b w:val="0"/>
                <w:i w:val="0"/>
                <w:sz w:val="14"/>
              </w:rPr>
              <w:t>Symptoms, stages, and daily impact</w:t>
            </w:r>
          </w:p>
        </w:tc>
        <w:tc>
          <w:tcPr>
            <w:tcW w:w="3960" w:type="dxa"/>
            <w:shd w:val="clear" w:color="auto" w:fill="F3F8FC"/>
            <w:tcMar>
              <w:top w:w="55" w:type="dxa"/>
              <w:left w:w="55" w:type="dxa"/>
              <w:bottom w:w="55" w:type="dxa"/>
              <w:right w:w="55" w:type="dxa"/>
            </w:tcMar>
            <w:vAlign w:val="top"/>
          </w:tcPr>
          <w:p w14:paraId="7754797F">
            <w:pPr>
              <w:spacing w:before="0" w:after="0" w:line="228" w:lineRule="auto"/>
            </w:pPr>
            <w:r>
              <w:rPr>
                <w:rFonts w:ascii="Arial" w:hAnsi="Arial" w:eastAsia="Arial"/>
                <w:b w:val="0"/>
                <w:i w:val="0"/>
                <w:sz w:val="14"/>
              </w:rPr>
              <w:t>My shoulder pain is much worse at night, and I have not slept properly for weeks. Is this common with frozen shoulder, and what can I do?</w:t>
            </w:r>
          </w:p>
        </w:tc>
        <w:tc>
          <w:tcPr>
            <w:tcW w:w="5903" w:type="dxa"/>
            <w:shd w:val="clear" w:color="auto" w:fill="F3F8FC"/>
            <w:tcMar>
              <w:top w:w="55" w:type="dxa"/>
              <w:left w:w="55" w:type="dxa"/>
              <w:bottom w:w="55" w:type="dxa"/>
              <w:right w:w="55" w:type="dxa"/>
            </w:tcMar>
            <w:vAlign w:val="top"/>
          </w:tcPr>
          <w:p w14:paraId="20DDA221">
            <w:pPr>
              <w:spacing w:before="0" w:after="0" w:line="228" w:lineRule="auto"/>
            </w:pPr>
            <w:r>
              <w:rPr>
                <w:rFonts w:ascii="Arial" w:hAnsi="Arial" w:eastAsia="Arial"/>
                <w:b w:val="0"/>
                <w:i w:val="0"/>
                <w:sz w:val="14"/>
              </w:rPr>
              <w:t>Night pain and sleep disturbance are common, especially in the painful phase. Helpful advice may include sleeping on the unaffected side or on the back, supporting the affected arm with pillows, using an agreed analgesic plan, and keeping exercises gentle when symptoms are highly irritable. Persistent severe pain, systemic symptoms, trauma, or an atypical pattern warrants clinical review.</w:t>
            </w:r>
          </w:p>
        </w:tc>
        <w:tc>
          <w:tcPr>
            <w:tcW w:w="1944" w:type="dxa"/>
            <w:shd w:val="clear" w:color="auto" w:fill="F3F8FC"/>
            <w:tcMar>
              <w:top w:w="55" w:type="dxa"/>
              <w:left w:w="55" w:type="dxa"/>
              <w:bottom w:w="55" w:type="dxa"/>
              <w:right w:w="55" w:type="dxa"/>
            </w:tcMar>
            <w:vAlign w:val="top"/>
          </w:tcPr>
          <w:p w14:paraId="6C24A65B">
            <w:pPr>
              <w:spacing w:before="0" w:after="0" w:line="228" w:lineRule="auto"/>
            </w:pPr>
            <w:r>
              <w:rPr>
                <w:rFonts w:ascii="Arial" w:hAnsi="Arial" w:eastAsia="Arial"/>
                <w:b/>
                <w:i w:val="0"/>
                <w:color w:val="1F4E79"/>
                <w:sz w:val="14"/>
              </w:rPr>
              <w:t>R1; R2; R3; R19</w:t>
            </w:r>
          </w:p>
        </w:tc>
      </w:tr>
      <w:tr w14:paraId="595A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8DDC429">
            <w:pPr>
              <w:spacing w:before="0" w:after="0" w:line="228" w:lineRule="auto"/>
            </w:pPr>
            <w:r>
              <w:rPr>
                <w:rFonts w:ascii="Arial" w:hAnsi="Arial" w:eastAsia="Arial"/>
                <w:b/>
                <w:i w:val="0"/>
                <w:sz w:val="14"/>
              </w:rPr>
              <w:t>7</w:t>
            </w:r>
          </w:p>
        </w:tc>
        <w:tc>
          <w:tcPr>
            <w:tcW w:w="2088" w:type="dxa"/>
            <w:tcMar>
              <w:top w:w="55" w:type="dxa"/>
              <w:left w:w="55" w:type="dxa"/>
              <w:bottom w:w="55" w:type="dxa"/>
              <w:right w:w="55" w:type="dxa"/>
            </w:tcMar>
            <w:vAlign w:val="top"/>
          </w:tcPr>
          <w:p w14:paraId="2622F062">
            <w:pPr>
              <w:spacing w:before="0" w:after="0" w:line="228" w:lineRule="auto"/>
            </w:pPr>
            <w:r>
              <w:rPr>
                <w:rFonts w:ascii="Arial" w:hAnsi="Arial" w:eastAsia="Arial"/>
                <w:b w:val="0"/>
                <w:i w:val="0"/>
                <w:sz w:val="14"/>
              </w:rPr>
              <w:t>Symptoms, stages, and daily impact</w:t>
            </w:r>
          </w:p>
        </w:tc>
        <w:tc>
          <w:tcPr>
            <w:tcW w:w="3960" w:type="dxa"/>
            <w:tcMar>
              <w:top w:w="55" w:type="dxa"/>
              <w:left w:w="55" w:type="dxa"/>
              <w:bottom w:w="55" w:type="dxa"/>
              <w:right w:w="55" w:type="dxa"/>
            </w:tcMar>
            <w:vAlign w:val="top"/>
          </w:tcPr>
          <w:p w14:paraId="62ECF076">
            <w:pPr>
              <w:spacing w:before="0" w:after="0" w:line="228" w:lineRule="auto"/>
            </w:pPr>
            <w:r>
              <w:rPr>
                <w:rFonts w:ascii="Arial" w:hAnsi="Arial" w:eastAsia="Arial"/>
                <w:b w:val="0"/>
                <w:i w:val="0"/>
                <w:sz w:val="14"/>
              </w:rPr>
              <w:t>Why does frozen shoulder make it so hard to reach overhead, comb my hair, get dressed, or put my hand behind my back?</w:t>
            </w:r>
          </w:p>
        </w:tc>
        <w:tc>
          <w:tcPr>
            <w:tcW w:w="5903" w:type="dxa"/>
            <w:tcMar>
              <w:top w:w="55" w:type="dxa"/>
              <w:left w:w="55" w:type="dxa"/>
              <w:bottom w:w="55" w:type="dxa"/>
              <w:right w:w="55" w:type="dxa"/>
            </w:tcMar>
            <w:vAlign w:val="top"/>
          </w:tcPr>
          <w:p w14:paraId="2F07D759">
            <w:pPr>
              <w:spacing w:before="0" w:after="0" w:line="228" w:lineRule="auto"/>
            </w:pPr>
            <w:r>
              <w:rPr>
                <w:rFonts w:ascii="Arial" w:hAnsi="Arial" w:eastAsia="Arial"/>
                <w:b w:val="0"/>
                <w:i w:val="0"/>
                <w:sz w:val="14"/>
              </w:rPr>
              <w:t>Capsular restriction reduces elevation and rotation of the shoulder, so overhead reaching, grooming, dressing, and reaching behind the back become difficult. Patients may compensate by hiking or rotating the shoulder blade and trunk. The answer should link these functional problems to restricted joint motion rather than implying lack of effort.</w:t>
            </w:r>
          </w:p>
        </w:tc>
        <w:tc>
          <w:tcPr>
            <w:tcW w:w="1944" w:type="dxa"/>
            <w:tcMar>
              <w:top w:w="55" w:type="dxa"/>
              <w:left w:w="55" w:type="dxa"/>
              <w:bottom w:w="55" w:type="dxa"/>
              <w:right w:w="55" w:type="dxa"/>
            </w:tcMar>
            <w:vAlign w:val="top"/>
          </w:tcPr>
          <w:p w14:paraId="36E5D9AA">
            <w:pPr>
              <w:spacing w:before="0" w:after="0" w:line="228" w:lineRule="auto"/>
            </w:pPr>
            <w:r>
              <w:rPr>
                <w:rFonts w:ascii="Arial" w:hAnsi="Arial" w:eastAsia="Arial"/>
                <w:b/>
                <w:i w:val="0"/>
                <w:color w:val="1F4E79"/>
                <w:sz w:val="14"/>
              </w:rPr>
              <w:t>R1; R2; R3; R19</w:t>
            </w:r>
          </w:p>
        </w:tc>
      </w:tr>
      <w:tr w14:paraId="1B70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7AEC1B7D">
            <w:pPr>
              <w:spacing w:before="0" w:after="0" w:line="228" w:lineRule="auto"/>
            </w:pPr>
            <w:r>
              <w:rPr>
                <w:rFonts w:ascii="Arial" w:hAnsi="Arial" w:eastAsia="Arial"/>
                <w:b/>
                <w:i w:val="0"/>
                <w:sz w:val="14"/>
              </w:rPr>
              <w:t>8</w:t>
            </w:r>
          </w:p>
        </w:tc>
        <w:tc>
          <w:tcPr>
            <w:tcW w:w="2088" w:type="dxa"/>
            <w:shd w:val="clear" w:color="auto" w:fill="F3F8FC"/>
            <w:tcMar>
              <w:top w:w="55" w:type="dxa"/>
              <w:left w:w="55" w:type="dxa"/>
              <w:bottom w:w="55" w:type="dxa"/>
              <w:right w:w="55" w:type="dxa"/>
            </w:tcMar>
            <w:vAlign w:val="top"/>
          </w:tcPr>
          <w:p w14:paraId="16FACD7D">
            <w:pPr>
              <w:spacing w:before="0" w:after="0" w:line="228" w:lineRule="auto"/>
            </w:pPr>
            <w:r>
              <w:rPr>
                <w:rFonts w:ascii="Arial" w:hAnsi="Arial" w:eastAsia="Arial"/>
                <w:b w:val="0"/>
                <w:i w:val="0"/>
                <w:sz w:val="14"/>
              </w:rPr>
              <w:t>Symptoms, stages, and daily impact</w:t>
            </w:r>
          </w:p>
        </w:tc>
        <w:tc>
          <w:tcPr>
            <w:tcW w:w="3960" w:type="dxa"/>
            <w:shd w:val="clear" w:color="auto" w:fill="F3F8FC"/>
            <w:tcMar>
              <w:top w:w="55" w:type="dxa"/>
              <w:left w:w="55" w:type="dxa"/>
              <w:bottom w:w="55" w:type="dxa"/>
              <w:right w:w="55" w:type="dxa"/>
            </w:tcMar>
            <w:vAlign w:val="top"/>
          </w:tcPr>
          <w:p w14:paraId="4BB5857A">
            <w:pPr>
              <w:spacing w:before="0" w:after="0" w:line="228" w:lineRule="auto"/>
            </w:pPr>
            <w:r>
              <w:rPr>
                <w:rFonts w:ascii="Arial" w:hAnsi="Arial" w:eastAsia="Arial"/>
                <w:b w:val="0"/>
                <w:i w:val="0"/>
                <w:sz w:val="14"/>
              </w:rPr>
              <w:t>My pain has eased a little, but my shoulder feels even stiffer. Does that mean the condition is getting worse?</w:t>
            </w:r>
          </w:p>
        </w:tc>
        <w:tc>
          <w:tcPr>
            <w:tcW w:w="5903" w:type="dxa"/>
            <w:shd w:val="clear" w:color="auto" w:fill="F3F8FC"/>
            <w:tcMar>
              <w:top w:w="55" w:type="dxa"/>
              <w:left w:w="55" w:type="dxa"/>
              <w:bottom w:w="55" w:type="dxa"/>
              <w:right w:w="55" w:type="dxa"/>
            </w:tcMar>
            <w:vAlign w:val="top"/>
          </w:tcPr>
          <w:p w14:paraId="3FC0D14F">
            <w:pPr>
              <w:spacing w:before="0" w:after="0" w:line="228" w:lineRule="auto"/>
            </w:pPr>
            <w:r>
              <w:rPr>
                <w:rFonts w:ascii="Arial" w:hAnsi="Arial" w:eastAsia="Arial"/>
                <w:b w:val="0"/>
                <w:i w:val="0"/>
                <w:sz w:val="14"/>
              </w:rPr>
              <w:t>Pain can decrease while stiffness becomes more prominent, which may fit a transition toward a stiffness-dominant phase. This does not necessarily mean new tissue damage, but function and range of motion should be monitored. A sudden change, marked weakness, neurological symptoms, fever, or recent injury should not be attributed automatically to frozen shoulder.</w:t>
            </w:r>
          </w:p>
        </w:tc>
        <w:tc>
          <w:tcPr>
            <w:tcW w:w="1944" w:type="dxa"/>
            <w:shd w:val="clear" w:color="auto" w:fill="F3F8FC"/>
            <w:tcMar>
              <w:top w:w="55" w:type="dxa"/>
              <w:left w:w="55" w:type="dxa"/>
              <w:bottom w:w="55" w:type="dxa"/>
              <w:right w:w="55" w:type="dxa"/>
            </w:tcMar>
            <w:vAlign w:val="top"/>
          </w:tcPr>
          <w:p w14:paraId="7DAA6776">
            <w:pPr>
              <w:spacing w:before="0" w:after="0" w:line="228" w:lineRule="auto"/>
            </w:pPr>
            <w:r>
              <w:rPr>
                <w:rFonts w:ascii="Arial" w:hAnsi="Arial" w:eastAsia="Arial"/>
                <w:b/>
                <w:i w:val="0"/>
                <w:color w:val="1F4E79"/>
                <w:sz w:val="14"/>
              </w:rPr>
              <w:t>R1; R2; R3; R19</w:t>
            </w:r>
          </w:p>
        </w:tc>
      </w:tr>
      <w:tr w14:paraId="26D3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5FE02862">
            <w:pPr>
              <w:spacing w:before="0" w:after="0" w:line="228" w:lineRule="auto"/>
            </w:pPr>
            <w:r>
              <w:rPr>
                <w:rFonts w:ascii="Arial" w:hAnsi="Arial" w:eastAsia="Arial"/>
                <w:b/>
                <w:i w:val="0"/>
                <w:sz w:val="14"/>
              </w:rPr>
              <w:t>9</w:t>
            </w:r>
          </w:p>
        </w:tc>
        <w:tc>
          <w:tcPr>
            <w:tcW w:w="2088" w:type="dxa"/>
            <w:tcMar>
              <w:top w:w="55" w:type="dxa"/>
              <w:left w:w="55" w:type="dxa"/>
              <w:bottom w:w="55" w:type="dxa"/>
              <w:right w:w="55" w:type="dxa"/>
            </w:tcMar>
            <w:vAlign w:val="top"/>
          </w:tcPr>
          <w:p w14:paraId="4D578963">
            <w:pPr>
              <w:spacing w:before="0" w:after="0" w:line="228" w:lineRule="auto"/>
            </w:pPr>
            <w:r>
              <w:rPr>
                <w:rFonts w:ascii="Arial" w:hAnsi="Arial" w:eastAsia="Arial"/>
                <w:b w:val="0"/>
                <w:i w:val="0"/>
                <w:sz w:val="14"/>
              </w:rPr>
              <w:t>Symptoms, stages, and daily impact</w:t>
            </w:r>
          </w:p>
        </w:tc>
        <w:tc>
          <w:tcPr>
            <w:tcW w:w="3960" w:type="dxa"/>
            <w:tcMar>
              <w:top w:w="55" w:type="dxa"/>
              <w:left w:w="55" w:type="dxa"/>
              <w:bottom w:w="55" w:type="dxa"/>
              <w:right w:w="55" w:type="dxa"/>
            </w:tcMar>
            <w:vAlign w:val="top"/>
          </w:tcPr>
          <w:p w14:paraId="5E408ED8">
            <w:pPr>
              <w:spacing w:before="0" w:after="0" w:line="228" w:lineRule="auto"/>
            </w:pPr>
            <w:r>
              <w:rPr>
                <w:rFonts w:ascii="Arial" w:hAnsi="Arial" w:eastAsia="Arial"/>
                <w:b w:val="0"/>
                <w:i w:val="0"/>
                <w:sz w:val="14"/>
              </w:rPr>
              <w:t>Can frozen shoulder affect both shoulders at the same time or one after the other?</w:t>
            </w:r>
          </w:p>
        </w:tc>
        <w:tc>
          <w:tcPr>
            <w:tcW w:w="5903" w:type="dxa"/>
            <w:tcMar>
              <w:top w:w="55" w:type="dxa"/>
              <w:left w:w="55" w:type="dxa"/>
              <w:bottom w:w="55" w:type="dxa"/>
              <w:right w:w="55" w:type="dxa"/>
            </w:tcMar>
            <w:vAlign w:val="top"/>
          </w:tcPr>
          <w:p w14:paraId="32296FC5">
            <w:pPr>
              <w:spacing w:before="0" w:after="0" w:line="228" w:lineRule="auto"/>
            </w:pPr>
            <w:r>
              <w:rPr>
                <w:rFonts w:ascii="Arial" w:hAnsi="Arial" w:eastAsia="Arial"/>
                <w:b w:val="0"/>
                <w:i w:val="0"/>
                <w:sz w:val="14"/>
              </w:rPr>
              <w:t>Frozen shoulder can affect both shoulders, either simultaneously or, more commonly, at different times. Contralateral involvement is more likely in people with associated risk factors such as diabetes. A good response should not claim that bilateral symptoms prove frozen shoulder, because systemic, inflammatory, neurological, and other shoulder conditions remain possible.</w:t>
            </w:r>
          </w:p>
        </w:tc>
        <w:tc>
          <w:tcPr>
            <w:tcW w:w="1944" w:type="dxa"/>
            <w:tcMar>
              <w:top w:w="55" w:type="dxa"/>
              <w:left w:w="55" w:type="dxa"/>
              <w:bottom w:w="55" w:type="dxa"/>
              <w:right w:w="55" w:type="dxa"/>
            </w:tcMar>
            <w:vAlign w:val="top"/>
          </w:tcPr>
          <w:p w14:paraId="1A14B090">
            <w:pPr>
              <w:spacing w:before="0" w:after="0" w:line="228" w:lineRule="auto"/>
            </w:pPr>
            <w:r>
              <w:rPr>
                <w:rFonts w:ascii="Arial" w:hAnsi="Arial" w:eastAsia="Arial"/>
                <w:b/>
                <w:i w:val="0"/>
                <w:color w:val="1F4E79"/>
                <w:sz w:val="14"/>
              </w:rPr>
              <w:t>R1; R2; R10; R19</w:t>
            </w:r>
          </w:p>
        </w:tc>
      </w:tr>
      <w:tr w14:paraId="1832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33043B0A">
            <w:pPr>
              <w:spacing w:before="0" w:after="0" w:line="228" w:lineRule="auto"/>
            </w:pPr>
            <w:r>
              <w:rPr>
                <w:rFonts w:ascii="Arial" w:hAnsi="Arial" w:eastAsia="Arial"/>
                <w:b/>
                <w:i w:val="0"/>
                <w:sz w:val="14"/>
              </w:rPr>
              <w:t>10</w:t>
            </w:r>
          </w:p>
        </w:tc>
        <w:tc>
          <w:tcPr>
            <w:tcW w:w="2088" w:type="dxa"/>
            <w:shd w:val="clear" w:color="auto" w:fill="F3F8FC"/>
            <w:tcMar>
              <w:top w:w="55" w:type="dxa"/>
              <w:left w:w="55" w:type="dxa"/>
              <w:bottom w:w="55" w:type="dxa"/>
              <w:right w:w="55" w:type="dxa"/>
            </w:tcMar>
            <w:vAlign w:val="top"/>
          </w:tcPr>
          <w:p w14:paraId="5D980AF3">
            <w:pPr>
              <w:spacing w:before="0" w:after="0" w:line="228" w:lineRule="auto"/>
            </w:pPr>
            <w:r>
              <w:rPr>
                <w:rFonts w:ascii="Arial" w:hAnsi="Arial" w:eastAsia="Arial"/>
                <w:b w:val="0"/>
                <w:i w:val="0"/>
                <w:sz w:val="14"/>
              </w:rPr>
              <w:t>Symptoms, stages, and daily impact</w:t>
            </w:r>
          </w:p>
        </w:tc>
        <w:tc>
          <w:tcPr>
            <w:tcW w:w="3960" w:type="dxa"/>
            <w:shd w:val="clear" w:color="auto" w:fill="F3F8FC"/>
            <w:tcMar>
              <w:top w:w="55" w:type="dxa"/>
              <w:left w:w="55" w:type="dxa"/>
              <w:bottom w:w="55" w:type="dxa"/>
              <w:right w:w="55" w:type="dxa"/>
            </w:tcMar>
            <w:vAlign w:val="top"/>
          </w:tcPr>
          <w:p w14:paraId="596B7F7B">
            <w:pPr>
              <w:spacing w:before="0" w:after="0" w:line="228" w:lineRule="auto"/>
            </w:pPr>
            <w:r>
              <w:rPr>
                <w:rFonts w:ascii="Arial" w:hAnsi="Arial" w:eastAsia="Arial"/>
                <w:b w:val="0"/>
                <w:i w:val="0"/>
                <w:sz w:val="14"/>
              </w:rPr>
              <w:t>My affected arm feels weak. Can frozen shoulder cause weakness, or could something else be wrong?</w:t>
            </w:r>
          </w:p>
        </w:tc>
        <w:tc>
          <w:tcPr>
            <w:tcW w:w="5903" w:type="dxa"/>
            <w:shd w:val="clear" w:color="auto" w:fill="F3F8FC"/>
            <w:tcMar>
              <w:top w:w="55" w:type="dxa"/>
              <w:left w:w="55" w:type="dxa"/>
              <w:bottom w:w="55" w:type="dxa"/>
              <w:right w:w="55" w:type="dxa"/>
            </w:tcMar>
            <w:vAlign w:val="top"/>
          </w:tcPr>
          <w:p w14:paraId="3233866F">
            <w:pPr>
              <w:spacing w:before="0" w:after="0" w:line="228" w:lineRule="auto"/>
            </w:pPr>
            <w:r>
              <w:rPr>
                <w:rFonts w:ascii="Arial" w:hAnsi="Arial" w:eastAsia="Arial"/>
                <w:b w:val="0"/>
                <w:i w:val="0"/>
                <w:sz w:val="14"/>
              </w:rPr>
              <w:t>Pain, restricted movement, and disuse can make the arm feel weak. However, marked focal weakness, rapidly worsening weakness, a traumatic onset, numbness, or reflex changes can suggest rotator-cuff or neurological disease and should prompt assessment. Frozen shoulder should not be used to explain all weakness without examination.</w:t>
            </w:r>
          </w:p>
        </w:tc>
        <w:tc>
          <w:tcPr>
            <w:tcW w:w="1944" w:type="dxa"/>
            <w:shd w:val="clear" w:color="auto" w:fill="F3F8FC"/>
            <w:tcMar>
              <w:top w:w="55" w:type="dxa"/>
              <w:left w:w="55" w:type="dxa"/>
              <w:bottom w:w="55" w:type="dxa"/>
              <w:right w:w="55" w:type="dxa"/>
            </w:tcMar>
            <w:vAlign w:val="top"/>
          </w:tcPr>
          <w:p w14:paraId="52705599">
            <w:pPr>
              <w:spacing w:before="0" w:after="0" w:line="228" w:lineRule="auto"/>
            </w:pPr>
            <w:r>
              <w:rPr>
                <w:rFonts w:ascii="Arial" w:hAnsi="Arial" w:eastAsia="Arial"/>
                <w:b/>
                <w:i w:val="0"/>
                <w:color w:val="1F4E79"/>
                <w:sz w:val="14"/>
              </w:rPr>
              <w:t>R2; R3; R4; R5</w:t>
            </w:r>
          </w:p>
        </w:tc>
      </w:tr>
      <w:tr w14:paraId="15AB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54DD611B">
            <w:pPr>
              <w:spacing w:before="0" w:after="0" w:line="228" w:lineRule="auto"/>
            </w:pPr>
            <w:r>
              <w:rPr>
                <w:rFonts w:ascii="Arial" w:hAnsi="Arial" w:eastAsia="Arial"/>
                <w:b/>
                <w:i w:val="0"/>
                <w:sz w:val="14"/>
              </w:rPr>
              <w:t>11</w:t>
            </w:r>
          </w:p>
        </w:tc>
        <w:tc>
          <w:tcPr>
            <w:tcW w:w="2088" w:type="dxa"/>
            <w:tcMar>
              <w:top w:w="55" w:type="dxa"/>
              <w:left w:w="55" w:type="dxa"/>
              <w:bottom w:w="55" w:type="dxa"/>
              <w:right w:w="55" w:type="dxa"/>
            </w:tcMar>
            <w:vAlign w:val="top"/>
          </w:tcPr>
          <w:p w14:paraId="3AEBD62E">
            <w:pPr>
              <w:spacing w:before="0" w:after="0" w:line="228" w:lineRule="auto"/>
            </w:pPr>
            <w:r>
              <w:rPr>
                <w:rFonts w:ascii="Arial" w:hAnsi="Arial" w:eastAsia="Arial"/>
                <w:b w:val="0"/>
                <w:i w:val="0"/>
                <w:sz w:val="14"/>
              </w:rPr>
              <w:t>Risk factors and associated conditions</w:t>
            </w:r>
          </w:p>
        </w:tc>
        <w:tc>
          <w:tcPr>
            <w:tcW w:w="3960" w:type="dxa"/>
            <w:tcMar>
              <w:top w:w="55" w:type="dxa"/>
              <w:left w:w="55" w:type="dxa"/>
              <w:bottom w:w="55" w:type="dxa"/>
              <w:right w:w="55" w:type="dxa"/>
            </w:tcMar>
            <w:vAlign w:val="top"/>
          </w:tcPr>
          <w:p w14:paraId="569823FC">
            <w:pPr>
              <w:spacing w:before="0" w:after="0" w:line="228" w:lineRule="auto"/>
            </w:pPr>
            <w:r>
              <w:rPr>
                <w:rFonts w:ascii="Arial" w:hAnsi="Arial" w:eastAsia="Arial"/>
                <w:b w:val="0"/>
                <w:i w:val="0"/>
                <w:sz w:val="14"/>
              </w:rPr>
              <w:t>Who is more likely to develop frozen shoulder? Do age and sex matter?</w:t>
            </w:r>
          </w:p>
        </w:tc>
        <w:tc>
          <w:tcPr>
            <w:tcW w:w="5903" w:type="dxa"/>
            <w:tcMar>
              <w:top w:w="55" w:type="dxa"/>
              <w:left w:w="55" w:type="dxa"/>
              <w:bottom w:w="55" w:type="dxa"/>
              <w:right w:w="55" w:type="dxa"/>
            </w:tcMar>
            <w:vAlign w:val="top"/>
          </w:tcPr>
          <w:p w14:paraId="467AD200">
            <w:pPr>
              <w:spacing w:before="0" w:after="0" w:line="228" w:lineRule="auto"/>
            </w:pPr>
            <w:r>
              <w:rPr>
                <w:rFonts w:ascii="Arial" w:hAnsi="Arial" w:eastAsia="Arial"/>
                <w:b w:val="0"/>
                <w:i w:val="0"/>
                <w:sz w:val="14"/>
              </w:rPr>
              <w:t>Frozen shoulder is most often seen in middle age, commonly between about 40 and 60 years, and many studies report a higher frequency in women. Diabetes, thyroid disease, prior shoulder injury or surgery, prolonged immobilization, and some neurological or systemic conditions increase risk. Risk factors support but do not establish the diagnosis.</w:t>
            </w:r>
          </w:p>
        </w:tc>
        <w:tc>
          <w:tcPr>
            <w:tcW w:w="1944" w:type="dxa"/>
            <w:tcMar>
              <w:top w:w="55" w:type="dxa"/>
              <w:left w:w="55" w:type="dxa"/>
              <w:bottom w:w="55" w:type="dxa"/>
              <w:right w:w="55" w:type="dxa"/>
            </w:tcMar>
            <w:vAlign w:val="top"/>
          </w:tcPr>
          <w:p w14:paraId="2CD0167F">
            <w:pPr>
              <w:spacing w:before="0" w:after="0" w:line="228" w:lineRule="auto"/>
            </w:pPr>
            <w:r>
              <w:rPr>
                <w:rFonts w:ascii="Arial" w:hAnsi="Arial" w:eastAsia="Arial"/>
                <w:b/>
                <w:i w:val="0"/>
                <w:color w:val="1F4E79"/>
                <w:sz w:val="14"/>
              </w:rPr>
              <w:t>R1; R2; R10; R11; R19</w:t>
            </w:r>
          </w:p>
        </w:tc>
      </w:tr>
      <w:tr w14:paraId="67A0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4EC49323">
            <w:pPr>
              <w:spacing w:before="0" w:after="0" w:line="228" w:lineRule="auto"/>
            </w:pPr>
            <w:r>
              <w:rPr>
                <w:rFonts w:ascii="Arial" w:hAnsi="Arial" w:eastAsia="Arial"/>
                <w:b/>
                <w:i w:val="0"/>
                <w:sz w:val="14"/>
              </w:rPr>
              <w:t>12</w:t>
            </w:r>
          </w:p>
        </w:tc>
        <w:tc>
          <w:tcPr>
            <w:tcW w:w="2088" w:type="dxa"/>
            <w:shd w:val="clear" w:color="auto" w:fill="F3F8FC"/>
            <w:tcMar>
              <w:top w:w="55" w:type="dxa"/>
              <w:left w:w="55" w:type="dxa"/>
              <w:bottom w:w="55" w:type="dxa"/>
              <w:right w:w="55" w:type="dxa"/>
            </w:tcMar>
            <w:vAlign w:val="top"/>
          </w:tcPr>
          <w:p w14:paraId="7907E28E">
            <w:pPr>
              <w:spacing w:before="0" w:after="0" w:line="228" w:lineRule="auto"/>
            </w:pPr>
            <w:r>
              <w:rPr>
                <w:rFonts w:ascii="Arial" w:hAnsi="Arial" w:eastAsia="Arial"/>
                <w:b w:val="0"/>
                <w:i w:val="0"/>
                <w:sz w:val="14"/>
              </w:rPr>
              <w:t>Risk factors and associated conditions</w:t>
            </w:r>
          </w:p>
        </w:tc>
        <w:tc>
          <w:tcPr>
            <w:tcW w:w="3960" w:type="dxa"/>
            <w:shd w:val="clear" w:color="auto" w:fill="F3F8FC"/>
            <w:tcMar>
              <w:top w:w="55" w:type="dxa"/>
              <w:left w:w="55" w:type="dxa"/>
              <w:bottom w:w="55" w:type="dxa"/>
              <w:right w:w="55" w:type="dxa"/>
            </w:tcMar>
            <w:vAlign w:val="top"/>
          </w:tcPr>
          <w:p w14:paraId="5821F964">
            <w:pPr>
              <w:spacing w:before="0" w:after="0" w:line="228" w:lineRule="auto"/>
            </w:pPr>
            <w:r>
              <w:rPr>
                <w:rFonts w:ascii="Arial" w:hAnsi="Arial" w:eastAsia="Arial"/>
                <w:b w:val="0"/>
                <w:i w:val="0"/>
                <w:sz w:val="14"/>
              </w:rPr>
              <w:t>I have diabetes, and my frozen shoulder is not improving. Does diabetes increase the risk or make recovery slower?</w:t>
            </w:r>
          </w:p>
        </w:tc>
        <w:tc>
          <w:tcPr>
            <w:tcW w:w="5903" w:type="dxa"/>
            <w:shd w:val="clear" w:color="auto" w:fill="F3F8FC"/>
            <w:tcMar>
              <w:top w:w="55" w:type="dxa"/>
              <w:left w:w="55" w:type="dxa"/>
              <w:bottom w:w="55" w:type="dxa"/>
              <w:right w:w="55" w:type="dxa"/>
            </w:tcMar>
            <w:vAlign w:val="top"/>
          </w:tcPr>
          <w:p w14:paraId="1BDB8733">
            <w:pPr>
              <w:spacing w:before="0" w:after="0" w:line="228" w:lineRule="auto"/>
            </w:pPr>
            <w:r>
              <w:rPr>
                <w:rFonts w:ascii="Arial" w:hAnsi="Arial" w:eastAsia="Arial"/>
                <w:b w:val="0"/>
                <w:i w:val="0"/>
                <w:sz w:val="14"/>
              </w:rPr>
              <w:t>Diabetes is strongly associated with frozen shoulder and may be linked to more severe, prolonged, or treatment-resistant symptoms. Glucose management is important for general health and may affect treatment planning, although good control does not guarantee rapid recovery. Steroid injections can transiently raise blood glucose, so monitoring and individualized advice are appropriate.</w:t>
            </w:r>
          </w:p>
        </w:tc>
        <w:tc>
          <w:tcPr>
            <w:tcW w:w="1944" w:type="dxa"/>
            <w:shd w:val="clear" w:color="auto" w:fill="F3F8FC"/>
            <w:tcMar>
              <w:top w:w="55" w:type="dxa"/>
              <w:left w:w="55" w:type="dxa"/>
              <w:bottom w:w="55" w:type="dxa"/>
              <w:right w:w="55" w:type="dxa"/>
            </w:tcMar>
            <w:vAlign w:val="top"/>
          </w:tcPr>
          <w:p w14:paraId="24BCAB59">
            <w:pPr>
              <w:spacing w:before="0" w:after="0" w:line="228" w:lineRule="auto"/>
            </w:pPr>
            <w:r>
              <w:rPr>
                <w:rFonts w:ascii="Arial" w:hAnsi="Arial" w:eastAsia="Arial"/>
                <w:b/>
                <w:i w:val="0"/>
                <w:color w:val="1F4E79"/>
                <w:sz w:val="14"/>
              </w:rPr>
              <w:t>R1; R2; R6; R10; R19</w:t>
            </w:r>
          </w:p>
        </w:tc>
      </w:tr>
      <w:tr w14:paraId="0CD6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785D77AD">
            <w:pPr>
              <w:spacing w:before="0" w:after="0" w:line="228" w:lineRule="auto"/>
            </w:pPr>
            <w:r>
              <w:rPr>
                <w:rFonts w:ascii="Arial" w:hAnsi="Arial" w:eastAsia="Arial"/>
                <w:b/>
                <w:i w:val="0"/>
                <w:sz w:val="14"/>
              </w:rPr>
              <w:t>13</w:t>
            </w:r>
          </w:p>
        </w:tc>
        <w:tc>
          <w:tcPr>
            <w:tcW w:w="2088" w:type="dxa"/>
            <w:tcMar>
              <w:top w:w="55" w:type="dxa"/>
              <w:left w:w="55" w:type="dxa"/>
              <w:bottom w:w="55" w:type="dxa"/>
              <w:right w:w="55" w:type="dxa"/>
            </w:tcMar>
            <w:vAlign w:val="top"/>
          </w:tcPr>
          <w:p w14:paraId="6CAF636E">
            <w:pPr>
              <w:spacing w:before="0" w:after="0" w:line="228" w:lineRule="auto"/>
            </w:pPr>
            <w:r>
              <w:rPr>
                <w:rFonts w:ascii="Arial" w:hAnsi="Arial" w:eastAsia="Arial"/>
                <w:b w:val="0"/>
                <w:i w:val="0"/>
                <w:sz w:val="14"/>
              </w:rPr>
              <w:t>Risk factors and associated conditions</w:t>
            </w:r>
          </w:p>
        </w:tc>
        <w:tc>
          <w:tcPr>
            <w:tcW w:w="3960" w:type="dxa"/>
            <w:tcMar>
              <w:top w:w="55" w:type="dxa"/>
              <w:left w:w="55" w:type="dxa"/>
              <w:bottom w:w="55" w:type="dxa"/>
              <w:right w:w="55" w:type="dxa"/>
            </w:tcMar>
            <w:vAlign w:val="top"/>
          </w:tcPr>
          <w:p w14:paraId="3760A9A7">
            <w:pPr>
              <w:spacing w:before="0" w:after="0" w:line="228" w:lineRule="auto"/>
            </w:pPr>
            <w:r>
              <w:rPr>
                <w:rFonts w:ascii="Arial" w:hAnsi="Arial" w:eastAsia="Arial"/>
                <w:b w:val="0"/>
                <w:i w:val="0"/>
                <w:sz w:val="14"/>
              </w:rPr>
              <w:t>Is thyroid disease linked to frozen shoulder?</w:t>
            </w:r>
          </w:p>
        </w:tc>
        <w:tc>
          <w:tcPr>
            <w:tcW w:w="5903" w:type="dxa"/>
            <w:tcMar>
              <w:top w:w="55" w:type="dxa"/>
              <w:left w:w="55" w:type="dxa"/>
              <w:bottom w:w="55" w:type="dxa"/>
              <w:right w:w="55" w:type="dxa"/>
            </w:tcMar>
            <w:vAlign w:val="top"/>
          </w:tcPr>
          <w:p w14:paraId="206CD64F">
            <w:pPr>
              <w:spacing w:before="0" w:after="0" w:line="228" w:lineRule="auto"/>
            </w:pPr>
            <w:r>
              <w:rPr>
                <w:rFonts w:ascii="Arial" w:hAnsi="Arial" w:eastAsia="Arial"/>
                <w:b w:val="0"/>
                <w:i w:val="0"/>
                <w:sz w:val="14"/>
              </w:rPr>
              <w:t>Thyroid disease, particularly hypothyroid states in the available literature, is associated with an increased risk of frozen shoulder. The association does not prove that thyroid disease directly caused an individual patient’s symptoms. Thyroid testing should be guided by clinical history, symptoms, prior diagnosis, and local practice.</w:t>
            </w:r>
          </w:p>
        </w:tc>
        <w:tc>
          <w:tcPr>
            <w:tcW w:w="1944" w:type="dxa"/>
            <w:tcMar>
              <w:top w:w="55" w:type="dxa"/>
              <w:left w:w="55" w:type="dxa"/>
              <w:bottom w:w="55" w:type="dxa"/>
              <w:right w:w="55" w:type="dxa"/>
            </w:tcMar>
            <w:vAlign w:val="top"/>
          </w:tcPr>
          <w:p w14:paraId="4A075EFC">
            <w:pPr>
              <w:spacing w:before="0" w:after="0" w:line="228" w:lineRule="auto"/>
            </w:pPr>
            <w:r>
              <w:rPr>
                <w:rFonts w:ascii="Arial" w:hAnsi="Arial" w:eastAsia="Arial"/>
                <w:b/>
                <w:i w:val="0"/>
                <w:color w:val="1F4E79"/>
                <w:sz w:val="14"/>
              </w:rPr>
              <w:t>R1; R2; R11; R19</w:t>
            </w:r>
          </w:p>
        </w:tc>
      </w:tr>
      <w:tr w14:paraId="6821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2FF6933">
            <w:pPr>
              <w:spacing w:before="0" w:after="0" w:line="228" w:lineRule="auto"/>
            </w:pPr>
            <w:r>
              <w:rPr>
                <w:rFonts w:ascii="Arial" w:hAnsi="Arial" w:eastAsia="Arial"/>
                <w:b/>
                <w:i w:val="0"/>
                <w:sz w:val="14"/>
              </w:rPr>
              <w:t>14</w:t>
            </w:r>
          </w:p>
        </w:tc>
        <w:tc>
          <w:tcPr>
            <w:tcW w:w="2088" w:type="dxa"/>
            <w:shd w:val="clear" w:color="auto" w:fill="F3F8FC"/>
            <w:tcMar>
              <w:top w:w="55" w:type="dxa"/>
              <w:left w:w="55" w:type="dxa"/>
              <w:bottom w:w="55" w:type="dxa"/>
              <w:right w:w="55" w:type="dxa"/>
            </w:tcMar>
            <w:vAlign w:val="top"/>
          </w:tcPr>
          <w:p w14:paraId="21F4C82B">
            <w:pPr>
              <w:spacing w:before="0" w:after="0" w:line="228" w:lineRule="auto"/>
            </w:pPr>
            <w:r>
              <w:rPr>
                <w:rFonts w:ascii="Arial" w:hAnsi="Arial" w:eastAsia="Arial"/>
                <w:b w:val="0"/>
                <w:i w:val="0"/>
                <w:sz w:val="14"/>
              </w:rPr>
              <w:t>Risk factors and associated conditions</w:t>
            </w:r>
          </w:p>
        </w:tc>
        <w:tc>
          <w:tcPr>
            <w:tcW w:w="3960" w:type="dxa"/>
            <w:shd w:val="clear" w:color="auto" w:fill="F3F8FC"/>
            <w:tcMar>
              <w:top w:w="55" w:type="dxa"/>
              <w:left w:w="55" w:type="dxa"/>
              <w:bottom w:w="55" w:type="dxa"/>
              <w:right w:w="55" w:type="dxa"/>
            </w:tcMar>
            <w:vAlign w:val="top"/>
          </w:tcPr>
          <w:p w14:paraId="6DC0B3C8">
            <w:pPr>
              <w:spacing w:before="0" w:after="0" w:line="228" w:lineRule="auto"/>
            </w:pPr>
            <w:r>
              <w:rPr>
                <w:rFonts w:ascii="Arial" w:hAnsi="Arial" w:eastAsia="Arial"/>
                <w:b w:val="0"/>
                <w:i w:val="0"/>
                <w:sz w:val="14"/>
              </w:rPr>
              <w:t>Why can frozen shoulder develop after a shoulder injury, fracture, surgery, or a long period in a sling?</w:t>
            </w:r>
          </w:p>
        </w:tc>
        <w:tc>
          <w:tcPr>
            <w:tcW w:w="5903" w:type="dxa"/>
            <w:shd w:val="clear" w:color="auto" w:fill="F3F8FC"/>
            <w:tcMar>
              <w:top w:w="55" w:type="dxa"/>
              <w:left w:w="55" w:type="dxa"/>
              <w:bottom w:w="55" w:type="dxa"/>
              <w:right w:w="55" w:type="dxa"/>
            </w:tcMar>
            <w:vAlign w:val="top"/>
          </w:tcPr>
          <w:p w14:paraId="3F15D125">
            <w:pPr>
              <w:spacing w:before="0" w:after="0" w:line="228" w:lineRule="auto"/>
            </w:pPr>
            <w:r>
              <w:rPr>
                <w:rFonts w:ascii="Arial" w:hAnsi="Arial" w:eastAsia="Arial"/>
                <w:b w:val="0"/>
                <w:i w:val="0"/>
                <w:sz w:val="14"/>
              </w:rPr>
              <w:t>Pain, inflammation, tissue injury, and prolonged protective immobilization can reduce shoulder movement and contribute to secondary capsular stiffness. Early safe movement and rehabilitation, when allowed by the treating clinician, may reduce avoidable stiffness. Advice must respect fracture, surgical, or tendon-repair precautions rather than encouraging unrestricted movement.</w:t>
            </w:r>
          </w:p>
        </w:tc>
        <w:tc>
          <w:tcPr>
            <w:tcW w:w="1944" w:type="dxa"/>
            <w:shd w:val="clear" w:color="auto" w:fill="F3F8FC"/>
            <w:tcMar>
              <w:top w:w="55" w:type="dxa"/>
              <w:left w:w="55" w:type="dxa"/>
              <w:bottom w:w="55" w:type="dxa"/>
              <w:right w:w="55" w:type="dxa"/>
            </w:tcMar>
            <w:vAlign w:val="top"/>
          </w:tcPr>
          <w:p w14:paraId="64691196">
            <w:pPr>
              <w:spacing w:before="0" w:after="0" w:line="228" w:lineRule="auto"/>
            </w:pPr>
            <w:r>
              <w:rPr>
                <w:rFonts w:ascii="Arial" w:hAnsi="Arial" w:eastAsia="Arial"/>
                <w:b/>
                <w:i w:val="0"/>
                <w:color w:val="1F4E79"/>
                <w:sz w:val="14"/>
              </w:rPr>
              <w:t>R2; R3; R5; R19</w:t>
            </w:r>
          </w:p>
        </w:tc>
      </w:tr>
      <w:tr w14:paraId="4F14B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250E33D3">
            <w:pPr>
              <w:spacing w:before="0" w:after="0" w:line="228" w:lineRule="auto"/>
            </w:pPr>
            <w:r>
              <w:rPr>
                <w:rFonts w:ascii="Arial" w:hAnsi="Arial" w:eastAsia="Arial"/>
                <w:b/>
                <w:i w:val="0"/>
                <w:sz w:val="14"/>
              </w:rPr>
              <w:t>15</w:t>
            </w:r>
          </w:p>
        </w:tc>
        <w:tc>
          <w:tcPr>
            <w:tcW w:w="2088" w:type="dxa"/>
            <w:tcMar>
              <w:top w:w="55" w:type="dxa"/>
              <w:left w:w="55" w:type="dxa"/>
              <w:bottom w:w="55" w:type="dxa"/>
              <w:right w:w="55" w:type="dxa"/>
            </w:tcMar>
            <w:vAlign w:val="top"/>
          </w:tcPr>
          <w:p w14:paraId="359EC0D6">
            <w:pPr>
              <w:spacing w:before="0" w:after="0" w:line="228" w:lineRule="auto"/>
            </w:pPr>
            <w:r>
              <w:rPr>
                <w:rFonts w:ascii="Arial" w:hAnsi="Arial" w:eastAsia="Arial"/>
                <w:b w:val="0"/>
                <w:i w:val="0"/>
                <w:sz w:val="14"/>
              </w:rPr>
              <w:t>Diagnosis, physical examination, and investigations</w:t>
            </w:r>
          </w:p>
        </w:tc>
        <w:tc>
          <w:tcPr>
            <w:tcW w:w="3960" w:type="dxa"/>
            <w:tcMar>
              <w:top w:w="55" w:type="dxa"/>
              <w:left w:w="55" w:type="dxa"/>
              <w:bottom w:w="55" w:type="dxa"/>
              <w:right w:w="55" w:type="dxa"/>
            </w:tcMar>
            <w:vAlign w:val="top"/>
          </w:tcPr>
          <w:p w14:paraId="70D516F6">
            <w:pPr>
              <w:spacing w:before="0" w:after="0" w:line="228" w:lineRule="auto"/>
            </w:pPr>
            <w:r>
              <w:rPr>
                <w:rFonts w:ascii="Arial" w:hAnsi="Arial" w:eastAsia="Arial"/>
                <w:b w:val="0"/>
                <w:i w:val="0"/>
                <w:sz w:val="14"/>
              </w:rPr>
              <w:t>How do clinicians usually diagnose frozen shoulder from the symptoms and physical examination?</w:t>
            </w:r>
          </w:p>
        </w:tc>
        <w:tc>
          <w:tcPr>
            <w:tcW w:w="5903" w:type="dxa"/>
            <w:tcMar>
              <w:top w:w="55" w:type="dxa"/>
              <w:left w:w="55" w:type="dxa"/>
              <w:bottom w:w="55" w:type="dxa"/>
              <w:right w:w="55" w:type="dxa"/>
            </w:tcMar>
            <w:vAlign w:val="top"/>
          </w:tcPr>
          <w:p w14:paraId="5588398C">
            <w:pPr>
              <w:spacing w:before="0" w:after="0" w:line="228" w:lineRule="auto"/>
            </w:pPr>
            <w:r>
              <w:rPr>
                <w:rFonts w:ascii="Arial" w:hAnsi="Arial" w:eastAsia="Arial"/>
                <w:b w:val="0"/>
                <w:i w:val="0"/>
                <w:sz w:val="14"/>
              </w:rPr>
              <w:t>Diagnosis is mainly clinical: a gradual onset of shoulder pain and stiffness, substantial loss of both active and passive movement, and a capsular pattern in which external rotation is often especially restricted. Clinicians also examine the neck, strength, neurological findings, and other shoulder structures, and use imaging when needed to exclude alternatives. There is no single symptom that is diagnostic by itself.</w:t>
            </w:r>
          </w:p>
        </w:tc>
        <w:tc>
          <w:tcPr>
            <w:tcW w:w="1944" w:type="dxa"/>
            <w:tcMar>
              <w:top w:w="55" w:type="dxa"/>
              <w:left w:w="55" w:type="dxa"/>
              <w:bottom w:w="55" w:type="dxa"/>
              <w:right w:w="55" w:type="dxa"/>
            </w:tcMar>
            <w:vAlign w:val="top"/>
          </w:tcPr>
          <w:p w14:paraId="501163B1">
            <w:pPr>
              <w:spacing w:before="0" w:after="0" w:line="228" w:lineRule="auto"/>
            </w:pPr>
            <w:r>
              <w:rPr>
                <w:rFonts w:ascii="Arial" w:hAnsi="Arial" w:eastAsia="Arial"/>
                <w:b/>
                <w:i w:val="0"/>
                <w:color w:val="1F4E79"/>
                <w:sz w:val="14"/>
              </w:rPr>
              <w:t>R1; R2; R3; R4; R19</w:t>
            </w:r>
          </w:p>
        </w:tc>
      </w:tr>
      <w:tr w14:paraId="1437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382D4A8C">
            <w:pPr>
              <w:spacing w:before="0" w:after="0" w:line="228" w:lineRule="auto"/>
            </w:pPr>
            <w:r>
              <w:rPr>
                <w:rFonts w:ascii="Arial" w:hAnsi="Arial" w:eastAsia="Arial"/>
                <w:b/>
                <w:i w:val="0"/>
                <w:sz w:val="14"/>
              </w:rPr>
              <w:t>16</w:t>
            </w:r>
          </w:p>
        </w:tc>
        <w:tc>
          <w:tcPr>
            <w:tcW w:w="2088" w:type="dxa"/>
            <w:shd w:val="clear" w:color="auto" w:fill="F3F8FC"/>
            <w:tcMar>
              <w:top w:w="55" w:type="dxa"/>
              <w:left w:w="55" w:type="dxa"/>
              <w:bottom w:w="55" w:type="dxa"/>
              <w:right w:w="55" w:type="dxa"/>
            </w:tcMar>
            <w:vAlign w:val="top"/>
          </w:tcPr>
          <w:p w14:paraId="2AE0B902">
            <w:pPr>
              <w:spacing w:before="0" w:after="0" w:line="228" w:lineRule="auto"/>
            </w:pPr>
            <w:r>
              <w:rPr>
                <w:rFonts w:ascii="Arial" w:hAnsi="Arial" w:eastAsia="Arial"/>
                <w:b w:val="0"/>
                <w:i w:val="0"/>
                <w:sz w:val="14"/>
              </w:rPr>
              <w:t>Diagnosis, physical examination, and investigations</w:t>
            </w:r>
          </w:p>
        </w:tc>
        <w:tc>
          <w:tcPr>
            <w:tcW w:w="3960" w:type="dxa"/>
            <w:shd w:val="clear" w:color="auto" w:fill="F3F8FC"/>
            <w:tcMar>
              <w:top w:w="55" w:type="dxa"/>
              <w:left w:w="55" w:type="dxa"/>
              <w:bottom w:w="55" w:type="dxa"/>
              <w:right w:w="55" w:type="dxa"/>
            </w:tcMar>
            <w:vAlign w:val="top"/>
          </w:tcPr>
          <w:p w14:paraId="4293153E">
            <w:pPr>
              <w:spacing w:before="0" w:after="0" w:line="228" w:lineRule="auto"/>
            </w:pPr>
            <w:r>
              <w:rPr>
                <w:rFonts w:ascii="Arial" w:hAnsi="Arial" w:eastAsia="Arial"/>
                <w:b w:val="0"/>
                <w:i w:val="0"/>
                <w:sz w:val="14"/>
              </w:rPr>
              <w:t>Why does the clinician check both how far I can move my arm myself and how far it can be moved for me?</w:t>
            </w:r>
          </w:p>
        </w:tc>
        <w:tc>
          <w:tcPr>
            <w:tcW w:w="5903" w:type="dxa"/>
            <w:shd w:val="clear" w:color="auto" w:fill="F3F8FC"/>
            <w:tcMar>
              <w:top w:w="55" w:type="dxa"/>
              <w:left w:w="55" w:type="dxa"/>
              <w:bottom w:w="55" w:type="dxa"/>
              <w:right w:w="55" w:type="dxa"/>
            </w:tcMar>
            <w:vAlign w:val="top"/>
          </w:tcPr>
          <w:p w14:paraId="727EE445">
            <w:pPr>
              <w:spacing w:before="0" w:after="0" w:line="228" w:lineRule="auto"/>
            </w:pPr>
            <w:r>
              <w:rPr>
                <w:rFonts w:ascii="Arial" w:hAnsi="Arial" w:eastAsia="Arial"/>
                <w:b w:val="0"/>
                <w:i w:val="0"/>
                <w:sz w:val="14"/>
              </w:rPr>
              <w:t>Restriction of both active and passive movement supports capsular restriction. When active movement is much worse than passive movement, pain inhibition, a rotator-cuff tear, muscle weakness, or neurological disease may be more likely. The comparison therefore helps distinguish frozen shoulder from other causes of limited use.</w:t>
            </w:r>
          </w:p>
        </w:tc>
        <w:tc>
          <w:tcPr>
            <w:tcW w:w="1944" w:type="dxa"/>
            <w:shd w:val="clear" w:color="auto" w:fill="F3F8FC"/>
            <w:tcMar>
              <w:top w:w="55" w:type="dxa"/>
              <w:left w:w="55" w:type="dxa"/>
              <w:bottom w:w="55" w:type="dxa"/>
              <w:right w:w="55" w:type="dxa"/>
            </w:tcMar>
            <w:vAlign w:val="top"/>
          </w:tcPr>
          <w:p w14:paraId="79DF3C53">
            <w:pPr>
              <w:spacing w:before="0" w:after="0" w:line="228" w:lineRule="auto"/>
            </w:pPr>
            <w:r>
              <w:rPr>
                <w:rFonts w:ascii="Arial" w:hAnsi="Arial" w:eastAsia="Arial"/>
                <w:b/>
                <w:i w:val="0"/>
                <w:color w:val="1F4E79"/>
                <w:sz w:val="14"/>
              </w:rPr>
              <w:t>R1; R2; R3; R4</w:t>
            </w:r>
          </w:p>
        </w:tc>
      </w:tr>
      <w:tr w14:paraId="4FFE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AFA66D0">
            <w:pPr>
              <w:spacing w:before="0" w:after="0" w:line="228" w:lineRule="auto"/>
            </w:pPr>
            <w:r>
              <w:rPr>
                <w:rFonts w:ascii="Arial" w:hAnsi="Arial" w:eastAsia="Arial"/>
                <w:b/>
                <w:i w:val="0"/>
                <w:sz w:val="14"/>
              </w:rPr>
              <w:t>17</w:t>
            </w:r>
          </w:p>
        </w:tc>
        <w:tc>
          <w:tcPr>
            <w:tcW w:w="2088" w:type="dxa"/>
            <w:tcMar>
              <w:top w:w="55" w:type="dxa"/>
              <w:left w:w="55" w:type="dxa"/>
              <w:bottom w:w="55" w:type="dxa"/>
              <w:right w:w="55" w:type="dxa"/>
            </w:tcMar>
            <w:vAlign w:val="top"/>
          </w:tcPr>
          <w:p w14:paraId="701569D6">
            <w:pPr>
              <w:spacing w:before="0" w:after="0" w:line="228" w:lineRule="auto"/>
            </w:pPr>
            <w:r>
              <w:rPr>
                <w:rFonts w:ascii="Arial" w:hAnsi="Arial" w:eastAsia="Arial"/>
                <w:b w:val="0"/>
                <w:i w:val="0"/>
                <w:sz w:val="14"/>
              </w:rPr>
              <w:t>Diagnosis, physical examination, and investigations</w:t>
            </w:r>
          </w:p>
        </w:tc>
        <w:tc>
          <w:tcPr>
            <w:tcW w:w="3960" w:type="dxa"/>
            <w:tcMar>
              <w:top w:w="55" w:type="dxa"/>
              <w:left w:w="55" w:type="dxa"/>
              <w:bottom w:w="55" w:type="dxa"/>
              <w:right w:w="55" w:type="dxa"/>
            </w:tcMar>
            <w:vAlign w:val="top"/>
          </w:tcPr>
          <w:p w14:paraId="2B30C688">
            <w:pPr>
              <w:spacing w:before="0" w:after="0" w:line="228" w:lineRule="auto"/>
            </w:pPr>
            <w:r>
              <w:rPr>
                <w:rFonts w:ascii="Arial" w:hAnsi="Arial" w:eastAsia="Arial"/>
                <w:b w:val="0"/>
                <w:i w:val="0"/>
                <w:sz w:val="14"/>
              </w:rPr>
              <w:t>Is there a single test that can confirm frozen shoulder with 100% certainty?</w:t>
            </w:r>
          </w:p>
        </w:tc>
        <w:tc>
          <w:tcPr>
            <w:tcW w:w="5903" w:type="dxa"/>
            <w:tcMar>
              <w:top w:w="55" w:type="dxa"/>
              <w:left w:w="55" w:type="dxa"/>
              <w:bottom w:w="55" w:type="dxa"/>
              <w:right w:w="55" w:type="dxa"/>
            </w:tcMar>
            <w:vAlign w:val="top"/>
          </w:tcPr>
          <w:p w14:paraId="313B99E3">
            <w:pPr>
              <w:spacing w:before="0" w:after="0" w:line="228" w:lineRule="auto"/>
            </w:pPr>
            <w:r>
              <w:rPr>
                <w:rFonts w:ascii="Arial" w:hAnsi="Arial" w:eastAsia="Arial"/>
                <w:b w:val="0"/>
                <w:i w:val="0"/>
                <w:sz w:val="14"/>
              </w:rPr>
              <w:t>No single physical maneuver, blood test, X-ray, ultrasound, or MRI confirms every case with 100% certainty. Frozen shoulder is diagnosed from the overall clinical pattern and by excluding important alternative causes. Imaging findings can support the diagnosis but should not replace clinical assessment.</w:t>
            </w:r>
          </w:p>
        </w:tc>
        <w:tc>
          <w:tcPr>
            <w:tcW w:w="1944" w:type="dxa"/>
            <w:tcMar>
              <w:top w:w="55" w:type="dxa"/>
              <w:left w:w="55" w:type="dxa"/>
              <w:bottom w:w="55" w:type="dxa"/>
              <w:right w:w="55" w:type="dxa"/>
            </w:tcMar>
            <w:vAlign w:val="top"/>
          </w:tcPr>
          <w:p w14:paraId="05987146">
            <w:pPr>
              <w:spacing w:before="0" w:after="0" w:line="228" w:lineRule="auto"/>
            </w:pPr>
            <w:r>
              <w:rPr>
                <w:rFonts w:ascii="Arial" w:hAnsi="Arial" w:eastAsia="Arial"/>
                <w:b/>
                <w:i w:val="0"/>
                <w:color w:val="1F4E79"/>
                <w:sz w:val="14"/>
              </w:rPr>
              <w:t>R1; R2; R3; R4</w:t>
            </w:r>
          </w:p>
        </w:tc>
      </w:tr>
      <w:tr w14:paraId="0805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ADF9A7D">
            <w:pPr>
              <w:spacing w:before="0" w:after="0" w:line="228" w:lineRule="auto"/>
            </w:pPr>
            <w:r>
              <w:rPr>
                <w:rFonts w:ascii="Arial" w:hAnsi="Arial" w:eastAsia="Arial"/>
                <w:b/>
                <w:i w:val="0"/>
                <w:sz w:val="14"/>
              </w:rPr>
              <w:t>18</w:t>
            </w:r>
          </w:p>
        </w:tc>
        <w:tc>
          <w:tcPr>
            <w:tcW w:w="2088" w:type="dxa"/>
            <w:shd w:val="clear" w:color="auto" w:fill="F3F8FC"/>
            <w:tcMar>
              <w:top w:w="55" w:type="dxa"/>
              <w:left w:w="55" w:type="dxa"/>
              <w:bottom w:w="55" w:type="dxa"/>
              <w:right w:w="55" w:type="dxa"/>
            </w:tcMar>
            <w:vAlign w:val="top"/>
          </w:tcPr>
          <w:p w14:paraId="2B084234">
            <w:pPr>
              <w:spacing w:before="0" w:after="0" w:line="228" w:lineRule="auto"/>
            </w:pPr>
            <w:r>
              <w:rPr>
                <w:rFonts w:ascii="Arial" w:hAnsi="Arial" w:eastAsia="Arial"/>
                <w:b w:val="0"/>
                <w:i w:val="0"/>
                <w:sz w:val="14"/>
              </w:rPr>
              <w:t>Diagnosis, physical examination, and investigations</w:t>
            </w:r>
          </w:p>
        </w:tc>
        <w:tc>
          <w:tcPr>
            <w:tcW w:w="3960" w:type="dxa"/>
            <w:shd w:val="clear" w:color="auto" w:fill="F3F8FC"/>
            <w:tcMar>
              <w:top w:w="55" w:type="dxa"/>
              <w:left w:w="55" w:type="dxa"/>
              <w:bottom w:w="55" w:type="dxa"/>
              <w:right w:w="55" w:type="dxa"/>
            </w:tcMar>
            <w:vAlign w:val="top"/>
          </w:tcPr>
          <w:p w14:paraId="0D1263F1">
            <w:pPr>
              <w:spacing w:before="0" w:after="0" w:line="228" w:lineRule="auto"/>
            </w:pPr>
            <w:r>
              <w:rPr>
                <w:rFonts w:ascii="Arial" w:hAnsi="Arial" w:eastAsia="Arial"/>
                <w:b w:val="0"/>
                <w:i w:val="0"/>
                <w:sz w:val="14"/>
              </w:rPr>
              <w:t>Why might I need an X-ray for suspected frozen shoulder, and what can it show or rule out?</w:t>
            </w:r>
          </w:p>
        </w:tc>
        <w:tc>
          <w:tcPr>
            <w:tcW w:w="5903" w:type="dxa"/>
            <w:shd w:val="clear" w:color="auto" w:fill="F3F8FC"/>
            <w:tcMar>
              <w:top w:w="55" w:type="dxa"/>
              <w:left w:w="55" w:type="dxa"/>
              <w:bottom w:w="55" w:type="dxa"/>
              <w:right w:w="55" w:type="dxa"/>
            </w:tcMar>
            <w:vAlign w:val="top"/>
          </w:tcPr>
          <w:p w14:paraId="024A51F7">
            <w:pPr>
              <w:spacing w:before="0" w:after="0" w:line="228" w:lineRule="auto"/>
            </w:pPr>
            <w:r>
              <w:rPr>
                <w:rFonts w:ascii="Arial" w:hAnsi="Arial" w:eastAsia="Arial"/>
                <w:b w:val="0"/>
                <w:i w:val="0"/>
                <w:sz w:val="14"/>
              </w:rPr>
              <w:t>Plain radiographs are useful for excluding fracture, dislocation, significant glenohumeral arthritis, calcific deposits, and other bony abnormalities. The X-ray may be normal in frozen shoulder because the main problem is in the capsule rather than the bone. A normal X-ray does not by itself prove frozen shoulder.</w:t>
            </w:r>
          </w:p>
        </w:tc>
        <w:tc>
          <w:tcPr>
            <w:tcW w:w="1944" w:type="dxa"/>
            <w:shd w:val="clear" w:color="auto" w:fill="F3F8FC"/>
            <w:tcMar>
              <w:top w:w="55" w:type="dxa"/>
              <w:left w:w="55" w:type="dxa"/>
              <w:bottom w:w="55" w:type="dxa"/>
              <w:right w:w="55" w:type="dxa"/>
            </w:tcMar>
            <w:vAlign w:val="top"/>
          </w:tcPr>
          <w:p w14:paraId="5B1A9BA8">
            <w:pPr>
              <w:spacing w:before="0" w:after="0" w:line="228" w:lineRule="auto"/>
            </w:pPr>
            <w:r>
              <w:rPr>
                <w:rFonts w:ascii="Arial" w:hAnsi="Arial" w:eastAsia="Arial"/>
                <w:b/>
                <w:i w:val="0"/>
                <w:color w:val="1F4E79"/>
                <w:sz w:val="14"/>
              </w:rPr>
              <w:t>R1; R2; R4; R5</w:t>
            </w:r>
          </w:p>
        </w:tc>
      </w:tr>
      <w:tr w14:paraId="2A79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40B61C61">
            <w:pPr>
              <w:spacing w:before="0" w:after="0" w:line="228" w:lineRule="auto"/>
            </w:pPr>
            <w:r>
              <w:rPr>
                <w:rFonts w:ascii="Arial" w:hAnsi="Arial" w:eastAsia="Arial"/>
                <w:b/>
                <w:i w:val="0"/>
                <w:sz w:val="14"/>
              </w:rPr>
              <w:t>19</w:t>
            </w:r>
          </w:p>
        </w:tc>
        <w:tc>
          <w:tcPr>
            <w:tcW w:w="2088" w:type="dxa"/>
            <w:tcMar>
              <w:top w:w="55" w:type="dxa"/>
              <w:left w:w="55" w:type="dxa"/>
              <w:bottom w:w="55" w:type="dxa"/>
              <w:right w:w="55" w:type="dxa"/>
            </w:tcMar>
            <w:vAlign w:val="top"/>
          </w:tcPr>
          <w:p w14:paraId="5563F5C7">
            <w:pPr>
              <w:spacing w:before="0" w:after="0" w:line="228" w:lineRule="auto"/>
            </w:pPr>
            <w:r>
              <w:rPr>
                <w:rFonts w:ascii="Arial" w:hAnsi="Arial" w:eastAsia="Arial"/>
                <w:b w:val="0"/>
                <w:i w:val="0"/>
                <w:sz w:val="14"/>
              </w:rPr>
              <w:t>Diagnosis, physical examination, and investigations</w:t>
            </w:r>
          </w:p>
        </w:tc>
        <w:tc>
          <w:tcPr>
            <w:tcW w:w="3960" w:type="dxa"/>
            <w:tcMar>
              <w:top w:w="55" w:type="dxa"/>
              <w:left w:w="55" w:type="dxa"/>
              <w:bottom w:w="55" w:type="dxa"/>
              <w:right w:w="55" w:type="dxa"/>
            </w:tcMar>
            <w:vAlign w:val="top"/>
          </w:tcPr>
          <w:p w14:paraId="5F355D04">
            <w:pPr>
              <w:spacing w:before="0" w:after="0" w:line="228" w:lineRule="auto"/>
            </w:pPr>
            <w:r>
              <w:rPr>
                <w:rFonts w:ascii="Arial" w:hAnsi="Arial" w:eastAsia="Arial"/>
                <w:b w:val="0"/>
                <w:i w:val="0"/>
                <w:sz w:val="14"/>
              </w:rPr>
              <w:t>Do I always need an ultrasound or MRI for frozen shoulder, and what are these scans mainly used to rule out?</w:t>
            </w:r>
          </w:p>
        </w:tc>
        <w:tc>
          <w:tcPr>
            <w:tcW w:w="5903" w:type="dxa"/>
            <w:tcMar>
              <w:top w:w="55" w:type="dxa"/>
              <w:left w:w="55" w:type="dxa"/>
              <w:bottom w:w="55" w:type="dxa"/>
              <w:right w:w="55" w:type="dxa"/>
            </w:tcMar>
            <w:vAlign w:val="top"/>
          </w:tcPr>
          <w:p w14:paraId="52FEFB73">
            <w:pPr>
              <w:spacing w:before="0" w:after="0" w:line="228" w:lineRule="auto"/>
            </w:pPr>
            <w:r>
              <w:rPr>
                <w:rFonts w:ascii="Arial" w:hAnsi="Arial" w:eastAsia="Arial"/>
                <w:b w:val="0"/>
                <w:i w:val="0"/>
                <w:sz w:val="14"/>
              </w:rPr>
              <w:t>Ultrasound or MRI is not routinely required when the history and examination are typical. Imaging is more useful when symptoms are atypical, there was trauma, true weakness is present, or a rotator-cuff tear, tumor, infection, or other disorder is suspected. MRI can show findings compatible with frozen shoulder, but these findings are not perfectly specific.</w:t>
            </w:r>
          </w:p>
        </w:tc>
        <w:tc>
          <w:tcPr>
            <w:tcW w:w="1944" w:type="dxa"/>
            <w:tcMar>
              <w:top w:w="55" w:type="dxa"/>
              <w:left w:w="55" w:type="dxa"/>
              <w:bottom w:w="55" w:type="dxa"/>
              <w:right w:w="55" w:type="dxa"/>
            </w:tcMar>
            <w:vAlign w:val="top"/>
          </w:tcPr>
          <w:p w14:paraId="154CD538">
            <w:pPr>
              <w:spacing w:before="0" w:after="0" w:line="228" w:lineRule="auto"/>
            </w:pPr>
            <w:r>
              <w:rPr>
                <w:rFonts w:ascii="Arial" w:hAnsi="Arial" w:eastAsia="Arial"/>
                <w:b/>
                <w:i w:val="0"/>
                <w:color w:val="1F4E79"/>
                <w:sz w:val="14"/>
              </w:rPr>
              <w:t>R1; R2; R4; R5</w:t>
            </w:r>
          </w:p>
        </w:tc>
      </w:tr>
      <w:tr w14:paraId="1C0A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0EE8E70C">
            <w:pPr>
              <w:spacing w:before="0" w:after="0" w:line="228" w:lineRule="auto"/>
            </w:pPr>
            <w:r>
              <w:rPr>
                <w:rFonts w:ascii="Arial" w:hAnsi="Arial" w:eastAsia="Arial"/>
                <w:b/>
                <w:i w:val="0"/>
                <w:sz w:val="14"/>
              </w:rPr>
              <w:t>20</w:t>
            </w:r>
          </w:p>
        </w:tc>
        <w:tc>
          <w:tcPr>
            <w:tcW w:w="2088" w:type="dxa"/>
            <w:shd w:val="clear" w:color="auto" w:fill="F3F8FC"/>
            <w:tcMar>
              <w:top w:w="55" w:type="dxa"/>
              <w:left w:w="55" w:type="dxa"/>
              <w:bottom w:w="55" w:type="dxa"/>
              <w:right w:w="55" w:type="dxa"/>
            </w:tcMar>
            <w:vAlign w:val="top"/>
          </w:tcPr>
          <w:p w14:paraId="74356F9A">
            <w:pPr>
              <w:spacing w:before="0" w:after="0" w:line="228" w:lineRule="auto"/>
            </w:pPr>
            <w:r>
              <w:rPr>
                <w:rFonts w:ascii="Arial" w:hAnsi="Arial" w:eastAsia="Arial"/>
                <w:b w:val="0"/>
                <w:i w:val="0"/>
                <w:sz w:val="14"/>
              </w:rPr>
              <w:t>Diagnosis, physical examination, and investigations</w:t>
            </w:r>
          </w:p>
        </w:tc>
        <w:tc>
          <w:tcPr>
            <w:tcW w:w="3960" w:type="dxa"/>
            <w:shd w:val="clear" w:color="auto" w:fill="F3F8FC"/>
            <w:tcMar>
              <w:top w:w="55" w:type="dxa"/>
              <w:left w:w="55" w:type="dxa"/>
              <w:bottom w:w="55" w:type="dxa"/>
              <w:right w:w="55" w:type="dxa"/>
            </w:tcMar>
            <w:vAlign w:val="top"/>
          </w:tcPr>
          <w:p w14:paraId="12677F9E">
            <w:pPr>
              <w:spacing w:before="0" w:after="0" w:line="228" w:lineRule="auto"/>
            </w:pPr>
            <w:r>
              <w:rPr>
                <w:rFonts w:ascii="Arial" w:hAnsi="Arial" w:eastAsia="Arial"/>
                <w:b w:val="0"/>
                <w:i w:val="0"/>
                <w:sz w:val="14"/>
              </w:rPr>
              <w:t>When frozen shoulder is suspected, should blood sugar, HbA1c, or thyroid tests be checked?</w:t>
            </w:r>
          </w:p>
        </w:tc>
        <w:tc>
          <w:tcPr>
            <w:tcW w:w="5903" w:type="dxa"/>
            <w:shd w:val="clear" w:color="auto" w:fill="F3F8FC"/>
            <w:tcMar>
              <w:top w:w="55" w:type="dxa"/>
              <w:left w:w="55" w:type="dxa"/>
              <w:bottom w:w="55" w:type="dxa"/>
              <w:right w:w="55" w:type="dxa"/>
            </w:tcMar>
            <w:vAlign w:val="top"/>
          </w:tcPr>
          <w:p w14:paraId="1B68CA2E">
            <w:pPr>
              <w:spacing w:before="0" w:after="0" w:line="228" w:lineRule="auto"/>
            </w:pPr>
            <w:r>
              <w:rPr>
                <w:rFonts w:ascii="Arial" w:hAnsi="Arial" w:eastAsia="Arial"/>
                <w:b w:val="0"/>
                <w:i w:val="0"/>
                <w:sz w:val="14"/>
              </w:rPr>
              <w:t>Because diabetes and thyroid disease are associated with frozen shoulder, testing may be reasonable when the condition is undiagnosed, risk factors or symptoms are present, or the clinical course is atypical. Universal testing policies differ, so the response should not present one panel as mandatory for every patient. Results should be interpreted by a clinician rather than used for self-diagnosis.</w:t>
            </w:r>
          </w:p>
        </w:tc>
        <w:tc>
          <w:tcPr>
            <w:tcW w:w="1944" w:type="dxa"/>
            <w:shd w:val="clear" w:color="auto" w:fill="F3F8FC"/>
            <w:tcMar>
              <w:top w:w="55" w:type="dxa"/>
              <w:left w:w="55" w:type="dxa"/>
              <w:bottom w:w="55" w:type="dxa"/>
              <w:right w:w="55" w:type="dxa"/>
            </w:tcMar>
            <w:vAlign w:val="top"/>
          </w:tcPr>
          <w:p w14:paraId="613027BC">
            <w:pPr>
              <w:spacing w:before="0" w:after="0" w:line="228" w:lineRule="auto"/>
            </w:pPr>
            <w:r>
              <w:rPr>
                <w:rFonts w:ascii="Arial" w:hAnsi="Arial" w:eastAsia="Arial"/>
                <w:b/>
                <w:i w:val="0"/>
                <w:color w:val="1F4E79"/>
                <w:sz w:val="14"/>
              </w:rPr>
              <w:t>R1; R2; R10; R11</w:t>
            </w:r>
          </w:p>
        </w:tc>
      </w:tr>
      <w:tr w14:paraId="3BC2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7C66EF45">
            <w:pPr>
              <w:spacing w:before="0" w:after="0" w:line="228" w:lineRule="auto"/>
            </w:pPr>
            <w:r>
              <w:rPr>
                <w:rFonts w:ascii="Arial" w:hAnsi="Arial" w:eastAsia="Arial"/>
                <w:b/>
                <w:i w:val="0"/>
                <w:sz w:val="14"/>
              </w:rPr>
              <w:t>21</w:t>
            </w:r>
          </w:p>
        </w:tc>
        <w:tc>
          <w:tcPr>
            <w:tcW w:w="2088" w:type="dxa"/>
            <w:tcMar>
              <w:top w:w="55" w:type="dxa"/>
              <w:left w:w="55" w:type="dxa"/>
              <w:bottom w:w="55" w:type="dxa"/>
              <w:right w:w="55" w:type="dxa"/>
            </w:tcMar>
            <w:vAlign w:val="top"/>
          </w:tcPr>
          <w:p w14:paraId="23C62365">
            <w:pPr>
              <w:spacing w:before="0" w:after="0" w:line="228" w:lineRule="auto"/>
            </w:pPr>
            <w:r>
              <w:rPr>
                <w:rFonts w:ascii="Arial" w:hAnsi="Arial" w:eastAsia="Arial"/>
                <w:b w:val="0"/>
                <w:i w:val="0"/>
                <w:sz w:val="14"/>
              </w:rPr>
              <w:t>Differential diagnosis and warning signs</w:t>
            </w:r>
          </w:p>
        </w:tc>
        <w:tc>
          <w:tcPr>
            <w:tcW w:w="3960" w:type="dxa"/>
            <w:tcMar>
              <w:top w:w="55" w:type="dxa"/>
              <w:left w:w="55" w:type="dxa"/>
              <w:bottom w:w="55" w:type="dxa"/>
              <w:right w:w="55" w:type="dxa"/>
            </w:tcMar>
            <w:vAlign w:val="top"/>
          </w:tcPr>
          <w:p w14:paraId="677E4F12">
            <w:pPr>
              <w:spacing w:before="0" w:after="0" w:line="228" w:lineRule="auto"/>
            </w:pPr>
            <w:r>
              <w:rPr>
                <w:rFonts w:ascii="Arial" w:hAnsi="Arial" w:eastAsia="Arial"/>
                <w:b w:val="0"/>
                <w:i w:val="0"/>
                <w:sz w:val="14"/>
              </w:rPr>
              <w:t>How is frozen shoulder different from a rotator cuff tear, and can a patient tell the difference from symptoms alone?</w:t>
            </w:r>
          </w:p>
        </w:tc>
        <w:tc>
          <w:tcPr>
            <w:tcW w:w="5903" w:type="dxa"/>
            <w:tcMar>
              <w:top w:w="55" w:type="dxa"/>
              <w:left w:w="55" w:type="dxa"/>
              <w:bottom w:w="55" w:type="dxa"/>
              <w:right w:w="55" w:type="dxa"/>
            </w:tcMar>
            <w:vAlign w:val="top"/>
          </w:tcPr>
          <w:p w14:paraId="0D45B1F5">
            <w:pPr>
              <w:spacing w:before="0" w:after="0" w:line="228" w:lineRule="auto"/>
            </w:pPr>
            <w:r>
              <w:rPr>
                <w:rFonts w:ascii="Arial" w:hAnsi="Arial" w:eastAsia="Arial"/>
                <w:b w:val="0"/>
                <w:i w:val="0"/>
                <w:sz w:val="14"/>
              </w:rPr>
              <w:t>Frozen shoulder usually restricts both active and passive motion, whereas a rotator-cuff tear often causes weakness and loss of active motion with relatively better passive motion. Pain patterns overlap, and a patient cannot reliably distinguish the conditions from symptoms alone. Examination and, when indicated, ultrasound or MRI may be needed.</w:t>
            </w:r>
          </w:p>
        </w:tc>
        <w:tc>
          <w:tcPr>
            <w:tcW w:w="1944" w:type="dxa"/>
            <w:tcMar>
              <w:top w:w="55" w:type="dxa"/>
              <w:left w:w="55" w:type="dxa"/>
              <w:bottom w:w="55" w:type="dxa"/>
              <w:right w:w="55" w:type="dxa"/>
            </w:tcMar>
            <w:vAlign w:val="top"/>
          </w:tcPr>
          <w:p w14:paraId="7C210B9F">
            <w:pPr>
              <w:spacing w:before="0" w:after="0" w:line="228" w:lineRule="auto"/>
            </w:pPr>
            <w:r>
              <w:rPr>
                <w:rFonts w:ascii="Arial" w:hAnsi="Arial" w:eastAsia="Arial"/>
                <w:b/>
                <w:i w:val="0"/>
                <w:color w:val="1F4E79"/>
                <w:sz w:val="14"/>
              </w:rPr>
              <w:t>R1; R2; R3; R4; R5</w:t>
            </w:r>
          </w:p>
        </w:tc>
      </w:tr>
      <w:tr w14:paraId="1322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6DFA190F">
            <w:pPr>
              <w:spacing w:before="0" w:after="0" w:line="228" w:lineRule="auto"/>
            </w:pPr>
            <w:r>
              <w:rPr>
                <w:rFonts w:ascii="Arial" w:hAnsi="Arial" w:eastAsia="Arial"/>
                <w:b/>
                <w:i w:val="0"/>
                <w:sz w:val="14"/>
              </w:rPr>
              <w:t>22</w:t>
            </w:r>
          </w:p>
        </w:tc>
        <w:tc>
          <w:tcPr>
            <w:tcW w:w="2088" w:type="dxa"/>
            <w:shd w:val="clear" w:color="auto" w:fill="F3F8FC"/>
            <w:tcMar>
              <w:top w:w="55" w:type="dxa"/>
              <w:left w:w="55" w:type="dxa"/>
              <w:bottom w:w="55" w:type="dxa"/>
              <w:right w:w="55" w:type="dxa"/>
            </w:tcMar>
            <w:vAlign w:val="top"/>
          </w:tcPr>
          <w:p w14:paraId="12CFAF36">
            <w:pPr>
              <w:spacing w:before="0" w:after="0" w:line="228" w:lineRule="auto"/>
            </w:pPr>
            <w:r>
              <w:rPr>
                <w:rFonts w:ascii="Arial" w:hAnsi="Arial" w:eastAsia="Arial"/>
                <w:b w:val="0"/>
                <w:i w:val="0"/>
                <w:sz w:val="14"/>
              </w:rPr>
              <w:t>Differential diagnosis and warning signs</w:t>
            </w:r>
          </w:p>
        </w:tc>
        <w:tc>
          <w:tcPr>
            <w:tcW w:w="3960" w:type="dxa"/>
            <w:shd w:val="clear" w:color="auto" w:fill="F3F8FC"/>
            <w:tcMar>
              <w:top w:w="55" w:type="dxa"/>
              <w:left w:w="55" w:type="dxa"/>
              <w:bottom w:w="55" w:type="dxa"/>
              <w:right w:w="55" w:type="dxa"/>
            </w:tcMar>
            <w:vAlign w:val="top"/>
          </w:tcPr>
          <w:p w14:paraId="60AB6E3C">
            <w:pPr>
              <w:spacing w:before="0" w:after="0" w:line="228" w:lineRule="auto"/>
            </w:pPr>
            <w:r>
              <w:rPr>
                <w:rFonts w:ascii="Arial" w:hAnsi="Arial" w:eastAsia="Arial"/>
                <w:b w:val="0"/>
                <w:i w:val="0"/>
                <w:sz w:val="14"/>
              </w:rPr>
              <w:t>How is frozen shoulder distinguished from shoulder arthritis, bursitis, calcific tendinitis, or a pinched nerve in the neck?</w:t>
            </w:r>
          </w:p>
        </w:tc>
        <w:tc>
          <w:tcPr>
            <w:tcW w:w="5903" w:type="dxa"/>
            <w:shd w:val="clear" w:color="auto" w:fill="F3F8FC"/>
            <w:tcMar>
              <w:top w:w="55" w:type="dxa"/>
              <w:left w:w="55" w:type="dxa"/>
              <w:bottom w:w="55" w:type="dxa"/>
              <w:right w:w="55" w:type="dxa"/>
            </w:tcMar>
            <w:vAlign w:val="top"/>
          </w:tcPr>
          <w:p w14:paraId="5F88E847">
            <w:pPr>
              <w:spacing w:before="0" w:after="0" w:line="228" w:lineRule="auto"/>
            </w:pPr>
            <w:r>
              <w:rPr>
                <w:rFonts w:ascii="Arial" w:hAnsi="Arial" w:eastAsia="Arial"/>
                <w:b w:val="0"/>
                <w:i w:val="0"/>
                <w:sz w:val="14"/>
              </w:rPr>
              <w:t>Clinicians compare the history, pattern of active and passive restriction, strength, tenderness, neck examination, neurological findings, and radiographs. Arthritis may show joint-space or bony changes; bursitis and tendinopathy often preserve passive motion; calcific tendinitis may be visible on X-ray; and cervical disease may cause neck-related pain, numbness, tingling, or reflex changes. Overlap is possible, so certainty from symptoms alone is unsafe.</w:t>
            </w:r>
          </w:p>
        </w:tc>
        <w:tc>
          <w:tcPr>
            <w:tcW w:w="1944" w:type="dxa"/>
            <w:shd w:val="clear" w:color="auto" w:fill="F3F8FC"/>
            <w:tcMar>
              <w:top w:w="55" w:type="dxa"/>
              <w:left w:w="55" w:type="dxa"/>
              <w:bottom w:w="55" w:type="dxa"/>
              <w:right w:w="55" w:type="dxa"/>
            </w:tcMar>
            <w:vAlign w:val="top"/>
          </w:tcPr>
          <w:p w14:paraId="5E2205E3">
            <w:pPr>
              <w:spacing w:before="0" w:after="0" w:line="228" w:lineRule="auto"/>
            </w:pPr>
            <w:r>
              <w:rPr>
                <w:rFonts w:ascii="Arial" w:hAnsi="Arial" w:eastAsia="Arial"/>
                <w:b/>
                <w:i w:val="0"/>
                <w:color w:val="1F4E79"/>
                <w:sz w:val="14"/>
              </w:rPr>
              <w:t>R1; R2; R3; R4; R5</w:t>
            </w:r>
          </w:p>
        </w:tc>
      </w:tr>
      <w:tr w14:paraId="200D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252A6B03">
            <w:pPr>
              <w:spacing w:before="0" w:after="0" w:line="228" w:lineRule="auto"/>
            </w:pPr>
            <w:r>
              <w:rPr>
                <w:rFonts w:ascii="Arial" w:hAnsi="Arial" w:eastAsia="Arial"/>
                <w:b/>
                <w:i w:val="0"/>
                <w:sz w:val="14"/>
              </w:rPr>
              <w:t>23</w:t>
            </w:r>
          </w:p>
        </w:tc>
        <w:tc>
          <w:tcPr>
            <w:tcW w:w="2088" w:type="dxa"/>
            <w:tcMar>
              <w:top w:w="55" w:type="dxa"/>
              <w:left w:w="55" w:type="dxa"/>
              <w:bottom w:w="55" w:type="dxa"/>
              <w:right w:w="55" w:type="dxa"/>
            </w:tcMar>
            <w:vAlign w:val="top"/>
          </w:tcPr>
          <w:p w14:paraId="1101A179">
            <w:pPr>
              <w:spacing w:before="0" w:after="0" w:line="228" w:lineRule="auto"/>
            </w:pPr>
            <w:r>
              <w:rPr>
                <w:rFonts w:ascii="Arial" w:hAnsi="Arial" w:eastAsia="Arial"/>
                <w:b w:val="0"/>
                <w:i w:val="0"/>
                <w:sz w:val="14"/>
              </w:rPr>
              <w:t>Differential diagnosis and warning signs</w:t>
            </w:r>
          </w:p>
        </w:tc>
        <w:tc>
          <w:tcPr>
            <w:tcW w:w="3960" w:type="dxa"/>
            <w:tcMar>
              <w:top w:w="55" w:type="dxa"/>
              <w:left w:w="55" w:type="dxa"/>
              <w:bottom w:w="55" w:type="dxa"/>
              <w:right w:w="55" w:type="dxa"/>
            </w:tcMar>
            <w:vAlign w:val="top"/>
          </w:tcPr>
          <w:p w14:paraId="3FC36120">
            <w:pPr>
              <w:spacing w:before="0" w:after="0" w:line="228" w:lineRule="auto"/>
            </w:pPr>
            <w:r>
              <w:rPr>
                <w:rFonts w:ascii="Arial" w:hAnsi="Arial" w:eastAsia="Arial"/>
                <w:b w:val="0"/>
                <w:i w:val="0"/>
                <w:sz w:val="14"/>
              </w:rPr>
              <w:t>After a fall, my shoulder suddenly hurts badly, looks deformed, or I cannot lift my arm at all. Could this just be frozen shoulder, or do I need urgent care?</w:t>
            </w:r>
          </w:p>
        </w:tc>
        <w:tc>
          <w:tcPr>
            <w:tcW w:w="5903" w:type="dxa"/>
            <w:tcMar>
              <w:top w:w="55" w:type="dxa"/>
              <w:left w:w="55" w:type="dxa"/>
              <w:bottom w:w="55" w:type="dxa"/>
              <w:right w:w="55" w:type="dxa"/>
            </w:tcMar>
            <w:vAlign w:val="top"/>
          </w:tcPr>
          <w:p w14:paraId="2BB496FD">
            <w:pPr>
              <w:spacing w:before="0" w:after="0" w:line="228" w:lineRule="auto"/>
            </w:pPr>
            <w:r>
              <w:rPr>
                <w:rFonts w:ascii="Arial" w:hAnsi="Arial" w:eastAsia="Arial"/>
                <w:b w:val="0"/>
                <w:i w:val="0"/>
                <w:sz w:val="14"/>
              </w:rPr>
              <w:t>A sudden traumatic onset, visible deformity, severe pain, or inability to use the arm is not the usual presentation of primary frozen shoulder. Fracture, dislocation, or an acute tendon injury must be considered, and urgent same-day assessment is appropriate. The person should not be advised to force movement or “test” the shoulder repeatedly.</w:t>
            </w:r>
          </w:p>
        </w:tc>
        <w:tc>
          <w:tcPr>
            <w:tcW w:w="1944" w:type="dxa"/>
            <w:tcMar>
              <w:top w:w="55" w:type="dxa"/>
              <w:left w:w="55" w:type="dxa"/>
              <w:bottom w:w="55" w:type="dxa"/>
              <w:right w:w="55" w:type="dxa"/>
            </w:tcMar>
            <w:vAlign w:val="top"/>
          </w:tcPr>
          <w:p w14:paraId="396B547D">
            <w:pPr>
              <w:spacing w:before="0" w:after="0" w:line="228" w:lineRule="auto"/>
            </w:pPr>
            <w:r>
              <w:rPr>
                <w:rFonts w:ascii="Arial" w:hAnsi="Arial" w:eastAsia="Arial"/>
                <w:b/>
                <w:i w:val="0"/>
                <w:color w:val="1F4E79"/>
                <w:sz w:val="14"/>
              </w:rPr>
              <w:t>R5</w:t>
            </w:r>
          </w:p>
        </w:tc>
      </w:tr>
      <w:tr w14:paraId="74D0B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41E29BC6">
            <w:pPr>
              <w:spacing w:before="0" w:after="0" w:line="228" w:lineRule="auto"/>
            </w:pPr>
            <w:r>
              <w:rPr>
                <w:rFonts w:ascii="Arial" w:hAnsi="Arial" w:eastAsia="Arial"/>
                <w:b/>
                <w:i w:val="0"/>
                <w:sz w:val="14"/>
              </w:rPr>
              <w:t>24</w:t>
            </w:r>
          </w:p>
        </w:tc>
        <w:tc>
          <w:tcPr>
            <w:tcW w:w="2088" w:type="dxa"/>
            <w:shd w:val="clear" w:color="auto" w:fill="F3F8FC"/>
            <w:tcMar>
              <w:top w:w="55" w:type="dxa"/>
              <w:left w:w="55" w:type="dxa"/>
              <w:bottom w:w="55" w:type="dxa"/>
              <w:right w:w="55" w:type="dxa"/>
            </w:tcMar>
            <w:vAlign w:val="top"/>
          </w:tcPr>
          <w:p w14:paraId="7E2A4AAD">
            <w:pPr>
              <w:spacing w:before="0" w:after="0" w:line="228" w:lineRule="auto"/>
            </w:pPr>
            <w:r>
              <w:rPr>
                <w:rFonts w:ascii="Arial" w:hAnsi="Arial" w:eastAsia="Arial"/>
                <w:b w:val="0"/>
                <w:i w:val="0"/>
                <w:sz w:val="14"/>
              </w:rPr>
              <w:t>Differential diagnosis and warning signs</w:t>
            </w:r>
          </w:p>
        </w:tc>
        <w:tc>
          <w:tcPr>
            <w:tcW w:w="3960" w:type="dxa"/>
            <w:shd w:val="clear" w:color="auto" w:fill="F3F8FC"/>
            <w:tcMar>
              <w:top w:w="55" w:type="dxa"/>
              <w:left w:w="55" w:type="dxa"/>
              <w:bottom w:w="55" w:type="dxa"/>
              <w:right w:w="55" w:type="dxa"/>
            </w:tcMar>
            <w:vAlign w:val="top"/>
          </w:tcPr>
          <w:p w14:paraId="7A05BA06">
            <w:pPr>
              <w:spacing w:before="0" w:after="0" w:line="228" w:lineRule="auto"/>
            </w:pPr>
            <w:r>
              <w:rPr>
                <w:rFonts w:ascii="Arial" w:hAnsi="Arial" w:eastAsia="Arial"/>
                <w:b w:val="0"/>
                <w:i w:val="0"/>
                <w:sz w:val="14"/>
              </w:rPr>
              <w:t>If shoulder pain comes with chest pressure, sweating, nausea, or shortness of breath, is it safe to treat it as frozen shoulder?</w:t>
            </w:r>
          </w:p>
        </w:tc>
        <w:tc>
          <w:tcPr>
            <w:tcW w:w="5903" w:type="dxa"/>
            <w:shd w:val="clear" w:color="auto" w:fill="F3F8FC"/>
            <w:tcMar>
              <w:top w:w="55" w:type="dxa"/>
              <w:left w:w="55" w:type="dxa"/>
              <w:bottom w:w="55" w:type="dxa"/>
              <w:right w:w="55" w:type="dxa"/>
            </w:tcMar>
            <w:vAlign w:val="top"/>
          </w:tcPr>
          <w:p w14:paraId="3255874B">
            <w:pPr>
              <w:spacing w:before="0" w:after="0" w:line="228" w:lineRule="auto"/>
            </w:pPr>
            <w:r>
              <w:rPr>
                <w:rFonts w:ascii="Arial" w:hAnsi="Arial" w:eastAsia="Arial"/>
                <w:b w:val="0"/>
                <w:i w:val="0"/>
                <w:sz w:val="14"/>
              </w:rPr>
              <w:t>No. Shoulder or arm pain with chest pressure, sweating, nausea, shortness of breath, collapse, or other concerning symptoms may represent a cardiac emergency. Emergency medical assessment should be sought immediately rather than treating the symptoms as frozen shoulder.</w:t>
            </w:r>
          </w:p>
        </w:tc>
        <w:tc>
          <w:tcPr>
            <w:tcW w:w="1944" w:type="dxa"/>
            <w:shd w:val="clear" w:color="auto" w:fill="F3F8FC"/>
            <w:tcMar>
              <w:top w:w="55" w:type="dxa"/>
              <w:left w:w="55" w:type="dxa"/>
              <w:bottom w:w="55" w:type="dxa"/>
              <w:right w:w="55" w:type="dxa"/>
            </w:tcMar>
            <w:vAlign w:val="top"/>
          </w:tcPr>
          <w:p w14:paraId="1343F51F">
            <w:pPr>
              <w:spacing w:before="0" w:after="0" w:line="228" w:lineRule="auto"/>
            </w:pPr>
            <w:r>
              <w:rPr>
                <w:rFonts w:ascii="Arial" w:hAnsi="Arial" w:eastAsia="Arial"/>
                <w:b/>
                <w:i w:val="0"/>
                <w:color w:val="1F4E79"/>
                <w:sz w:val="14"/>
              </w:rPr>
              <w:t>R17</w:t>
            </w:r>
          </w:p>
        </w:tc>
      </w:tr>
      <w:tr w14:paraId="2C54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18537D61">
            <w:pPr>
              <w:spacing w:before="0" w:after="0" w:line="228" w:lineRule="auto"/>
            </w:pPr>
            <w:r>
              <w:rPr>
                <w:rFonts w:ascii="Arial" w:hAnsi="Arial" w:eastAsia="Arial"/>
                <w:b/>
                <w:i w:val="0"/>
                <w:sz w:val="14"/>
              </w:rPr>
              <w:t>25</w:t>
            </w:r>
          </w:p>
        </w:tc>
        <w:tc>
          <w:tcPr>
            <w:tcW w:w="2088" w:type="dxa"/>
            <w:tcMar>
              <w:top w:w="55" w:type="dxa"/>
              <w:left w:w="55" w:type="dxa"/>
              <w:bottom w:w="55" w:type="dxa"/>
              <w:right w:w="55" w:type="dxa"/>
            </w:tcMar>
            <w:vAlign w:val="top"/>
          </w:tcPr>
          <w:p w14:paraId="67748FC9">
            <w:pPr>
              <w:spacing w:before="0" w:after="0" w:line="228" w:lineRule="auto"/>
            </w:pPr>
            <w:r>
              <w:rPr>
                <w:rFonts w:ascii="Arial" w:hAnsi="Arial" w:eastAsia="Arial"/>
                <w:b w:val="0"/>
                <w:i w:val="0"/>
                <w:sz w:val="14"/>
              </w:rPr>
              <w:t>Differential diagnosis and warning signs</w:t>
            </w:r>
          </w:p>
        </w:tc>
        <w:tc>
          <w:tcPr>
            <w:tcW w:w="3960" w:type="dxa"/>
            <w:tcMar>
              <w:top w:w="55" w:type="dxa"/>
              <w:left w:w="55" w:type="dxa"/>
              <w:bottom w:w="55" w:type="dxa"/>
              <w:right w:w="55" w:type="dxa"/>
            </w:tcMar>
            <w:vAlign w:val="top"/>
          </w:tcPr>
          <w:p w14:paraId="05912AA1">
            <w:pPr>
              <w:spacing w:before="0" w:after="0" w:line="228" w:lineRule="auto"/>
            </w:pPr>
            <w:r>
              <w:rPr>
                <w:rFonts w:ascii="Arial" w:hAnsi="Arial" w:eastAsia="Arial"/>
                <w:b w:val="0"/>
                <w:i w:val="0"/>
                <w:sz w:val="14"/>
              </w:rPr>
              <w:t>My shoulder has suddenly become red, hot, and swollen, and I have a fever. Does that sound like frozen shoulder?</w:t>
            </w:r>
          </w:p>
        </w:tc>
        <w:tc>
          <w:tcPr>
            <w:tcW w:w="5903" w:type="dxa"/>
            <w:tcMar>
              <w:top w:w="55" w:type="dxa"/>
              <w:left w:w="55" w:type="dxa"/>
              <w:bottom w:w="55" w:type="dxa"/>
              <w:right w:w="55" w:type="dxa"/>
            </w:tcMar>
            <w:vAlign w:val="top"/>
          </w:tcPr>
          <w:p w14:paraId="5FB18BED">
            <w:pPr>
              <w:spacing w:before="0" w:after="0" w:line="228" w:lineRule="auto"/>
            </w:pPr>
            <w:r>
              <w:rPr>
                <w:rFonts w:ascii="Arial" w:hAnsi="Arial" w:eastAsia="Arial"/>
                <w:b w:val="0"/>
                <w:i w:val="0"/>
                <w:sz w:val="14"/>
              </w:rPr>
              <w:t>A red, hot, swollen joint with fever is not a typical frozen-shoulder presentation and may indicate septic arthritis or another acute inflammatory condition. Urgent medical assessment, laboratory testing, imaging, and often joint aspiration may be required. Delaying care while attempting home stretching is unsafe.</w:t>
            </w:r>
          </w:p>
        </w:tc>
        <w:tc>
          <w:tcPr>
            <w:tcW w:w="1944" w:type="dxa"/>
            <w:tcMar>
              <w:top w:w="55" w:type="dxa"/>
              <w:left w:w="55" w:type="dxa"/>
              <w:bottom w:w="55" w:type="dxa"/>
              <w:right w:w="55" w:type="dxa"/>
            </w:tcMar>
            <w:vAlign w:val="top"/>
          </w:tcPr>
          <w:p w14:paraId="3C81DCF2">
            <w:pPr>
              <w:spacing w:before="0" w:after="0" w:line="228" w:lineRule="auto"/>
            </w:pPr>
            <w:r>
              <w:rPr>
                <w:rFonts w:ascii="Arial" w:hAnsi="Arial" w:eastAsia="Arial"/>
                <w:b/>
                <w:i w:val="0"/>
                <w:color w:val="1F4E79"/>
                <w:sz w:val="14"/>
              </w:rPr>
              <w:t>R18</w:t>
            </w:r>
          </w:p>
        </w:tc>
      </w:tr>
      <w:tr w14:paraId="6539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5D1AFE50">
            <w:pPr>
              <w:spacing w:before="0" w:after="0" w:line="228" w:lineRule="auto"/>
            </w:pPr>
            <w:r>
              <w:rPr>
                <w:rFonts w:ascii="Arial" w:hAnsi="Arial" w:eastAsia="Arial"/>
                <w:b/>
                <w:i w:val="0"/>
                <w:sz w:val="14"/>
              </w:rPr>
              <w:t>26</w:t>
            </w:r>
          </w:p>
        </w:tc>
        <w:tc>
          <w:tcPr>
            <w:tcW w:w="2088" w:type="dxa"/>
            <w:shd w:val="clear" w:color="auto" w:fill="F3F8FC"/>
            <w:tcMar>
              <w:top w:w="55" w:type="dxa"/>
              <w:left w:w="55" w:type="dxa"/>
              <w:bottom w:w="55" w:type="dxa"/>
              <w:right w:w="55" w:type="dxa"/>
            </w:tcMar>
            <w:vAlign w:val="top"/>
          </w:tcPr>
          <w:p w14:paraId="3FE837AC">
            <w:pPr>
              <w:spacing w:before="0" w:after="0" w:line="228" w:lineRule="auto"/>
            </w:pPr>
            <w:r>
              <w:rPr>
                <w:rFonts w:ascii="Arial" w:hAnsi="Arial" w:eastAsia="Arial"/>
                <w:b w:val="0"/>
                <w:i w:val="0"/>
                <w:sz w:val="14"/>
              </w:rPr>
              <w:t>Differential diagnosis and warning signs</w:t>
            </w:r>
          </w:p>
        </w:tc>
        <w:tc>
          <w:tcPr>
            <w:tcW w:w="3960" w:type="dxa"/>
            <w:shd w:val="clear" w:color="auto" w:fill="F3F8FC"/>
            <w:tcMar>
              <w:top w:w="55" w:type="dxa"/>
              <w:left w:w="55" w:type="dxa"/>
              <w:bottom w:w="55" w:type="dxa"/>
              <w:right w:w="55" w:type="dxa"/>
            </w:tcMar>
            <w:vAlign w:val="top"/>
          </w:tcPr>
          <w:p w14:paraId="06481BC4">
            <w:pPr>
              <w:spacing w:before="0" w:after="0" w:line="228" w:lineRule="auto"/>
            </w:pPr>
            <w:r>
              <w:rPr>
                <w:rFonts w:ascii="Arial" w:hAnsi="Arial" w:eastAsia="Arial"/>
                <w:b w:val="0"/>
                <w:i w:val="0"/>
                <w:sz w:val="14"/>
              </w:rPr>
              <w:t>If shoulder pain comes with arm numbness, tingling fingers, or worsening weakness, should I be checked promptly?</w:t>
            </w:r>
          </w:p>
        </w:tc>
        <w:tc>
          <w:tcPr>
            <w:tcW w:w="5903" w:type="dxa"/>
            <w:shd w:val="clear" w:color="auto" w:fill="F3F8FC"/>
            <w:tcMar>
              <w:top w:w="55" w:type="dxa"/>
              <w:left w:w="55" w:type="dxa"/>
              <w:bottom w:w="55" w:type="dxa"/>
              <w:right w:w="55" w:type="dxa"/>
            </w:tcMar>
            <w:vAlign w:val="top"/>
          </w:tcPr>
          <w:p w14:paraId="09615415">
            <w:pPr>
              <w:spacing w:before="0" w:after="0" w:line="228" w:lineRule="auto"/>
            </w:pPr>
            <w:r>
              <w:rPr>
                <w:rFonts w:ascii="Arial" w:hAnsi="Arial" w:eastAsia="Arial"/>
                <w:b w:val="0"/>
                <w:i w:val="0"/>
                <w:sz w:val="14"/>
              </w:rPr>
              <w:t>Yes. Numbness, tingling, progressive weakness, gait or balance changes, or symptoms linked to neck movement may indicate cervical nerve or other neurological involvement. Prompt assessment is appropriate, with greater urgency for rapidly progressive deficits, severe trauma, or bowel/bladder or widespread neurological symptoms.</w:t>
            </w:r>
          </w:p>
        </w:tc>
        <w:tc>
          <w:tcPr>
            <w:tcW w:w="1944" w:type="dxa"/>
            <w:shd w:val="clear" w:color="auto" w:fill="F3F8FC"/>
            <w:tcMar>
              <w:top w:w="55" w:type="dxa"/>
              <w:left w:w="55" w:type="dxa"/>
              <w:bottom w:w="55" w:type="dxa"/>
              <w:right w:w="55" w:type="dxa"/>
            </w:tcMar>
            <w:vAlign w:val="top"/>
          </w:tcPr>
          <w:p w14:paraId="0881C9F5">
            <w:pPr>
              <w:spacing w:before="0" w:after="0" w:line="228" w:lineRule="auto"/>
            </w:pPr>
            <w:r>
              <w:rPr>
                <w:rFonts w:ascii="Arial" w:hAnsi="Arial" w:eastAsia="Arial"/>
                <w:b/>
                <w:i w:val="0"/>
                <w:color w:val="1F4E79"/>
                <w:sz w:val="14"/>
              </w:rPr>
              <w:t>R2; R4; R5</w:t>
            </w:r>
          </w:p>
        </w:tc>
      </w:tr>
      <w:tr w14:paraId="1A7C6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2A982466">
            <w:pPr>
              <w:spacing w:before="0" w:after="0" w:line="228" w:lineRule="auto"/>
            </w:pPr>
            <w:r>
              <w:rPr>
                <w:rFonts w:ascii="Arial" w:hAnsi="Arial" w:eastAsia="Arial"/>
                <w:b/>
                <w:i w:val="0"/>
                <w:sz w:val="14"/>
              </w:rPr>
              <w:t>27</w:t>
            </w:r>
          </w:p>
        </w:tc>
        <w:tc>
          <w:tcPr>
            <w:tcW w:w="2088" w:type="dxa"/>
            <w:tcMar>
              <w:top w:w="55" w:type="dxa"/>
              <w:left w:w="55" w:type="dxa"/>
              <w:bottom w:w="55" w:type="dxa"/>
              <w:right w:w="55" w:type="dxa"/>
            </w:tcMar>
            <w:vAlign w:val="top"/>
          </w:tcPr>
          <w:p w14:paraId="769C476F">
            <w:pPr>
              <w:spacing w:before="0" w:after="0" w:line="228" w:lineRule="auto"/>
            </w:pPr>
            <w:r>
              <w:rPr>
                <w:rFonts w:ascii="Arial" w:hAnsi="Arial" w:eastAsia="Arial"/>
                <w:b w:val="0"/>
                <w:i w:val="0"/>
                <w:sz w:val="14"/>
              </w:rPr>
              <w:t>Daily self-management and lifestyle</w:t>
            </w:r>
          </w:p>
        </w:tc>
        <w:tc>
          <w:tcPr>
            <w:tcW w:w="3960" w:type="dxa"/>
            <w:tcMar>
              <w:top w:w="55" w:type="dxa"/>
              <w:left w:w="55" w:type="dxa"/>
              <w:bottom w:w="55" w:type="dxa"/>
              <w:right w:w="55" w:type="dxa"/>
            </w:tcMar>
            <w:vAlign w:val="top"/>
          </w:tcPr>
          <w:p w14:paraId="68040744">
            <w:pPr>
              <w:spacing w:before="0" w:after="0" w:line="228" w:lineRule="auto"/>
            </w:pPr>
            <w:r>
              <w:rPr>
                <w:rFonts w:ascii="Arial" w:hAnsi="Arial" w:eastAsia="Arial"/>
                <w:b w:val="0"/>
                <w:i w:val="0"/>
                <w:sz w:val="14"/>
              </w:rPr>
              <w:t>How can I sleep more comfortably with frozen shoulder? Which side should I sleep on, and how should I use pillows?</w:t>
            </w:r>
          </w:p>
        </w:tc>
        <w:tc>
          <w:tcPr>
            <w:tcW w:w="5903" w:type="dxa"/>
            <w:tcMar>
              <w:top w:w="55" w:type="dxa"/>
              <w:left w:w="55" w:type="dxa"/>
              <w:bottom w:w="55" w:type="dxa"/>
              <w:right w:w="55" w:type="dxa"/>
            </w:tcMar>
            <w:vAlign w:val="top"/>
          </w:tcPr>
          <w:p w14:paraId="172E52C6">
            <w:pPr>
              <w:spacing w:before="0" w:after="0" w:line="228" w:lineRule="auto"/>
            </w:pPr>
            <w:r>
              <w:rPr>
                <w:rFonts w:ascii="Arial" w:hAnsi="Arial" w:eastAsia="Arial"/>
                <w:b w:val="0"/>
                <w:i w:val="0"/>
                <w:sz w:val="14"/>
              </w:rPr>
              <w:t>Common strategies include sleeping on the unaffected side with the affected arm supported on pillows, or lying on the back with a pillow under the elbow and forearm. The aim is to avoid prolonged traction or compression and keep the shoulder in a comfortable position. Sleep advice should be combined with appropriate pain management and review if pain remains severe.</w:t>
            </w:r>
          </w:p>
        </w:tc>
        <w:tc>
          <w:tcPr>
            <w:tcW w:w="1944" w:type="dxa"/>
            <w:tcMar>
              <w:top w:w="55" w:type="dxa"/>
              <w:left w:w="55" w:type="dxa"/>
              <w:bottom w:w="55" w:type="dxa"/>
              <w:right w:w="55" w:type="dxa"/>
            </w:tcMar>
            <w:vAlign w:val="top"/>
          </w:tcPr>
          <w:p w14:paraId="1E544FEB">
            <w:pPr>
              <w:spacing w:before="0" w:after="0" w:line="228" w:lineRule="auto"/>
            </w:pPr>
            <w:r>
              <w:rPr>
                <w:rFonts w:ascii="Arial" w:hAnsi="Arial" w:eastAsia="Arial"/>
                <w:b/>
                <w:i w:val="0"/>
                <w:color w:val="1F4E79"/>
                <w:sz w:val="14"/>
              </w:rPr>
              <w:t>R1; R2; R3</w:t>
            </w:r>
          </w:p>
        </w:tc>
      </w:tr>
      <w:tr w14:paraId="6143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43162BF8">
            <w:pPr>
              <w:spacing w:before="0" w:after="0" w:line="228" w:lineRule="auto"/>
            </w:pPr>
            <w:r>
              <w:rPr>
                <w:rFonts w:ascii="Arial" w:hAnsi="Arial" w:eastAsia="Arial"/>
                <w:b/>
                <w:i w:val="0"/>
                <w:sz w:val="14"/>
              </w:rPr>
              <w:t>28</w:t>
            </w:r>
          </w:p>
        </w:tc>
        <w:tc>
          <w:tcPr>
            <w:tcW w:w="2088" w:type="dxa"/>
            <w:shd w:val="clear" w:color="auto" w:fill="F3F8FC"/>
            <w:tcMar>
              <w:top w:w="55" w:type="dxa"/>
              <w:left w:w="55" w:type="dxa"/>
              <w:bottom w:w="55" w:type="dxa"/>
              <w:right w:w="55" w:type="dxa"/>
            </w:tcMar>
            <w:vAlign w:val="top"/>
          </w:tcPr>
          <w:p w14:paraId="055D2546">
            <w:pPr>
              <w:spacing w:before="0" w:after="0" w:line="228" w:lineRule="auto"/>
            </w:pPr>
            <w:r>
              <w:rPr>
                <w:rFonts w:ascii="Arial" w:hAnsi="Arial" w:eastAsia="Arial"/>
                <w:b w:val="0"/>
                <w:i w:val="0"/>
                <w:sz w:val="14"/>
              </w:rPr>
              <w:t>Daily self-management and lifestyle</w:t>
            </w:r>
          </w:p>
        </w:tc>
        <w:tc>
          <w:tcPr>
            <w:tcW w:w="3960" w:type="dxa"/>
            <w:shd w:val="clear" w:color="auto" w:fill="F3F8FC"/>
            <w:tcMar>
              <w:top w:w="55" w:type="dxa"/>
              <w:left w:w="55" w:type="dxa"/>
              <w:bottom w:w="55" w:type="dxa"/>
              <w:right w:w="55" w:type="dxa"/>
            </w:tcMar>
            <w:vAlign w:val="top"/>
          </w:tcPr>
          <w:p w14:paraId="1F17E18B">
            <w:pPr>
              <w:spacing w:before="0" w:after="0" w:line="228" w:lineRule="auto"/>
            </w:pPr>
            <w:r>
              <w:rPr>
                <w:rFonts w:ascii="Arial" w:hAnsi="Arial" w:eastAsia="Arial"/>
                <w:b w:val="0"/>
                <w:i w:val="0"/>
                <w:sz w:val="14"/>
              </w:rPr>
              <w:t>Should I use heat or ice for frozen shoulder pain, and when is each one more appropriate?</w:t>
            </w:r>
          </w:p>
        </w:tc>
        <w:tc>
          <w:tcPr>
            <w:tcW w:w="5903" w:type="dxa"/>
            <w:shd w:val="clear" w:color="auto" w:fill="F3F8FC"/>
            <w:tcMar>
              <w:top w:w="55" w:type="dxa"/>
              <w:left w:w="55" w:type="dxa"/>
              <w:bottom w:w="55" w:type="dxa"/>
              <w:right w:w="55" w:type="dxa"/>
            </w:tcMar>
            <w:vAlign w:val="top"/>
          </w:tcPr>
          <w:p w14:paraId="1EFC7BF2">
            <w:pPr>
              <w:spacing w:before="0" w:after="0" w:line="228" w:lineRule="auto"/>
            </w:pPr>
            <w:r>
              <w:rPr>
                <w:rFonts w:ascii="Arial" w:hAnsi="Arial" w:eastAsia="Arial"/>
                <w:b w:val="0"/>
                <w:i w:val="0"/>
                <w:sz w:val="14"/>
              </w:rPr>
              <w:t>Either may be used for short-term comfort. Gentle heat before movement may reduce perceived stiffness, while ice after an activity-related flare may reduce pain; evidence does not establish one as universally superior. Skin should be protected, exposure should be brief, and heat should be avoided when acute infection or impaired sensation is a concern.</w:t>
            </w:r>
          </w:p>
        </w:tc>
        <w:tc>
          <w:tcPr>
            <w:tcW w:w="1944" w:type="dxa"/>
            <w:shd w:val="clear" w:color="auto" w:fill="F3F8FC"/>
            <w:tcMar>
              <w:top w:w="55" w:type="dxa"/>
              <w:left w:w="55" w:type="dxa"/>
              <w:bottom w:w="55" w:type="dxa"/>
              <w:right w:w="55" w:type="dxa"/>
            </w:tcMar>
            <w:vAlign w:val="top"/>
          </w:tcPr>
          <w:p w14:paraId="073B69E7">
            <w:pPr>
              <w:spacing w:before="0" w:after="0" w:line="228" w:lineRule="auto"/>
            </w:pPr>
            <w:r>
              <w:rPr>
                <w:rFonts w:ascii="Arial" w:hAnsi="Arial" w:eastAsia="Arial"/>
                <w:b/>
                <w:i w:val="0"/>
                <w:color w:val="1F4E79"/>
                <w:sz w:val="14"/>
              </w:rPr>
              <w:t>R1; R2; R3; R20</w:t>
            </w:r>
          </w:p>
        </w:tc>
      </w:tr>
      <w:tr w14:paraId="28A5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0EA372AE">
            <w:pPr>
              <w:spacing w:before="0" w:after="0" w:line="228" w:lineRule="auto"/>
            </w:pPr>
            <w:r>
              <w:rPr>
                <w:rFonts w:ascii="Arial" w:hAnsi="Arial" w:eastAsia="Arial"/>
                <w:b/>
                <w:i w:val="0"/>
                <w:sz w:val="14"/>
              </w:rPr>
              <w:t>29</w:t>
            </w:r>
          </w:p>
        </w:tc>
        <w:tc>
          <w:tcPr>
            <w:tcW w:w="2088" w:type="dxa"/>
            <w:tcMar>
              <w:top w:w="55" w:type="dxa"/>
              <w:left w:w="55" w:type="dxa"/>
              <w:bottom w:w="55" w:type="dxa"/>
              <w:right w:w="55" w:type="dxa"/>
            </w:tcMar>
            <w:vAlign w:val="top"/>
          </w:tcPr>
          <w:p w14:paraId="1705922B">
            <w:pPr>
              <w:spacing w:before="0" w:after="0" w:line="228" w:lineRule="auto"/>
            </w:pPr>
            <w:r>
              <w:rPr>
                <w:rFonts w:ascii="Arial" w:hAnsi="Arial" w:eastAsia="Arial"/>
                <w:b w:val="0"/>
                <w:i w:val="0"/>
                <w:sz w:val="14"/>
              </w:rPr>
              <w:t>Daily self-management and lifestyle</w:t>
            </w:r>
          </w:p>
        </w:tc>
        <w:tc>
          <w:tcPr>
            <w:tcW w:w="3960" w:type="dxa"/>
            <w:tcMar>
              <w:top w:w="55" w:type="dxa"/>
              <w:left w:w="55" w:type="dxa"/>
              <w:bottom w:w="55" w:type="dxa"/>
              <w:right w:w="55" w:type="dxa"/>
            </w:tcMar>
            <w:vAlign w:val="top"/>
          </w:tcPr>
          <w:p w14:paraId="27B78C34">
            <w:pPr>
              <w:spacing w:before="0" w:after="0" w:line="228" w:lineRule="auto"/>
            </w:pPr>
            <w:r>
              <w:rPr>
                <w:rFonts w:ascii="Arial" w:hAnsi="Arial" w:eastAsia="Arial"/>
                <w:b w:val="0"/>
                <w:i w:val="0"/>
                <w:sz w:val="14"/>
              </w:rPr>
              <w:t>Should I rest a frozen shoulder completely, or should I keep it moving?</w:t>
            </w:r>
          </w:p>
        </w:tc>
        <w:tc>
          <w:tcPr>
            <w:tcW w:w="5903" w:type="dxa"/>
            <w:tcMar>
              <w:top w:w="55" w:type="dxa"/>
              <w:left w:w="55" w:type="dxa"/>
              <w:bottom w:w="55" w:type="dxa"/>
              <w:right w:w="55" w:type="dxa"/>
            </w:tcMar>
            <w:vAlign w:val="top"/>
          </w:tcPr>
          <w:p w14:paraId="5B0274B2">
            <w:pPr>
              <w:spacing w:before="0" w:after="0" w:line="228" w:lineRule="auto"/>
            </w:pPr>
            <w:r>
              <w:rPr>
                <w:rFonts w:ascii="Arial" w:hAnsi="Arial" w:eastAsia="Arial"/>
                <w:b w:val="0"/>
                <w:i w:val="0"/>
                <w:sz w:val="14"/>
              </w:rPr>
              <w:t>Complete rest and prolonged immobilization are generally discouraged because they can worsen stiffness and deconditioning. Regular, gentle movement within tolerance is preferred, while forceful or highly pain-provoking activity should be avoided. The program should be adjusted to symptom irritability and any injury or postoperative precautions.</w:t>
            </w:r>
          </w:p>
        </w:tc>
        <w:tc>
          <w:tcPr>
            <w:tcW w:w="1944" w:type="dxa"/>
            <w:tcMar>
              <w:top w:w="55" w:type="dxa"/>
              <w:left w:w="55" w:type="dxa"/>
              <w:bottom w:w="55" w:type="dxa"/>
              <w:right w:w="55" w:type="dxa"/>
            </w:tcMar>
            <w:vAlign w:val="top"/>
          </w:tcPr>
          <w:p w14:paraId="3EA0CE58">
            <w:pPr>
              <w:spacing w:before="0" w:after="0" w:line="228" w:lineRule="auto"/>
            </w:pPr>
            <w:r>
              <w:rPr>
                <w:rFonts w:ascii="Arial" w:hAnsi="Arial" w:eastAsia="Arial"/>
                <w:b/>
                <w:i w:val="0"/>
                <w:color w:val="1F4E79"/>
                <w:sz w:val="14"/>
              </w:rPr>
              <w:t>R1; R2; R3; R7; R8</w:t>
            </w:r>
          </w:p>
        </w:tc>
      </w:tr>
      <w:tr w14:paraId="5CFF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68F64EE">
            <w:pPr>
              <w:spacing w:before="0" w:after="0" w:line="228" w:lineRule="auto"/>
            </w:pPr>
            <w:r>
              <w:rPr>
                <w:rFonts w:ascii="Arial" w:hAnsi="Arial" w:eastAsia="Arial"/>
                <w:b/>
                <w:i w:val="0"/>
                <w:sz w:val="14"/>
              </w:rPr>
              <w:t>30</w:t>
            </w:r>
          </w:p>
        </w:tc>
        <w:tc>
          <w:tcPr>
            <w:tcW w:w="2088" w:type="dxa"/>
            <w:shd w:val="clear" w:color="auto" w:fill="F3F8FC"/>
            <w:tcMar>
              <w:top w:w="55" w:type="dxa"/>
              <w:left w:w="55" w:type="dxa"/>
              <w:bottom w:w="55" w:type="dxa"/>
              <w:right w:w="55" w:type="dxa"/>
            </w:tcMar>
            <w:vAlign w:val="top"/>
          </w:tcPr>
          <w:p w14:paraId="6A1E58A5">
            <w:pPr>
              <w:spacing w:before="0" w:after="0" w:line="228" w:lineRule="auto"/>
            </w:pPr>
            <w:r>
              <w:rPr>
                <w:rFonts w:ascii="Arial" w:hAnsi="Arial" w:eastAsia="Arial"/>
                <w:b w:val="0"/>
                <w:i w:val="0"/>
                <w:sz w:val="14"/>
              </w:rPr>
              <w:t>Daily self-management and lifestyle</w:t>
            </w:r>
          </w:p>
        </w:tc>
        <w:tc>
          <w:tcPr>
            <w:tcW w:w="3960" w:type="dxa"/>
            <w:shd w:val="clear" w:color="auto" w:fill="F3F8FC"/>
            <w:tcMar>
              <w:top w:w="55" w:type="dxa"/>
              <w:left w:w="55" w:type="dxa"/>
              <w:bottom w:w="55" w:type="dxa"/>
              <w:right w:w="55" w:type="dxa"/>
            </w:tcMar>
            <w:vAlign w:val="top"/>
          </w:tcPr>
          <w:p w14:paraId="1F99D9B0">
            <w:pPr>
              <w:spacing w:before="0" w:after="0" w:line="228" w:lineRule="auto"/>
            </w:pPr>
            <w:r>
              <w:rPr>
                <w:rFonts w:ascii="Arial" w:hAnsi="Arial" w:eastAsia="Arial"/>
                <w:b w:val="0"/>
                <w:i w:val="0"/>
                <w:sz w:val="14"/>
              </w:rPr>
              <w:t>Can I still drive, work, and do household tasks with frozen shoulder, and what adjustments may help?</w:t>
            </w:r>
          </w:p>
        </w:tc>
        <w:tc>
          <w:tcPr>
            <w:tcW w:w="5903" w:type="dxa"/>
            <w:shd w:val="clear" w:color="auto" w:fill="F3F8FC"/>
            <w:tcMar>
              <w:top w:w="55" w:type="dxa"/>
              <w:left w:w="55" w:type="dxa"/>
              <w:bottom w:w="55" w:type="dxa"/>
              <w:right w:w="55" w:type="dxa"/>
            </w:tcMar>
            <w:vAlign w:val="top"/>
          </w:tcPr>
          <w:p w14:paraId="74F502E7">
            <w:pPr>
              <w:spacing w:before="0" w:after="0" w:line="228" w:lineRule="auto"/>
            </w:pPr>
            <w:r>
              <w:rPr>
                <w:rFonts w:ascii="Arial" w:hAnsi="Arial" w:eastAsia="Arial"/>
                <w:b w:val="0"/>
                <w:i w:val="0"/>
                <w:sz w:val="14"/>
              </w:rPr>
              <w:t>Many activities can continue with pacing, task modification, use of the unaffected arm, reduced overhead work, and ergonomic changes. Driving is appropriate only when the person can safely steer, brake, check blind spots, and react quickly, and is not impaired by sedating medication. Occupational or clinical advice may be needed for safety-critical work.</w:t>
            </w:r>
          </w:p>
        </w:tc>
        <w:tc>
          <w:tcPr>
            <w:tcW w:w="1944" w:type="dxa"/>
            <w:shd w:val="clear" w:color="auto" w:fill="F3F8FC"/>
            <w:tcMar>
              <w:top w:w="55" w:type="dxa"/>
              <w:left w:w="55" w:type="dxa"/>
              <w:bottom w:w="55" w:type="dxa"/>
              <w:right w:w="55" w:type="dxa"/>
            </w:tcMar>
            <w:vAlign w:val="top"/>
          </w:tcPr>
          <w:p w14:paraId="36C17A9F">
            <w:pPr>
              <w:spacing w:before="0" w:after="0" w:line="228" w:lineRule="auto"/>
            </w:pPr>
            <w:r>
              <w:rPr>
                <w:rFonts w:ascii="Arial" w:hAnsi="Arial" w:eastAsia="Arial"/>
                <w:b/>
                <w:i w:val="0"/>
                <w:color w:val="1F4E79"/>
                <w:sz w:val="14"/>
              </w:rPr>
              <w:t>R1; R2; R3</w:t>
            </w:r>
          </w:p>
        </w:tc>
      </w:tr>
      <w:tr w14:paraId="3E8E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55A7CCB0">
            <w:pPr>
              <w:spacing w:before="0" w:after="0" w:line="228" w:lineRule="auto"/>
            </w:pPr>
            <w:r>
              <w:rPr>
                <w:rFonts w:ascii="Arial" w:hAnsi="Arial" w:eastAsia="Arial"/>
                <w:b/>
                <w:i w:val="0"/>
                <w:sz w:val="14"/>
              </w:rPr>
              <w:t>31</w:t>
            </w:r>
          </w:p>
        </w:tc>
        <w:tc>
          <w:tcPr>
            <w:tcW w:w="2088" w:type="dxa"/>
            <w:tcMar>
              <w:top w:w="55" w:type="dxa"/>
              <w:left w:w="55" w:type="dxa"/>
              <w:bottom w:w="55" w:type="dxa"/>
              <w:right w:w="55" w:type="dxa"/>
            </w:tcMar>
            <w:vAlign w:val="top"/>
          </w:tcPr>
          <w:p w14:paraId="2FA858B3">
            <w:pPr>
              <w:spacing w:before="0" w:after="0" w:line="228" w:lineRule="auto"/>
            </w:pPr>
            <w:r>
              <w:rPr>
                <w:rFonts w:ascii="Arial" w:hAnsi="Arial" w:eastAsia="Arial"/>
                <w:b w:val="0"/>
                <w:i w:val="0"/>
                <w:sz w:val="14"/>
              </w:rPr>
              <w:t>Daily self-management and lifestyle</w:t>
            </w:r>
          </w:p>
        </w:tc>
        <w:tc>
          <w:tcPr>
            <w:tcW w:w="3960" w:type="dxa"/>
            <w:tcMar>
              <w:top w:w="55" w:type="dxa"/>
              <w:left w:w="55" w:type="dxa"/>
              <w:bottom w:w="55" w:type="dxa"/>
              <w:right w:w="55" w:type="dxa"/>
            </w:tcMar>
            <w:vAlign w:val="top"/>
          </w:tcPr>
          <w:p w14:paraId="01375435">
            <w:pPr>
              <w:spacing w:before="0" w:after="0" w:line="228" w:lineRule="auto"/>
            </w:pPr>
            <w:r>
              <w:rPr>
                <w:rFonts w:ascii="Arial" w:hAnsi="Arial" w:eastAsia="Arial"/>
                <w:b w:val="0"/>
                <w:i w:val="0"/>
                <w:sz w:val="14"/>
              </w:rPr>
              <w:t>Can I still lift heavy objects, carry a child, or work overhead? Which activities should I reduce for now?</w:t>
            </w:r>
          </w:p>
        </w:tc>
        <w:tc>
          <w:tcPr>
            <w:tcW w:w="5903" w:type="dxa"/>
            <w:tcMar>
              <w:top w:w="55" w:type="dxa"/>
              <w:left w:w="55" w:type="dxa"/>
              <w:bottom w:w="55" w:type="dxa"/>
              <w:right w:w="55" w:type="dxa"/>
            </w:tcMar>
            <w:vAlign w:val="top"/>
          </w:tcPr>
          <w:p w14:paraId="789CEF6E">
            <w:pPr>
              <w:spacing w:before="0" w:after="0" w:line="228" w:lineRule="auto"/>
            </w:pPr>
            <w:r>
              <w:rPr>
                <w:rFonts w:ascii="Arial" w:hAnsi="Arial" w:eastAsia="Arial"/>
                <w:b w:val="0"/>
                <w:i w:val="0"/>
                <w:sz w:val="14"/>
              </w:rPr>
              <w:t>Heavy, sudden, repetitive, or sustained overhead loads should be reduced when they provoke substantial pain or cannot be controlled safely. Light, close-to-body tasks may continue within tolerance, with gradual progression as pain and control improve. Advice should account for individual strength, balance, job demands, and coexisting injury.</w:t>
            </w:r>
          </w:p>
        </w:tc>
        <w:tc>
          <w:tcPr>
            <w:tcW w:w="1944" w:type="dxa"/>
            <w:tcMar>
              <w:top w:w="55" w:type="dxa"/>
              <w:left w:w="55" w:type="dxa"/>
              <w:bottom w:w="55" w:type="dxa"/>
              <w:right w:w="55" w:type="dxa"/>
            </w:tcMar>
            <w:vAlign w:val="top"/>
          </w:tcPr>
          <w:p w14:paraId="552ABC35">
            <w:pPr>
              <w:spacing w:before="0" w:after="0" w:line="228" w:lineRule="auto"/>
            </w:pPr>
            <w:r>
              <w:rPr>
                <w:rFonts w:ascii="Arial" w:hAnsi="Arial" w:eastAsia="Arial"/>
                <w:b/>
                <w:i w:val="0"/>
                <w:color w:val="1F4E79"/>
                <w:sz w:val="14"/>
              </w:rPr>
              <w:t>R1; R2; R3; R8</w:t>
            </w:r>
          </w:p>
        </w:tc>
      </w:tr>
      <w:tr w14:paraId="629F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A99CB73">
            <w:pPr>
              <w:spacing w:before="0" w:after="0" w:line="228" w:lineRule="auto"/>
            </w:pPr>
            <w:r>
              <w:rPr>
                <w:rFonts w:ascii="Arial" w:hAnsi="Arial" w:eastAsia="Arial"/>
                <w:b/>
                <w:i w:val="0"/>
                <w:sz w:val="14"/>
              </w:rPr>
              <w:t>32</w:t>
            </w:r>
          </w:p>
        </w:tc>
        <w:tc>
          <w:tcPr>
            <w:tcW w:w="2088" w:type="dxa"/>
            <w:shd w:val="clear" w:color="auto" w:fill="F3F8FC"/>
            <w:tcMar>
              <w:top w:w="55" w:type="dxa"/>
              <w:left w:w="55" w:type="dxa"/>
              <w:bottom w:w="55" w:type="dxa"/>
              <w:right w:w="55" w:type="dxa"/>
            </w:tcMar>
            <w:vAlign w:val="top"/>
          </w:tcPr>
          <w:p w14:paraId="769E6B8C">
            <w:pPr>
              <w:spacing w:before="0" w:after="0" w:line="228" w:lineRule="auto"/>
            </w:pPr>
            <w:r>
              <w:rPr>
                <w:rFonts w:ascii="Arial" w:hAnsi="Arial" w:eastAsia="Arial"/>
                <w:b w:val="0"/>
                <w:i w:val="0"/>
                <w:sz w:val="14"/>
              </w:rPr>
              <w:t>Exercise and rehabilitation</w:t>
            </w:r>
          </w:p>
        </w:tc>
        <w:tc>
          <w:tcPr>
            <w:tcW w:w="3960" w:type="dxa"/>
            <w:shd w:val="clear" w:color="auto" w:fill="F3F8FC"/>
            <w:tcMar>
              <w:top w:w="55" w:type="dxa"/>
              <w:left w:w="55" w:type="dxa"/>
              <w:bottom w:w="55" w:type="dxa"/>
              <w:right w:w="55" w:type="dxa"/>
            </w:tcMar>
            <w:vAlign w:val="top"/>
          </w:tcPr>
          <w:p w14:paraId="796DE858">
            <w:pPr>
              <w:spacing w:before="0" w:after="0" w:line="228" w:lineRule="auto"/>
            </w:pPr>
            <w:r>
              <w:rPr>
                <w:rFonts w:ascii="Arial" w:hAnsi="Arial" w:eastAsia="Arial"/>
                <w:b w:val="0"/>
                <w:i w:val="0"/>
                <w:sz w:val="14"/>
              </w:rPr>
              <w:t>What simple and safe range-of-motion exercises can I do at home for frozen shoulder?</w:t>
            </w:r>
          </w:p>
        </w:tc>
        <w:tc>
          <w:tcPr>
            <w:tcW w:w="5903" w:type="dxa"/>
            <w:shd w:val="clear" w:color="auto" w:fill="F3F8FC"/>
            <w:tcMar>
              <w:top w:w="55" w:type="dxa"/>
              <w:left w:w="55" w:type="dxa"/>
              <w:bottom w:w="55" w:type="dxa"/>
              <w:right w:w="55" w:type="dxa"/>
            </w:tcMar>
            <w:vAlign w:val="top"/>
          </w:tcPr>
          <w:p w14:paraId="0F580944">
            <w:pPr>
              <w:spacing w:before="0" w:after="0" w:line="228" w:lineRule="auto"/>
            </w:pPr>
            <w:r>
              <w:rPr>
                <w:rFonts w:ascii="Arial" w:hAnsi="Arial" w:eastAsia="Arial"/>
                <w:b w:val="0"/>
                <w:i w:val="0"/>
                <w:sz w:val="14"/>
              </w:rPr>
              <w:t>Common options include pendulum movements, table or wall slides, assisted elevation, gentle external rotation with a stick, and carefully selected cross-body or behind-the-back stretches. Exercises should be taught or checked when possible, performed smoothly, and modified for pain irritability and stage. No single exercise program is best for every patient.</w:t>
            </w:r>
          </w:p>
        </w:tc>
        <w:tc>
          <w:tcPr>
            <w:tcW w:w="1944" w:type="dxa"/>
            <w:shd w:val="clear" w:color="auto" w:fill="F3F8FC"/>
            <w:tcMar>
              <w:top w:w="55" w:type="dxa"/>
              <w:left w:w="55" w:type="dxa"/>
              <w:bottom w:w="55" w:type="dxa"/>
              <w:right w:w="55" w:type="dxa"/>
            </w:tcMar>
            <w:vAlign w:val="top"/>
          </w:tcPr>
          <w:p w14:paraId="15A52E80">
            <w:pPr>
              <w:spacing w:before="0" w:after="0" w:line="228" w:lineRule="auto"/>
            </w:pPr>
            <w:r>
              <w:rPr>
                <w:rFonts w:ascii="Arial" w:hAnsi="Arial" w:eastAsia="Arial"/>
                <w:b/>
                <w:i w:val="0"/>
                <w:color w:val="1F4E79"/>
                <w:sz w:val="14"/>
              </w:rPr>
              <w:t>R1; R2; R3; R7; R8</w:t>
            </w:r>
          </w:p>
        </w:tc>
      </w:tr>
      <w:tr w14:paraId="2F34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3BF38FE6">
            <w:pPr>
              <w:spacing w:before="0" w:after="0" w:line="228" w:lineRule="auto"/>
            </w:pPr>
            <w:r>
              <w:rPr>
                <w:rFonts w:ascii="Arial" w:hAnsi="Arial" w:eastAsia="Arial"/>
                <w:b/>
                <w:i w:val="0"/>
                <w:sz w:val="14"/>
              </w:rPr>
              <w:t>33</w:t>
            </w:r>
          </w:p>
        </w:tc>
        <w:tc>
          <w:tcPr>
            <w:tcW w:w="2088" w:type="dxa"/>
            <w:tcMar>
              <w:top w:w="55" w:type="dxa"/>
              <w:left w:w="55" w:type="dxa"/>
              <w:bottom w:w="55" w:type="dxa"/>
              <w:right w:w="55" w:type="dxa"/>
            </w:tcMar>
            <w:vAlign w:val="top"/>
          </w:tcPr>
          <w:p w14:paraId="341E4E0C">
            <w:pPr>
              <w:spacing w:before="0" w:after="0" w:line="228" w:lineRule="auto"/>
            </w:pPr>
            <w:r>
              <w:rPr>
                <w:rFonts w:ascii="Arial" w:hAnsi="Arial" w:eastAsia="Arial"/>
                <w:b w:val="0"/>
                <w:i w:val="0"/>
                <w:sz w:val="14"/>
              </w:rPr>
              <w:t>Exercise and rehabilitation</w:t>
            </w:r>
          </w:p>
        </w:tc>
        <w:tc>
          <w:tcPr>
            <w:tcW w:w="3960" w:type="dxa"/>
            <w:tcMar>
              <w:top w:w="55" w:type="dxa"/>
              <w:left w:w="55" w:type="dxa"/>
              <w:bottom w:w="55" w:type="dxa"/>
              <w:right w:w="55" w:type="dxa"/>
            </w:tcMar>
            <w:vAlign w:val="top"/>
          </w:tcPr>
          <w:p w14:paraId="401A60B3">
            <w:pPr>
              <w:spacing w:before="0" w:after="0" w:line="228" w:lineRule="auto"/>
            </w:pPr>
            <w:r>
              <w:rPr>
                <w:rFonts w:ascii="Arial" w:hAnsi="Arial" w:eastAsia="Arial"/>
                <w:b w:val="0"/>
                <w:i w:val="0"/>
                <w:sz w:val="14"/>
              </w:rPr>
              <w:t>How often should I do frozen shoulder exercises, how hard should I push, and how much pain is acceptable?</w:t>
            </w:r>
          </w:p>
        </w:tc>
        <w:tc>
          <w:tcPr>
            <w:tcW w:w="5903" w:type="dxa"/>
            <w:tcMar>
              <w:top w:w="55" w:type="dxa"/>
              <w:left w:w="55" w:type="dxa"/>
              <w:bottom w:w="55" w:type="dxa"/>
              <w:right w:w="55" w:type="dxa"/>
            </w:tcMar>
            <w:vAlign w:val="top"/>
          </w:tcPr>
          <w:p w14:paraId="0F6EFD83">
            <w:pPr>
              <w:spacing w:before="0" w:after="0" w:line="228" w:lineRule="auto"/>
            </w:pPr>
            <w:r>
              <w:rPr>
                <w:rFonts w:ascii="Arial" w:hAnsi="Arial" w:eastAsia="Arial"/>
                <w:b w:val="0"/>
                <w:i w:val="0"/>
                <w:sz w:val="14"/>
              </w:rPr>
              <w:t>Short, regular sessions are often preferred to infrequent forceful sessions. Mild, tolerable discomfort may occur, but sharp or escalating pain and a flare that remains substantially worse into the next day suggest that intensity, range, repetitions, or frequency should be reduced. Exact dosage should be individualized rather than presented as one mandatory number.</w:t>
            </w:r>
          </w:p>
        </w:tc>
        <w:tc>
          <w:tcPr>
            <w:tcW w:w="1944" w:type="dxa"/>
            <w:tcMar>
              <w:top w:w="55" w:type="dxa"/>
              <w:left w:w="55" w:type="dxa"/>
              <w:bottom w:w="55" w:type="dxa"/>
              <w:right w:w="55" w:type="dxa"/>
            </w:tcMar>
            <w:vAlign w:val="top"/>
          </w:tcPr>
          <w:p w14:paraId="4B000E8E">
            <w:pPr>
              <w:spacing w:before="0" w:after="0" w:line="228" w:lineRule="auto"/>
            </w:pPr>
            <w:r>
              <w:rPr>
                <w:rFonts w:ascii="Arial" w:hAnsi="Arial" w:eastAsia="Arial"/>
                <w:b/>
                <w:i w:val="0"/>
                <w:color w:val="1F4E79"/>
                <w:sz w:val="14"/>
              </w:rPr>
              <w:t>R1; R2; R3; R7; R8</w:t>
            </w:r>
          </w:p>
        </w:tc>
      </w:tr>
      <w:tr w14:paraId="3E6E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0827603F">
            <w:pPr>
              <w:spacing w:before="0" w:after="0" w:line="228" w:lineRule="auto"/>
            </w:pPr>
            <w:r>
              <w:rPr>
                <w:rFonts w:ascii="Arial" w:hAnsi="Arial" w:eastAsia="Arial"/>
                <w:b/>
                <w:i w:val="0"/>
                <w:sz w:val="14"/>
              </w:rPr>
              <w:t>34</w:t>
            </w:r>
          </w:p>
        </w:tc>
        <w:tc>
          <w:tcPr>
            <w:tcW w:w="2088" w:type="dxa"/>
            <w:shd w:val="clear" w:color="auto" w:fill="F3F8FC"/>
            <w:tcMar>
              <w:top w:w="55" w:type="dxa"/>
              <w:left w:w="55" w:type="dxa"/>
              <w:bottom w:w="55" w:type="dxa"/>
              <w:right w:w="55" w:type="dxa"/>
            </w:tcMar>
            <w:vAlign w:val="top"/>
          </w:tcPr>
          <w:p w14:paraId="0BDC6834">
            <w:pPr>
              <w:spacing w:before="0" w:after="0" w:line="228" w:lineRule="auto"/>
            </w:pPr>
            <w:r>
              <w:rPr>
                <w:rFonts w:ascii="Arial" w:hAnsi="Arial" w:eastAsia="Arial"/>
                <w:b w:val="0"/>
                <w:i w:val="0"/>
                <w:sz w:val="14"/>
              </w:rPr>
              <w:t>Exercise and rehabilitation</w:t>
            </w:r>
          </w:p>
        </w:tc>
        <w:tc>
          <w:tcPr>
            <w:tcW w:w="3960" w:type="dxa"/>
            <w:shd w:val="clear" w:color="auto" w:fill="F3F8FC"/>
            <w:tcMar>
              <w:top w:w="55" w:type="dxa"/>
              <w:left w:w="55" w:type="dxa"/>
              <w:bottom w:w="55" w:type="dxa"/>
              <w:right w:w="55" w:type="dxa"/>
            </w:tcMar>
            <w:vAlign w:val="top"/>
          </w:tcPr>
          <w:p w14:paraId="12686187">
            <w:pPr>
              <w:spacing w:before="0" w:after="0" w:line="228" w:lineRule="auto"/>
            </w:pPr>
            <w:r>
              <w:rPr>
                <w:rFonts w:ascii="Arial" w:hAnsi="Arial" w:eastAsia="Arial"/>
                <w:b w:val="0"/>
                <w:i w:val="0"/>
                <w:sz w:val="14"/>
              </w:rPr>
              <w:t>Should I stretch harder through the pain to “break up” the adhesions?</w:t>
            </w:r>
          </w:p>
        </w:tc>
        <w:tc>
          <w:tcPr>
            <w:tcW w:w="5903" w:type="dxa"/>
            <w:shd w:val="clear" w:color="auto" w:fill="F3F8FC"/>
            <w:tcMar>
              <w:top w:w="55" w:type="dxa"/>
              <w:left w:w="55" w:type="dxa"/>
              <w:bottom w:w="55" w:type="dxa"/>
              <w:right w:w="55" w:type="dxa"/>
            </w:tcMar>
            <w:vAlign w:val="top"/>
          </w:tcPr>
          <w:p w14:paraId="435B943D">
            <w:pPr>
              <w:spacing w:before="0" w:after="0" w:line="228" w:lineRule="auto"/>
            </w:pPr>
            <w:r>
              <w:rPr>
                <w:rFonts w:ascii="Arial" w:hAnsi="Arial" w:eastAsia="Arial"/>
                <w:b w:val="0"/>
                <w:i w:val="0"/>
                <w:sz w:val="14"/>
              </w:rPr>
              <w:t>No. Forceful stretching through severe pain is not required to “break” adhesions and can aggravate a highly irritable shoulder. Gentle, progressive, symptom-guided stretching is safer, with greater intensity considered only as irritability falls and under appropriate guidance.</w:t>
            </w:r>
          </w:p>
        </w:tc>
        <w:tc>
          <w:tcPr>
            <w:tcW w:w="1944" w:type="dxa"/>
            <w:shd w:val="clear" w:color="auto" w:fill="F3F8FC"/>
            <w:tcMar>
              <w:top w:w="55" w:type="dxa"/>
              <w:left w:w="55" w:type="dxa"/>
              <w:bottom w:w="55" w:type="dxa"/>
              <w:right w:w="55" w:type="dxa"/>
            </w:tcMar>
            <w:vAlign w:val="top"/>
          </w:tcPr>
          <w:p w14:paraId="618DE7D7">
            <w:pPr>
              <w:spacing w:before="0" w:after="0" w:line="228" w:lineRule="auto"/>
            </w:pPr>
            <w:r>
              <w:rPr>
                <w:rFonts w:ascii="Arial" w:hAnsi="Arial" w:eastAsia="Arial"/>
                <w:b/>
                <w:i w:val="0"/>
                <w:color w:val="1F4E79"/>
                <w:sz w:val="14"/>
              </w:rPr>
              <w:t>R1; R2; R3; R7; R8</w:t>
            </w:r>
          </w:p>
        </w:tc>
      </w:tr>
      <w:tr w14:paraId="4E58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53D9B88">
            <w:pPr>
              <w:spacing w:before="0" w:after="0" w:line="228" w:lineRule="auto"/>
            </w:pPr>
            <w:r>
              <w:rPr>
                <w:rFonts w:ascii="Arial" w:hAnsi="Arial" w:eastAsia="Arial"/>
                <w:b/>
                <w:i w:val="0"/>
                <w:sz w:val="14"/>
              </w:rPr>
              <w:t>35</w:t>
            </w:r>
          </w:p>
        </w:tc>
        <w:tc>
          <w:tcPr>
            <w:tcW w:w="2088" w:type="dxa"/>
            <w:tcMar>
              <w:top w:w="55" w:type="dxa"/>
              <w:left w:w="55" w:type="dxa"/>
              <w:bottom w:w="55" w:type="dxa"/>
              <w:right w:w="55" w:type="dxa"/>
            </w:tcMar>
            <w:vAlign w:val="top"/>
          </w:tcPr>
          <w:p w14:paraId="0B23169D">
            <w:pPr>
              <w:spacing w:before="0" w:after="0" w:line="228" w:lineRule="auto"/>
            </w:pPr>
            <w:r>
              <w:rPr>
                <w:rFonts w:ascii="Arial" w:hAnsi="Arial" w:eastAsia="Arial"/>
                <w:b w:val="0"/>
                <w:i w:val="0"/>
                <w:sz w:val="14"/>
              </w:rPr>
              <w:t>Exercise and rehabilitation</w:t>
            </w:r>
          </w:p>
        </w:tc>
        <w:tc>
          <w:tcPr>
            <w:tcW w:w="3960" w:type="dxa"/>
            <w:tcMar>
              <w:top w:w="55" w:type="dxa"/>
              <w:left w:w="55" w:type="dxa"/>
              <w:bottom w:w="55" w:type="dxa"/>
              <w:right w:w="55" w:type="dxa"/>
            </w:tcMar>
            <w:vAlign w:val="top"/>
          </w:tcPr>
          <w:p w14:paraId="104D2A6B">
            <w:pPr>
              <w:spacing w:before="0" w:after="0" w:line="228" w:lineRule="auto"/>
            </w:pPr>
            <w:r>
              <w:rPr>
                <w:rFonts w:ascii="Arial" w:hAnsi="Arial" w:eastAsia="Arial"/>
                <w:b w:val="0"/>
                <w:i w:val="0"/>
                <w:sz w:val="14"/>
              </w:rPr>
              <w:t>Should exercises change with the stage of frozen shoulder, or should I train the same way during the painful and stiff stages?</w:t>
            </w:r>
          </w:p>
        </w:tc>
        <w:tc>
          <w:tcPr>
            <w:tcW w:w="5903" w:type="dxa"/>
            <w:tcMar>
              <w:top w:w="55" w:type="dxa"/>
              <w:left w:w="55" w:type="dxa"/>
              <w:bottom w:w="55" w:type="dxa"/>
              <w:right w:w="55" w:type="dxa"/>
            </w:tcMar>
            <w:vAlign w:val="top"/>
          </w:tcPr>
          <w:p w14:paraId="5E0451D8">
            <w:pPr>
              <w:spacing w:before="0" w:after="0" w:line="228" w:lineRule="auto"/>
            </w:pPr>
            <w:r>
              <w:rPr>
                <w:rFonts w:ascii="Arial" w:hAnsi="Arial" w:eastAsia="Arial"/>
                <w:b w:val="0"/>
                <w:i w:val="0"/>
                <w:sz w:val="14"/>
              </w:rPr>
              <w:t>Exercise should be matched to pain irritability and functional limitations rather than applied identically throughout the condition. During a painful, highly irritable phase, pain control and gentle motion are emphasized; as pain settles, longer stretches, mobilization, endurance, and strengthening may be progressed. Rigid stage labels should not replace ongoing reassessment.</w:t>
            </w:r>
          </w:p>
        </w:tc>
        <w:tc>
          <w:tcPr>
            <w:tcW w:w="1944" w:type="dxa"/>
            <w:tcMar>
              <w:top w:w="55" w:type="dxa"/>
              <w:left w:w="55" w:type="dxa"/>
              <w:bottom w:w="55" w:type="dxa"/>
              <w:right w:w="55" w:type="dxa"/>
            </w:tcMar>
            <w:vAlign w:val="top"/>
          </w:tcPr>
          <w:p w14:paraId="0CA06119">
            <w:pPr>
              <w:spacing w:before="0" w:after="0" w:line="228" w:lineRule="auto"/>
            </w:pPr>
            <w:r>
              <w:rPr>
                <w:rFonts w:ascii="Arial" w:hAnsi="Arial" w:eastAsia="Arial"/>
                <w:b/>
                <w:i w:val="0"/>
                <w:color w:val="1F4E79"/>
                <w:sz w:val="14"/>
              </w:rPr>
              <w:t>R1; R2; R3; R7; R8</w:t>
            </w:r>
          </w:p>
        </w:tc>
      </w:tr>
      <w:tr w14:paraId="3A24B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6954011A">
            <w:pPr>
              <w:spacing w:before="0" w:after="0" w:line="228" w:lineRule="auto"/>
            </w:pPr>
            <w:r>
              <w:rPr>
                <w:rFonts w:ascii="Arial" w:hAnsi="Arial" w:eastAsia="Arial"/>
                <w:b/>
                <w:i w:val="0"/>
                <w:sz w:val="14"/>
              </w:rPr>
              <w:t>36</w:t>
            </w:r>
          </w:p>
        </w:tc>
        <w:tc>
          <w:tcPr>
            <w:tcW w:w="2088" w:type="dxa"/>
            <w:shd w:val="clear" w:color="auto" w:fill="F3F8FC"/>
            <w:tcMar>
              <w:top w:w="55" w:type="dxa"/>
              <w:left w:w="55" w:type="dxa"/>
              <w:bottom w:w="55" w:type="dxa"/>
              <w:right w:w="55" w:type="dxa"/>
            </w:tcMar>
            <w:vAlign w:val="top"/>
          </w:tcPr>
          <w:p w14:paraId="4B82F533">
            <w:pPr>
              <w:spacing w:before="0" w:after="0" w:line="228" w:lineRule="auto"/>
            </w:pPr>
            <w:r>
              <w:rPr>
                <w:rFonts w:ascii="Arial" w:hAnsi="Arial" w:eastAsia="Arial"/>
                <w:b w:val="0"/>
                <w:i w:val="0"/>
                <w:sz w:val="14"/>
              </w:rPr>
              <w:t>Exercise and rehabilitation</w:t>
            </w:r>
          </w:p>
        </w:tc>
        <w:tc>
          <w:tcPr>
            <w:tcW w:w="3960" w:type="dxa"/>
            <w:shd w:val="clear" w:color="auto" w:fill="F3F8FC"/>
            <w:tcMar>
              <w:top w:w="55" w:type="dxa"/>
              <w:left w:w="55" w:type="dxa"/>
              <w:bottom w:w="55" w:type="dxa"/>
              <w:right w:w="55" w:type="dxa"/>
            </w:tcMar>
            <w:vAlign w:val="top"/>
          </w:tcPr>
          <w:p w14:paraId="5AAFCA5F">
            <w:pPr>
              <w:spacing w:before="0" w:after="0" w:line="228" w:lineRule="auto"/>
            </w:pPr>
            <w:r>
              <w:rPr>
                <w:rFonts w:ascii="Arial" w:hAnsi="Arial" w:eastAsia="Arial"/>
                <w:b w:val="0"/>
                <w:i w:val="0"/>
                <w:sz w:val="14"/>
              </w:rPr>
              <w:t>Do I need supervised physiotherapy, or can a guided home exercise program be enough?</w:t>
            </w:r>
          </w:p>
        </w:tc>
        <w:tc>
          <w:tcPr>
            <w:tcW w:w="5903" w:type="dxa"/>
            <w:shd w:val="clear" w:color="auto" w:fill="F3F8FC"/>
            <w:tcMar>
              <w:top w:w="55" w:type="dxa"/>
              <w:left w:w="55" w:type="dxa"/>
              <w:bottom w:w="55" w:type="dxa"/>
              <w:right w:w="55" w:type="dxa"/>
            </w:tcMar>
            <w:vAlign w:val="top"/>
          </w:tcPr>
          <w:p w14:paraId="22BB7493">
            <w:pPr>
              <w:spacing w:before="0" w:after="0" w:line="228" w:lineRule="auto"/>
            </w:pPr>
            <w:r>
              <w:rPr>
                <w:rFonts w:ascii="Arial" w:hAnsi="Arial" w:eastAsia="Arial"/>
                <w:b w:val="0"/>
                <w:i w:val="0"/>
                <w:sz w:val="14"/>
              </w:rPr>
              <w:t>A well-instructed home program may be sufficient for some uncomplicated cases. Supervised physiotherapy is particularly useful for confirming the movement pattern, individualizing dosage, correcting technique, addressing fear or adherence, and managing severe, atypical, postoperative, or persistent cases. Evidence does not support claiming that supervision is essential for every patient.</w:t>
            </w:r>
          </w:p>
        </w:tc>
        <w:tc>
          <w:tcPr>
            <w:tcW w:w="1944" w:type="dxa"/>
            <w:shd w:val="clear" w:color="auto" w:fill="F3F8FC"/>
            <w:tcMar>
              <w:top w:w="55" w:type="dxa"/>
              <w:left w:w="55" w:type="dxa"/>
              <w:bottom w:w="55" w:type="dxa"/>
              <w:right w:w="55" w:type="dxa"/>
            </w:tcMar>
            <w:vAlign w:val="top"/>
          </w:tcPr>
          <w:p w14:paraId="5FB94675">
            <w:pPr>
              <w:spacing w:before="0" w:after="0" w:line="228" w:lineRule="auto"/>
            </w:pPr>
            <w:r>
              <w:rPr>
                <w:rFonts w:ascii="Arial" w:hAnsi="Arial" w:eastAsia="Arial"/>
                <w:b/>
                <w:i w:val="0"/>
                <w:color w:val="1F4E79"/>
                <w:sz w:val="14"/>
              </w:rPr>
              <w:t>R1; R2; R6; R7; R8</w:t>
            </w:r>
          </w:p>
        </w:tc>
      </w:tr>
      <w:tr w14:paraId="587F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2EA9DCFD">
            <w:pPr>
              <w:spacing w:before="0" w:after="0" w:line="228" w:lineRule="auto"/>
            </w:pPr>
            <w:r>
              <w:rPr>
                <w:rFonts w:ascii="Arial" w:hAnsi="Arial" w:eastAsia="Arial"/>
                <w:b/>
                <w:i w:val="0"/>
                <w:sz w:val="14"/>
              </w:rPr>
              <w:t>37</w:t>
            </w:r>
          </w:p>
        </w:tc>
        <w:tc>
          <w:tcPr>
            <w:tcW w:w="2088" w:type="dxa"/>
            <w:tcMar>
              <w:top w:w="55" w:type="dxa"/>
              <w:left w:w="55" w:type="dxa"/>
              <w:bottom w:w="55" w:type="dxa"/>
              <w:right w:w="55" w:type="dxa"/>
            </w:tcMar>
            <w:vAlign w:val="top"/>
          </w:tcPr>
          <w:p w14:paraId="038E597E">
            <w:pPr>
              <w:spacing w:before="0" w:after="0" w:line="228" w:lineRule="auto"/>
            </w:pPr>
            <w:r>
              <w:rPr>
                <w:rFonts w:ascii="Arial" w:hAnsi="Arial" w:eastAsia="Arial"/>
                <w:b w:val="0"/>
                <w:i w:val="0"/>
                <w:sz w:val="14"/>
              </w:rPr>
              <w:t>Exercise and rehabilitation</w:t>
            </w:r>
          </w:p>
        </w:tc>
        <w:tc>
          <w:tcPr>
            <w:tcW w:w="3960" w:type="dxa"/>
            <w:tcMar>
              <w:top w:w="55" w:type="dxa"/>
              <w:left w:w="55" w:type="dxa"/>
              <w:bottom w:w="55" w:type="dxa"/>
              <w:right w:w="55" w:type="dxa"/>
            </w:tcMar>
            <w:vAlign w:val="top"/>
          </w:tcPr>
          <w:p w14:paraId="22500236">
            <w:pPr>
              <w:spacing w:before="0" w:after="0" w:line="228" w:lineRule="auto"/>
            </w:pPr>
            <w:r>
              <w:rPr>
                <w:rFonts w:ascii="Arial" w:hAnsi="Arial" w:eastAsia="Arial"/>
                <w:b w:val="0"/>
                <w:i w:val="0"/>
                <w:sz w:val="14"/>
              </w:rPr>
              <w:t>When is it appropriate to start strengthening exercises instead of only stretching?</w:t>
            </w:r>
          </w:p>
        </w:tc>
        <w:tc>
          <w:tcPr>
            <w:tcW w:w="5903" w:type="dxa"/>
            <w:tcMar>
              <w:top w:w="55" w:type="dxa"/>
              <w:left w:w="55" w:type="dxa"/>
              <w:bottom w:w="55" w:type="dxa"/>
              <w:right w:w="55" w:type="dxa"/>
            </w:tcMar>
            <w:vAlign w:val="top"/>
          </w:tcPr>
          <w:p w14:paraId="1DCF7ED0">
            <w:pPr>
              <w:spacing w:before="0" w:after="0" w:line="228" w:lineRule="auto"/>
            </w:pPr>
            <w:r>
              <w:rPr>
                <w:rFonts w:ascii="Arial" w:hAnsi="Arial" w:eastAsia="Arial"/>
                <w:b w:val="0"/>
                <w:i w:val="0"/>
                <w:sz w:val="14"/>
              </w:rPr>
              <w:t>Low-load isometric, scapular, and rotator-cuff strengthening can begin when it can be performed with acceptable pain and control, then progress as range and irritability improve. Strengthening should not replace mobility work when substantial capsular restriction remains. New or marked weakness should first be assessed for another diagnosis.</w:t>
            </w:r>
          </w:p>
        </w:tc>
        <w:tc>
          <w:tcPr>
            <w:tcW w:w="1944" w:type="dxa"/>
            <w:tcMar>
              <w:top w:w="55" w:type="dxa"/>
              <w:left w:w="55" w:type="dxa"/>
              <w:bottom w:w="55" w:type="dxa"/>
              <w:right w:w="55" w:type="dxa"/>
            </w:tcMar>
            <w:vAlign w:val="top"/>
          </w:tcPr>
          <w:p w14:paraId="7B3CFD70">
            <w:pPr>
              <w:spacing w:before="0" w:after="0" w:line="228" w:lineRule="auto"/>
            </w:pPr>
            <w:r>
              <w:rPr>
                <w:rFonts w:ascii="Arial" w:hAnsi="Arial" w:eastAsia="Arial"/>
                <w:b/>
                <w:i w:val="0"/>
                <w:color w:val="1F4E79"/>
                <w:sz w:val="14"/>
              </w:rPr>
              <w:t>R1; R2; R3; R8</w:t>
            </w:r>
          </w:p>
        </w:tc>
      </w:tr>
      <w:tr w14:paraId="27C9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5E18E036">
            <w:pPr>
              <w:spacing w:before="0" w:after="0" w:line="228" w:lineRule="auto"/>
            </w:pPr>
            <w:r>
              <w:rPr>
                <w:rFonts w:ascii="Arial" w:hAnsi="Arial" w:eastAsia="Arial"/>
                <w:b/>
                <w:i w:val="0"/>
                <w:sz w:val="14"/>
              </w:rPr>
              <w:t>38</w:t>
            </w:r>
          </w:p>
        </w:tc>
        <w:tc>
          <w:tcPr>
            <w:tcW w:w="2088" w:type="dxa"/>
            <w:shd w:val="clear" w:color="auto" w:fill="F3F8FC"/>
            <w:tcMar>
              <w:top w:w="55" w:type="dxa"/>
              <w:left w:w="55" w:type="dxa"/>
              <w:bottom w:w="55" w:type="dxa"/>
              <w:right w:w="55" w:type="dxa"/>
            </w:tcMar>
            <w:vAlign w:val="top"/>
          </w:tcPr>
          <w:p w14:paraId="52296463">
            <w:pPr>
              <w:spacing w:before="0" w:after="0" w:line="228" w:lineRule="auto"/>
            </w:pPr>
            <w:r>
              <w:rPr>
                <w:rFonts w:ascii="Arial" w:hAnsi="Arial" w:eastAsia="Arial"/>
                <w:b w:val="0"/>
                <w:i w:val="0"/>
                <w:sz w:val="14"/>
              </w:rPr>
              <w:t>Exercise and rehabilitation</w:t>
            </w:r>
          </w:p>
        </w:tc>
        <w:tc>
          <w:tcPr>
            <w:tcW w:w="3960" w:type="dxa"/>
            <w:shd w:val="clear" w:color="auto" w:fill="F3F8FC"/>
            <w:tcMar>
              <w:top w:w="55" w:type="dxa"/>
              <w:left w:w="55" w:type="dxa"/>
              <w:bottom w:w="55" w:type="dxa"/>
              <w:right w:w="55" w:type="dxa"/>
            </w:tcMar>
            <w:vAlign w:val="top"/>
          </w:tcPr>
          <w:p w14:paraId="6574D818">
            <w:pPr>
              <w:spacing w:before="0" w:after="0" w:line="228" w:lineRule="auto"/>
            </w:pPr>
            <w:r>
              <w:rPr>
                <w:rFonts w:ascii="Arial" w:hAnsi="Arial" w:eastAsia="Arial"/>
                <w:b w:val="0"/>
                <w:i w:val="0"/>
                <w:sz w:val="14"/>
              </w:rPr>
              <w:t>My pain gets much worse after the exercises, and I am worried I may be damaging my shoulder. What should I do?</w:t>
            </w:r>
          </w:p>
        </w:tc>
        <w:tc>
          <w:tcPr>
            <w:tcW w:w="5903" w:type="dxa"/>
            <w:shd w:val="clear" w:color="auto" w:fill="F3F8FC"/>
            <w:tcMar>
              <w:top w:w="55" w:type="dxa"/>
              <w:left w:w="55" w:type="dxa"/>
              <w:bottom w:w="55" w:type="dxa"/>
              <w:right w:w="55" w:type="dxa"/>
            </w:tcMar>
            <w:vAlign w:val="top"/>
          </w:tcPr>
          <w:p w14:paraId="2D3F51A3">
            <w:pPr>
              <w:spacing w:before="0" w:after="0" w:line="228" w:lineRule="auto"/>
            </w:pPr>
            <w:r>
              <w:rPr>
                <w:rFonts w:ascii="Arial" w:hAnsi="Arial" w:eastAsia="Arial"/>
                <w:b w:val="0"/>
                <w:i w:val="0"/>
                <w:sz w:val="14"/>
              </w:rPr>
              <w:t>The person should reduce the range, force, repetitions, or frequency and return to gentler movement until symptoms settle. Persistent severe post-exercise pain, a flare lasting beyond the expected short period, swelling, fever, trauma, or new weakness or neurological symptoms warrants professional review. Continuing to force the same program despite worsening symptoms is not appropriate.</w:t>
            </w:r>
          </w:p>
        </w:tc>
        <w:tc>
          <w:tcPr>
            <w:tcW w:w="1944" w:type="dxa"/>
            <w:shd w:val="clear" w:color="auto" w:fill="F3F8FC"/>
            <w:tcMar>
              <w:top w:w="55" w:type="dxa"/>
              <w:left w:w="55" w:type="dxa"/>
              <w:bottom w:w="55" w:type="dxa"/>
              <w:right w:w="55" w:type="dxa"/>
            </w:tcMar>
            <w:vAlign w:val="top"/>
          </w:tcPr>
          <w:p w14:paraId="7F8F4599">
            <w:pPr>
              <w:spacing w:before="0" w:after="0" w:line="228" w:lineRule="auto"/>
            </w:pPr>
            <w:r>
              <w:rPr>
                <w:rFonts w:ascii="Arial" w:hAnsi="Arial" w:eastAsia="Arial"/>
                <w:b/>
                <w:i w:val="0"/>
                <w:color w:val="1F4E79"/>
                <w:sz w:val="14"/>
              </w:rPr>
              <w:t>R1; R2; R3; R7; R8</w:t>
            </w:r>
          </w:p>
        </w:tc>
      </w:tr>
      <w:tr w14:paraId="644F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62AE5B13">
            <w:pPr>
              <w:spacing w:before="0" w:after="0" w:line="228" w:lineRule="auto"/>
            </w:pPr>
            <w:r>
              <w:rPr>
                <w:rFonts w:ascii="Arial" w:hAnsi="Arial" w:eastAsia="Arial"/>
                <w:b/>
                <w:i w:val="0"/>
                <w:sz w:val="14"/>
              </w:rPr>
              <w:t>39</w:t>
            </w:r>
          </w:p>
        </w:tc>
        <w:tc>
          <w:tcPr>
            <w:tcW w:w="2088" w:type="dxa"/>
            <w:tcMar>
              <w:top w:w="55" w:type="dxa"/>
              <w:left w:w="55" w:type="dxa"/>
              <w:bottom w:w="55" w:type="dxa"/>
              <w:right w:w="55" w:type="dxa"/>
            </w:tcMar>
            <w:vAlign w:val="top"/>
          </w:tcPr>
          <w:p w14:paraId="49A6082C">
            <w:pPr>
              <w:spacing w:before="0" w:after="0" w:line="228" w:lineRule="auto"/>
            </w:pPr>
            <w:r>
              <w:rPr>
                <w:rFonts w:ascii="Arial" w:hAnsi="Arial" w:eastAsia="Arial"/>
                <w:b w:val="0"/>
                <w:i w:val="0"/>
                <w:sz w:val="14"/>
              </w:rPr>
              <w:t>Medications, injections, and other nonsurgical treatments</w:t>
            </w:r>
          </w:p>
        </w:tc>
        <w:tc>
          <w:tcPr>
            <w:tcW w:w="3960" w:type="dxa"/>
            <w:tcMar>
              <w:top w:w="55" w:type="dxa"/>
              <w:left w:w="55" w:type="dxa"/>
              <w:bottom w:w="55" w:type="dxa"/>
              <w:right w:w="55" w:type="dxa"/>
            </w:tcMar>
            <w:vAlign w:val="top"/>
          </w:tcPr>
          <w:p w14:paraId="59A081FB">
            <w:pPr>
              <w:spacing w:before="0" w:after="0" w:line="228" w:lineRule="auto"/>
            </w:pPr>
            <w:r>
              <w:rPr>
                <w:rFonts w:ascii="Arial" w:hAnsi="Arial" w:eastAsia="Arial"/>
                <w:b w:val="0"/>
                <w:i w:val="0"/>
                <w:sz w:val="14"/>
              </w:rPr>
              <w:t>Which pain medicines are commonly used for frozen shoulder, and what side effects or precautions should I know about?</w:t>
            </w:r>
          </w:p>
        </w:tc>
        <w:tc>
          <w:tcPr>
            <w:tcW w:w="5903" w:type="dxa"/>
            <w:tcMar>
              <w:top w:w="55" w:type="dxa"/>
              <w:left w:w="55" w:type="dxa"/>
              <w:bottom w:w="55" w:type="dxa"/>
              <w:right w:w="55" w:type="dxa"/>
            </w:tcMar>
            <w:vAlign w:val="top"/>
          </w:tcPr>
          <w:p w14:paraId="5C697663">
            <w:pPr>
              <w:spacing w:before="0" w:after="0" w:line="228" w:lineRule="auto"/>
            </w:pPr>
            <w:r>
              <w:rPr>
                <w:rFonts w:ascii="Arial" w:hAnsi="Arial" w:eastAsia="Arial"/>
                <w:b w:val="0"/>
                <w:i w:val="0"/>
                <w:sz w:val="14"/>
              </w:rPr>
              <w:t>Short-term options may include acetaminophen/paracetamol and nonsteroidal anti-inflammatory drugs when appropriate; treatment should be individualized to comorbidities and other medicines. NSAIDs can cause gastrointestinal bleeding, kidney injury, fluid retention, and cardiovascular complications, while acetaminophen overdose can injure the liver. Routine long-term opioid treatment is generally not a preferred strategy.</w:t>
            </w:r>
          </w:p>
        </w:tc>
        <w:tc>
          <w:tcPr>
            <w:tcW w:w="1944" w:type="dxa"/>
            <w:tcMar>
              <w:top w:w="55" w:type="dxa"/>
              <w:left w:w="55" w:type="dxa"/>
              <w:bottom w:w="55" w:type="dxa"/>
              <w:right w:w="55" w:type="dxa"/>
            </w:tcMar>
            <w:vAlign w:val="top"/>
          </w:tcPr>
          <w:p w14:paraId="45820B99">
            <w:pPr>
              <w:spacing w:before="0" w:after="0" w:line="228" w:lineRule="auto"/>
            </w:pPr>
            <w:r>
              <w:rPr>
                <w:rFonts w:ascii="Arial" w:hAnsi="Arial" w:eastAsia="Arial"/>
                <w:b/>
                <w:i w:val="0"/>
                <w:color w:val="1F4E79"/>
                <w:sz w:val="14"/>
              </w:rPr>
              <w:t>R1; R2; R16</w:t>
            </w:r>
          </w:p>
        </w:tc>
      </w:tr>
      <w:tr w14:paraId="0B86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68D79F24">
            <w:pPr>
              <w:spacing w:before="0" w:after="0" w:line="228" w:lineRule="auto"/>
            </w:pPr>
            <w:r>
              <w:rPr>
                <w:rFonts w:ascii="Arial" w:hAnsi="Arial" w:eastAsia="Arial"/>
                <w:b/>
                <w:i w:val="0"/>
                <w:sz w:val="14"/>
              </w:rPr>
              <w:t>40</w:t>
            </w:r>
          </w:p>
        </w:tc>
        <w:tc>
          <w:tcPr>
            <w:tcW w:w="2088" w:type="dxa"/>
            <w:shd w:val="clear" w:color="auto" w:fill="F3F8FC"/>
            <w:tcMar>
              <w:top w:w="55" w:type="dxa"/>
              <w:left w:w="55" w:type="dxa"/>
              <w:bottom w:w="55" w:type="dxa"/>
              <w:right w:w="55" w:type="dxa"/>
            </w:tcMar>
            <w:vAlign w:val="top"/>
          </w:tcPr>
          <w:p w14:paraId="63E44503">
            <w:pPr>
              <w:spacing w:before="0" w:after="0" w:line="228" w:lineRule="auto"/>
            </w:pPr>
            <w:r>
              <w:rPr>
                <w:rFonts w:ascii="Arial" w:hAnsi="Arial" w:eastAsia="Arial"/>
                <w:b w:val="0"/>
                <w:i w:val="0"/>
                <w:sz w:val="14"/>
              </w:rPr>
              <w:t>Medications, injections, and other nonsurgical treatments</w:t>
            </w:r>
          </w:p>
        </w:tc>
        <w:tc>
          <w:tcPr>
            <w:tcW w:w="3960" w:type="dxa"/>
            <w:shd w:val="clear" w:color="auto" w:fill="F3F8FC"/>
            <w:tcMar>
              <w:top w:w="55" w:type="dxa"/>
              <w:left w:w="55" w:type="dxa"/>
              <w:bottom w:w="55" w:type="dxa"/>
              <w:right w:w="55" w:type="dxa"/>
            </w:tcMar>
            <w:vAlign w:val="top"/>
          </w:tcPr>
          <w:p w14:paraId="630627C3">
            <w:pPr>
              <w:spacing w:before="0" w:after="0" w:line="228" w:lineRule="auto"/>
            </w:pPr>
            <w:r>
              <w:rPr>
                <w:rFonts w:ascii="Arial" w:hAnsi="Arial" w:eastAsia="Arial"/>
                <w:b w:val="0"/>
                <w:i w:val="0"/>
                <w:sz w:val="14"/>
              </w:rPr>
              <w:t>Can I take ibuprofen or another anti-inflammatory painkiller every day until my shoulder gets better?</w:t>
            </w:r>
          </w:p>
        </w:tc>
        <w:tc>
          <w:tcPr>
            <w:tcW w:w="5903" w:type="dxa"/>
            <w:shd w:val="clear" w:color="auto" w:fill="F3F8FC"/>
            <w:tcMar>
              <w:top w:w="55" w:type="dxa"/>
              <w:left w:w="55" w:type="dxa"/>
              <w:bottom w:w="55" w:type="dxa"/>
              <w:right w:w="55" w:type="dxa"/>
            </w:tcMar>
            <w:vAlign w:val="top"/>
          </w:tcPr>
          <w:p w14:paraId="08101EFA">
            <w:pPr>
              <w:spacing w:before="0" w:after="0" w:line="228" w:lineRule="auto"/>
            </w:pPr>
            <w:r>
              <w:rPr>
                <w:rFonts w:ascii="Arial" w:hAnsi="Arial" w:eastAsia="Arial"/>
                <w:b w:val="0"/>
                <w:i w:val="0"/>
                <w:sz w:val="14"/>
              </w:rPr>
              <w:t>Daily NSAID use for an open-ended period should not be recommended without review. The lowest effective dose for the shortest necessary duration is preferred, with special caution in people with ulcer or bleeding risk, kidney disease, hypertension, cardiovascular disease, anticoagulant use, pregnancy, or interacting medicines. Persistent pain should trigger reassessment rather than indefinite self-treatment.</w:t>
            </w:r>
          </w:p>
        </w:tc>
        <w:tc>
          <w:tcPr>
            <w:tcW w:w="1944" w:type="dxa"/>
            <w:shd w:val="clear" w:color="auto" w:fill="F3F8FC"/>
            <w:tcMar>
              <w:top w:w="55" w:type="dxa"/>
              <w:left w:w="55" w:type="dxa"/>
              <w:bottom w:w="55" w:type="dxa"/>
              <w:right w:w="55" w:type="dxa"/>
            </w:tcMar>
            <w:vAlign w:val="top"/>
          </w:tcPr>
          <w:p w14:paraId="72247FF5">
            <w:pPr>
              <w:spacing w:before="0" w:after="0" w:line="228" w:lineRule="auto"/>
            </w:pPr>
            <w:r>
              <w:rPr>
                <w:rFonts w:ascii="Arial" w:hAnsi="Arial" w:eastAsia="Arial"/>
                <w:b/>
                <w:i w:val="0"/>
                <w:color w:val="1F4E79"/>
                <w:sz w:val="14"/>
              </w:rPr>
              <w:t>R1; R2; R16</w:t>
            </w:r>
          </w:p>
        </w:tc>
      </w:tr>
      <w:tr w14:paraId="2978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4CCBF329">
            <w:pPr>
              <w:spacing w:before="0" w:after="0" w:line="228" w:lineRule="auto"/>
            </w:pPr>
            <w:r>
              <w:rPr>
                <w:rFonts w:ascii="Arial" w:hAnsi="Arial" w:eastAsia="Arial"/>
                <w:b/>
                <w:i w:val="0"/>
                <w:sz w:val="14"/>
              </w:rPr>
              <w:t>41</w:t>
            </w:r>
          </w:p>
        </w:tc>
        <w:tc>
          <w:tcPr>
            <w:tcW w:w="2088" w:type="dxa"/>
            <w:tcMar>
              <w:top w:w="55" w:type="dxa"/>
              <w:left w:w="55" w:type="dxa"/>
              <w:bottom w:w="55" w:type="dxa"/>
              <w:right w:w="55" w:type="dxa"/>
            </w:tcMar>
            <w:vAlign w:val="top"/>
          </w:tcPr>
          <w:p w14:paraId="2C5A089C">
            <w:pPr>
              <w:spacing w:before="0" w:after="0" w:line="228" w:lineRule="auto"/>
            </w:pPr>
            <w:r>
              <w:rPr>
                <w:rFonts w:ascii="Arial" w:hAnsi="Arial" w:eastAsia="Arial"/>
                <w:b w:val="0"/>
                <w:i w:val="0"/>
                <w:sz w:val="14"/>
              </w:rPr>
              <w:t>Medications, injections, and other nonsurgical treatments</w:t>
            </w:r>
          </w:p>
        </w:tc>
        <w:tc>
          <w:tcPr>
            <w:tcW w:w="3960" w:type="dxa"/>
            <w:tcMar>
              <w:top w:w="55" w:type="dxa"/>
              <w:left w:w="55" w:type="dxa"/>
              <w:bottom w:w="55" w:type="dxa"/>
              <w:right w:w="55" w:type="dxa"/>
            </w:tcMar>
            <w:vAlign w:val="top"/>
          </w:tcPr>
          <w:p w14:paraId="2D4B22C4">
            <w:pPr>
              <w:spacing w:before="0" w:after="0" w:line="228" w:lineRule="auto"/>
            </w:pPr>
            <w:r>
              <w:rPr>
                <w:rFonts w:ascii="Arial" w:hAnsi="Arial" w:eastAsia="Arial"/>
                <w:b w:val="0"/>
                <w:i w:val="0"/>
                <w:sz w:val="14"/>
              </w:rPr>
              <w:t>What can a steroid injection into the shoulder joint improve, when might it work best, and what are the risks?</w:t>
            </w:r>
          </w:p>
        </w:tc>
        <w:tc>
          <w:tcPr>
            <w:tcW w:w="5903" w:type="dxa"/>
            <w:tcMar>
              <w:top w:w="55" w:type="dxa"/>
              <w:left w:w="55" w:type="dxa"/>
              <w:bottom w:w="55" w:type="dxa"/>
              <w:right w:w="55" w:type="dxa"/>
            </w:tcMar>
            <w:vAlign w:val="top"/>
          </w:tcPr>
          <w:p w14:paraId="221B8B19">
            <w:pPr>
              <w:spacing w:before="0" w:after="0" w:line="228" w:lineRule="auto"/>
            </w:pPr>
            <w:r>
              <w:rPr>
                <w:rFonts w:ascii="Arial" w:hAnsi="Arial" w:eastAsia="Arial"/>
                <w:b w:val="0"/>
                <w:i w:val="0"/>
                <w:sz w:val="14"/>
              </w:rPr>
              <w:t>An intra-articular corticosteroid injection can provide short-term improvement in pain, function, and range of motion, with the clearest benefit often seen earlier in the painful course and when combined with an appropriate exercise program. Risks include a transient pain flare, temporary blood-glucose elevation, skin or fat changes, and rare infection; repeated injections require individualized judgment. Benefit is not guaranteed and usually diminishes over time.</w:t>
            </w:r>
          </w:p>
        </w:tc>
        <w:tc>
          <w:tcPr>
            <w:tcW w:w="1944" w:type="dxa"/>
            <w:tcMar>
              <w:top w:w="55" w:type="dxa"/>
              <w:left w:w="55" w:type="dxa"/>
              <w:bottom w:w="55" w:type="dxa"/>
              <w:right w:w="55" w:type="dxa"/>
            </w:tcMar>
            <w:vAlign w:val="top"/>
          </w:tcPr>
          <w:p w14:paraId="262E6D51">
            <w:pPr>
              <w:spacing w:before="0" w:after="0" w:line="228" w:lineRule="auto"/>
            </w:pPr>
            <w:r>
              <w:rPr>
                <w:rFonts w:ascii="Arial" w:hAnsi="Arial" w:eastAsia="Arial"/>
                <w:b/>
                <w:i w:val="0"/>
                <w:color w:val="1F4E79"/>
                <w:sz w:val="14"/>
              </w:rPr>
              <w:t>R1; R2; R6; R13</w:t>
            </w:r>
          </w:p>
        </w:tc>
      </w:tr>
      <w:tr w14:paraId="3035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50FB9647">
            <w:pPr>
              <w:spacing w:before="0" w:after="0" w:line="228" w:lineRule="auto"/>
            </w:pPr>
            <w:r>
              <w:rPr>
                <w:rFonts w:ascii="Arial" w:hAnsi="Arial" w:eastAsia="Arial"/>
                <w:b/>
                <w:i w:val="0"/>
                <w:sz w:val="14"/>
              </w:rPr>
              <w:t>42</w:t>
            </w:r>
          </w:p>
        </w:tc>
        <w:tc>
          <w:tcPr>
            <w:tcW w:w="2088" w:type="dxa"/>
            <w:shd w:val="clear" w:color="auto" w:fill="F3F8FC"/>
            <w:tcMar>
              <w:top w:w="55" w:type="dxa"/>
              <w:left w:w="55" w:type="dxa"/>
              <w:bottom w:w="55" w:type="dxa"/>
              <w:right w:w="55" w:type="dxa"/>
            </w:tcMar>
            <w:vAlign w:val="top"/>
          </w:tcPr>
          <w:p w14:paraId="0D54D1FD">
            <w:pPr>
              <w:spacing w:before="0" w:after="0" w:line="228" w:lineRule="auto"/>
            </w:pPr>
            <w:r>
              <w:rPr>
                <w:rFonts w:ascii="Arial" w:hAnsi="Arial" w:eastAsia="Arial"/>
                <w:b w:val="0"/>
                <w:i w:val="0"/>
                <w:sz w:val="14"/>
              </w:rPr>
              <w:t>Medications, injections, and other nonsurgical treatments</w:t>
            </w:r>
          </w:p>
        </w:tc>
        <w:tc>
          <w:tcPr>
            <w:tcW w:w="3960" w:type="dxa"/>
            <w:shd w:val="clear" w:color="auto" w:fill="F3F8FC"/>
            <w:tcMar>
              <w:top w:w="55" w:type="dxa"/>
              <w:left w:w="55" w:type="dxa"/>
              <w:bottom w:w="55" w:type="dxa"/>
              <w:right w:w="55" w:type="dxa"/>
            </w:tcMar>
            <w:vAlign w:val="top"/>
          </w:tcPr>
          <w:p w14:paraId="245311FD">
            <w:pPr>
              <w:spacing w:before="0" w:after="0" w:line="228" w:lineRule="auto"/>
            </w:pPr>
            <w:r>
              <w:rPr>
                <w:rFonts w:ascii="Arial" w:hAnsi="Arial" w:eastAsia="Arial"/>
                <w:b w:val="0"/>
                <w:i w:val="0"/>
                <w:sz w:val="14"/>
              </w:rPr>
              <w:t>What is shoulder hydrodilatation, and what are its possible benefits and risks?</w:t>
            </w:r>
          </w:p>
        </w:tc>
        <w:tc>
          <w:tcPr>
            <w:tcW w:w="5903" w:type="dxa"/>
            <w:shd w:val="clear" w:color="auto" w:fill="F3F8FC"/>
            <w:tcMar>
              <w:top w:w="55" w:type="dxa"/>
              <w:left w:w="55" w:type="dxa"/>
              <w:bottom w:w="55" w:type="dxa"/>
              <w:right w:w="55" w:type="dxa"/>
            </w:tcMar>
            <w:vAlign w:val="top"/>
          </w:tcPr>
          <w:p w14:paraId="1A514EED">
            <w:pPr>
              <w:spacing w:before="0" w:after="0" w:line="228" w:lineRule="auto"/>
            </w:pPr>
            <w:r>
              <w:rPr>
                <w:rFonts w:ascii="Arial" w:hAnsi="Arial" w:eastAsia="Arial"/>
                <w:b w:val="0"/>
                <w:i w:val="0"/>
                <w:sz w:val="14"/>
              </w:rPr>
              <w:t>Hydrodilatation uses image-guided injection of fluid, often with local anesthetic and corticosteroid, to distend the joint capsule. Evidence suggests possible short-term improvement in pain, function, and particularly external rotation, but effects and techniques vary across studies. Risks include procedure pain, vasovagal symptoms, infection, and steroid-related adverse effects.</w:t>
            </w:r>
          </w:p>
        </w:tc>
        <w:tc>
          <w:tcPr>
            <w:tcW w:w="1944" w:type="dxa"/>
            <w:shd w:val="clear" w:color="auto" w:fill="F3F8FC"/>
            <w:tcMar>
              <w:top w:w="55" w:type="dxa"/>
              <w:left w:w="55" w:type="dxa"/>
              <w:bottom w:w="55" w:type="dxa"/>
              <w:right w:w="55" w:type="dxa"/>
            </w:tcMar>
            <w:vAlign w:val="top"/>
          </w:tcPr>
          <w:p w14:paraId="223924DE">
            <w:pPr>
              <w:spacing w:before="0" w:after="0" w:line="228" w:lineRule="auto"/>
            </w:pPr>
            <w:r>
              <w:rPr>
                <w:rFonts w:ascii="Arial" w:hAnsi="Arial" w:eastAsia="Arial"/>
                <w:b/>
                <w:i w:val="0"/>
                <w:color w:val="1F4E79"/>
                <w:sz w:val="14"/>
              </w:rPr>
              <w:t>R1; R2; R6; R9</w:t>
            </w:r>
          </w:p>
        </w:tc>
      </w:tr>
      <w:tr w14:paraId="5371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50FD6685">
            <w:pPr>
              <w:spacing w:before="0" w:after="0" w:line="228" w:lineRule="auto"/>
            </w:pPr>
            <w:r>
              <w:rPr>
                <w:rFonts w:ascii="Arial" w:hAnsi="Arial" w:eastAsia="Arial"/>
                <w:b/>
                <w:i w:val="0"/>
                <w:sz w:val="14"/>
              </w:rPr>
              <w:t>43</w:t>
            </w:r>
          </w:p>
        </w:tc>
        <w:tc>
          <w:tcPr>
            <w:tcW w:w="2088" w:type="dxa"/>
            <w:tcMar>
              <w:top w:w="55" w:type="dxa"/>
              <w:left w:w="55" w:type="dxa"/>
              <w:bottom w:w="55" w:type="dxa"/>
              <w:right w:w="55" w:type="dxa"/>
            </w:tcMar>
            <w:vAlign w:val="top"/>
          </w:tcPr>
          <w:p w14:paraId="2EC39177">
            <w:pPr>
              <w:spacing w:before="0" w:after="0" w:line="228" w:lineRule="auto"/>
            </w:pPr>
            <w:r>
              <w:rPr>
                <w:rFonts w:ascii="Arial" w:hAnsi="Arial" w:eastAsia="Arial"/>
                <w:b w:val="0"/>
                <w:i w:val="0"/>
                <w:sz w:val="14"/>
              </w:rPr>
              <w:t>Medications, injections, and other nonsurgical treatments</w:t>
            </w:r>
          </w:p>
        </w:tc>
        <w:tc>
          <w:tcPr>
            <w:tcW w:w="3960" w:type="dxa"/>
            <w:tcMar>
              <w:top w:w="55" w:type="dxa"/>
              <w:left w:w="55" w:type="dxa"/>
              <w:bottom w:w="55" w:type="dxa"/>
              <w:right w:w="55" w:type="dxa"/>
            </w:tcMar>
            <w:vAlign w:val="top"/>
          </w:tcPr>
          <w:p w14:paraId="290EFADF">
            <w:pPr>
              <w:spacing w:before="0" w:after="0" w:line="228" w:lineRule="auto"/>
            </w:pPr>
            <w:r>
              <w:rPr>
                <w:rFonts w:ascii="Arial" w:hAnsi="Arial" w:eastAsia="Arial"/>
                <w:b w:val="0"/>
                <w:i w:val="0"/>
                <w:sz w:val="14"/>
              </w:rPr>
              <w:t>How much can massage, joint mobilisation, or manual therapy help frozen shoulder, and can it make the pain worse?</w:t>
            </w:r>
          </w:p>
        </w:tc>
        <w:tc>
          <w:tcPr>
            <w:tcW w:w="5903" w:type="dxa"/>
            <w:tcMar>
              <w:top w:w="55" w:type="dxa"/>
              <w:left w:w="55" w:type="dxa"/>
              <w:bottom w:w="55" w:type="dxa"/>
              <w:right w:w="55" w:type="dxa"/>
            </w:tcMar>
            <w:vAlign w:val="top"/>
          </w:tcPr>
          <w:p w14:paraId="154AD605">
            <w:pPr>
              <w:spacing w:before="0" w:after="0" w:line="228" w:lineRule="auto"/>
            </w:pPr>
            <w:r>
              <w:rPr>
                <w:rFonts w:ascii="Arial" w:hAnsi="Arial" w:eastAsia="Arial"/>
                <w:b w:val="0"/>
                <w:i w:val="0"/>
                <w:sz w:val="14"/>
              </w:rPr>
              <w:t>Manual therapy may be used as an adjunct to exercise, but evidence is heterogeneous and the size of benefit is uncertain. Mobilization should be matched to symptom irritability; aggressive techniques can provoke a pain flare. Massage may improve comfort around the shoulder but does not directly reverse the capsular disorder by itself.</w:t>
            </w:r>
          </w:p>
        </w:tc>
        <w:tc>
          <w:tcPr>
            <w:tcW w:w="1944" w:type="dxa"/>
            <w:tcMar>
              <w:top w:w="55" w:type="dxa"/>
              <w:left w:w="55" w:type="dxa"/>
              <w:bottom w:w="55" w:type="dxa"/>
              <w:right w:w="55" w:type="dxa"/>
            </w:tcMar>
            <w:vAlign w:val="top"/>
          </w:tcPr>
          <w:p w14:paraId="7F5A92C2">
            <w:pPr>
              <w:spacing w:before="0" w:after="0" w:line="228" w:lineRule="auto"/>
            </w:pPr>
            <w:r>
              <w:rPr>
                <w:rFonts w:ascii="Arial" w:hAnsi="Arial" w:eastAsia="Arial"/>
                <w:b/>
                <w:i w:val="0"/>
                <w:color w:val="1F4E79"/>
                <w:sz w:val="14"/>
              </w:rPr>
              <w:t>R1; R2; R7; R8</w:t>
            </w:r>
          </w:p>
        </w:tc>
      </w:tr>
      <w:tr w14:paraId="094E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5BAB8FA5">
            <w:pPr>
              <w:spacing w:before="0" w:after="0" w:line="228" w:lineRule="auto"/>
            </w:pPr>
            <w:r>
              <w:rPr>
                <w:rFonts w:ascii="Arial" w:hAnsi="Arial" w:eastAsia="Arial"/>
                <w:b/>
                <w:i w:val="0"/>
                <w:sz w:val="14"/>
              </w:rPr>
              <w:t>44</w:t>
            </w:r>
          </w:p>
        </w:tc>
        <w:tc>
          <w:tcPr>
            <w:tcW w:w="2088" w:type="dxa"/>
            <w:shd w:val="clear" w:color="auto" w:fill="F3F8FC"/>
            <w:tcMar>
              <w:top w:w="55" w:type="dxa"/>
              <w:left w:w="55" w:type="dxa"/>
              <w:bottom w:w="55" w:type="dxa"/>
              <w:right w:w="55" w:type="dxa"/>
            </w:tcMar>
            <w:vAlign w:val="top"/>
          </w:tcPr>
          <w:p w14:paraId="03136FD8">
            <w:pPr>
              <w:spacing w:before="0" w:after="0" w:line="228" w:lineRule="auto"/>
            </w:pPr>
            <w:r>
              <w:rPr>
                <w:rFonts w:ascii="Arial" w:hAnsi="Arial" w:eastAsia="Arial"/>
                <w:b w:val="0"/>
                <w:i w:val="0"/>
                <w:sz w:val="14"/>
              </w:rPr>
              <w:t>Medications, injections, and other nonsurgical treatments</w:t>
            </w:r>
          </w:p>
        </w:tc>
        <w:tc>
          <w:tcPr>
            <w:tcW w:w="3960" w:type="dxa"/>
            <w:shd w:val="clear" w:color="auto" w:fill="F3F8FC"/>
            <w:tcMar>
              <w:top w:w="55" w:type="dxa"/>
              <w:left w:w="55" w:type="dxa"/>
              <w:bottom w:w="55" w:type="dxa"/>
              <w:right w:w="55" w:type="dxa"/>
            </w:tcMar>
            <w:vAlign w:val="top"/>
          </w:tcPr>
          <w:p w14:paraId="46856441">
            <w:pPr>
              <w:spacing w:before="0" w:after="0" w:line="228" w:lineRule="auto"/>
            </w:pPr>
            <w:r>
              <w:rPr>
                <w:rFonts w:ascii="Arial" w:hAnsi="Arial" w:eastAsia="Arial"/>
                <w:b w:val="0"/>
                <w:i w:val="0"/>
                <w:sz w:val="14"/>
              </w:rPr>
              <w:t>Is there reliable evidence that acupuncture helps frozen shoulder, and can it replace exercise or other treatments?</w:t>
            </w:r>
          </w:p>
        </w:tc>
        <w:tc>
          <w:tcPr>
            <w:tcW w:w="5903" w:type="dxa"/>
            <w:shd w:val="clear" w:color="auto" w:fill="F3F8FC"/>
            <w:tcMar>
              <w:top w:w="55" w:type="dxa"/>
              <w:left w:w="55" w:type="dxa"/>
              <w:bottom w:w="55" w:type="dxa"/>
              <w:right w:w="55" w:type="dxa"/>
            </w:tcMar>
            <w:vAlign w:val="top"/>
          </w:tcPr>
          <w:p w14:paraId="3F532A36">
            <w:pPr>
              <w:spacing w:before="0" w:after="0" w:line="228" w:lineRule="auto"/>
            </w:pPr>
            <w:r>
              <w:rPr>
                <w:rFonts w:ascii="Arial" w:hAnsi="Arial" w:eastAsia="Arial"/>
                <w:b w:val="0"/>
                <w:i w:val="0"/>
                <w:sz w:val="14"/>
              </w:rPr>
              <w:t>Some trials and reviews report short-term improvements, but the certainty of evidence is low or very low because of small studies, variable methods, and risk of bias. Acupuncture should therefore be presented as an optional adjunct rather than a proven replacement for exercise, appropriate analgesia, injection when indicated, or diagnostic reassessment. Standard needle-safety precautions still apply.</w:t>
            </w:r>
          </w:p>
        </w:tc>
        <w:tc>
          <w:tcPr>
            <w:tcW w:w="1944" w:type="dxa"/>
            <w:shd w:val="clear" w:color="auto" w:fill="F3F8FC"/>
            <w:tcMar>
              <w:top w:w="55" w:type="dxa"/>
              <w:left w:w="55" w:type="dxa"/>
              <w:bottom w:w="55" w:type="dxa"/>
              <w:right w:w="55" w:type="dxa"/>
            </w:tcMar>
            <w:vAlign w:val="top"/>
          </w:tcPr>
          <w:p w14:paraId="2009386B">
            <w:pPr>
              <w:spacing w:before="0" w:after="0" w:line="228" w:lineRule="auto"/>
            </w:pPr>
            <w:r>
              <w:rPr>
                <w:rFonts w:ascii="Arial" w:hAnsi="Arial" w:eastAsia="Arial"/>
                <w:b/>
                <w:i w:val="0"/>
                <w:color w:val="1F4E79"/>
                <w:sz w:val="14"/>
              </w:rPr>
              <w:t>R1; R2; R14</w:t>
            </w:r>
          </w:p>
        </w:tc>
      </w:tr>
      <w:tr w14:paraId="43A0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4720911F">
            <w:pPr>
              <w:spacing w:before="0" w:after="0" w:line="228" w:lineRule="auto"/>
            </w:pPr>
            <w:r>
              <w:rPr>
                <w:rFonts w:ascii="Arial" w:hAnsi="Arial" w:eastAsia="Arial"/>
                <w:b/>
                <w:i w:val="0"/>
                <w:sz w:val="14"/>
              </w:rPr>
              <w:t>45</w:t>
            </w:r>
          </w:p>
        </w:tc>
        <w:tc>
          <w:tcPr>
            <w:tcW w:w="2088" w:type="dxa"/>
            <w:tcMar>
              <w:top w:w="55" w:type="dxa"/>
              <w:left w:w="55" w:type="dxa"/>
              <w:bottom w:w="55" w:type="dxa"/>
              <w:right w:w="55" w:type="dxa"/>
            </w:tcMar>
            <w:vAlign w:val="top"/>
          </w:tcPr>
          <w:p w14:paraId="4C4C5339">
            <w:pPr>
              <w:spacing w:before="0" w:after="0" w:line="228" w:lineRule="auto"/>
            </w:pPr>
            <w:r>
              <w:rPr>
                <w:rFonts w:ascii="Arial" w:hAnsi="Arial" w:eastAsia="Arial"/>
                <w:b w:val="0"/>
                <w:i w:val="0"/>
                <w:sz w:val="14"/>
              </w:rPr>
              <w:t>Procedures and surgery</w:t>
            </w:r>
          </w:p>
        </w:tc>
        <w:tc>
          <w:tcPr>
            <w:tcW w:w="3960" w:type="dxa"/>
            <w:tcMar>
              <w:top w:w="55" w:type="dxa"/>
              <w:left w:w="55" w:type="dxa"/>
              <w:bottom w:w="55" w:type="dxa"/>
              <w:right w:w="55" w:type="dxa"/>
            </w:tcMar>
            <w:vAlign w:val="top"/>
          </w:tcPr>
          <w:p w14:paraId="7E7218A4">
            <w:pPr>
              <w:spacing w:before="0" w:after="0" w:line="228" w:lineRule="auto"/>
            </w:pPr>
            <w:r>
              <w:rPr>
                <w:rFonts w:ascii="Arial" w:hAnsi="Arial" w:eastAsia="Arial"/>
                <w:b w:val="0"/>
                <w:i w:val="0"/>
                <w:sz w:val="14"/>
              </w:rPr>
              <w:t>How long should nonsurgical treatment be tried before I am referred to discuss a procedure or surgery?</w:t>
            </w:r>
          </w:p>
        </w:tc>
        <w:tc>
          <w:tcPr>
            <w:tcW w:w="5903" w:type="dxa"/>
            <w:tcMar>
              <w:top w:w="55" w:type="dxa"/>
              <w:left w:w="55" w:type="dxa"/>
              <w:bottom w:w="55" w:type="dxa"/>
              <w:right w:w="55" w:type="dxa"/>
            </w:tcMar>
            <w:vAlign w:val="top"/>
          </w:tcPr>
          <w:p w14:paraId="0002EAB9">
            <w:pPr>
              <w:spacing w:before="0" w:after="0" w:line="228" w:lineRule="auto"/>
            </w:pPr>
            <w:r>
              <w:rPr>
                <w:rFonts w:ascii="Arial" w:hAnsi="Arial" w:eastAsia="Arial"/>
                <w:b w:val="0"/>
                <w:i w:val="0"/>
                <w:sz w:val="14"/>
              </w:rPr>
              <w:t>There is no single mandatory waiting period. Referral is reasonable when substantial pain and disability persist despite an adequate individualized course of education, analgesia, injection or hydrodilatation when appropriate, and rehabilitation, often over several months; earlier referral may be needed for diagnostic uncertainty, severe impairment, or patient preference. Shared decision-making should consider natural history, risks, and postoperative rehabilitation.</w:t>
            </w:r>
          </w:p>
        </w:tc>
        <w:tc>
          <w:tcPr>
            <w:tcW w:w="1944" w:type="dxa"/>
            <w:tcMar>
              <w:top w:w="55" w:type="dxa"/>
              <w:left w:w="55" w:type="dxa"/>
              <w:bottom w:w="55" w:type="dxa"/>
              <w:right w:w="55" w:type="dxa"/>
            </w:tcMar>
            <w:vAlign w:val="top"/>
          </w:tcPr>
          <w:p w14:paraId="4C635CCD">
            <w:pPr>
              <w:spacing w:before="0" w:after="0" w:line="228" w:lineRule="auto"/>
            </w:pPr>
            <w:r>
              <w:rPr>
                <w:rFonts w:ascii="Arial" w:hAnsi="Arial" w:eastAsia="Arial"/>
                <w:b/>
                <w:i w:val="0"/>
                <w:color w:val="1F4E79"/>
                <w:sz w:val="14"/>
              </w:rPr>
              <w:t>R1; R2; R6; R15; R20</w:t>
            </w:r>
          </w:p>
        </w:tc>
      </w:tr>
      <w:tr w14:paraId="0E67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76CD8492">
            <w:pPr>
              <w:spacing w:before="0" w:after="0" w:line="228" w:lineRule="auto"/>
            </w:pPr>
            <w:r>
              <w:rPr>
                <w:rFonts w:ascii="Arial" w:hAnsi="Arial" w:eastAsia="Arial"/>
                <w:b/>
                <w:i w:val="0"/>
                <w:sz w:val="14"/>
              </w:rPr>
              <w:t>46</w:t>
            </w:r>
          </w:p>
        </w:tc>
        <w:tc>
          <w:tcPr>
            <w:tcW w:w="2088" w:type="dxa"/>
            <w:shd w:val="clear" w:color="auto" w:fill="F3F8FC"/>
            <w:tcMar>
              <w:top w:w="55" w:type="dxa"/>
              <w:left w:w="55" w:type="dxa"/>
              <w:bottom w:w="55" w:type="dxa"/>
              <w:right w:w="55" w:type="dxa"/>
            </w:tcMar>
            <w:vAlign w:val="top"/>
          </w:tcPr>
          <w:p w14:paraId="341DD4D0">
            <w:pPr>
              <w:spacing w:before="0" w:after="0" w:line="228" w:lineRule="auto"/>
            </w:pPr>
            <w:r>
              <w:rPr>
                <w:rFonts w:ascii="Arial" w:hAnsi="Arial" w:eastAsia="Arial"/>
                <w:b w:val="0"/>
                <w:i w:val="0"/>
                <w:sz w:val="14"/>
              </w:rPr>
              <w:t>Procedures and surgery</w:t>
            </w:r>
          </w:p>
        </w:tc>
        <w:tc>
          <w:tcPr>
            <w:tcW w:w="3960" w:type="dxa"/>
            <w:shd w:val="clear" w:color="auto" w:fill="F3F8FC"/>
            <w:tcMar>
              <w:top w:w="55" w:type="dxa"/>
              <w:left w:w="55" w:type="dxa"/>
              <w:bottom w:w="55" w:type="dxa"/>
              <w:right w:w="55" w:type="dxa"/>
            </w:tcMar>
            <w:vAlign w:val="top"/>
          </w:tcPr>
          <w:p w14:paraId="2D17B787">
            <w:pPr>
              <w:spacing w:before="0" w:after="0" w:line="228" w:lineRule="auto"/>
            </w:pPr>
            <w:r>
              <w:rPr>
                <w:rFonts w:ascii="Arial" w:hAnsi="Arial" w:eastAsia="Arial"/>
                <w:b w:val="0"/>
                <w:i w:val="0"/>
                <w:sz w:val="14"/>
              </w:rPr>
              <w:t>What is manipulation under anaesthesia, and what are its possible benefits, risks, and recovery requirements?</w:t>
            </w:r>
          </w:p>
        </w:tc>
        <w:tc>
          <w:tcPr>
            <w:tcW w:w="5903" w:type="dxa"/>
            <w:shd w:val="clear" w:color="auto" w:fill="F3F8FC"/>
            <w:tcMar>
              <w:top w:w="55" w:type="dxa"/>
              <w:left w:w="55" w:type="dxa"/>
              <w:bottom w:w="55" w:type="dxa"/>
              <w:right w:w="55" w:type="dxa"/>
            </w:tcMar>
            <w:vAlign w:val="top"/>
          </w:tcPr>
          <w:p w14:paraId="25A163A3">
            <w:pPr>
              <w:spacing w:before="0" w:after="0" w:line="228" w:lineRule="auto"/>
            </w:pPr>
            <w:r>
              <w:rPr>
                <w:rFonts w:ascii="Arial" w:hAnsi="Arial" w:eastAsia="Arial"/>
                <w:b w:val="0"/>
                <w:i w:val="0"/>
                <w:sz w:val="14"/>
              </w:rPr>
              <w:t>Manipulation under anaesthesia uses controlled force to move the anesthetized shoulder and disrupt capsular restriction. It may produce rapid range-of-motion improvement in selected refractory cases, but risks include fracture, dislocation, rotator-cuff or labral injury, nerve injury, and anesthetic complications. Immediate, structured rehabilitation and pain control are essential to maintain motion.</w:t>
            </w:r>
          </w:p>
        </w:tc>
        <w:tc>
          <w:tcPr>
            <w:tcW w:w="1944" w:type="dxa"/>
            <w:shd w:val="clear" w:color="auto" w:fill="F3F8FC"/>
            <w:tcMar>
              <w:top w:w="55" w:type="dxa"/>
              <w:left w:w="55" w:type="dxa"/>
              <w:bottom w:w="55" w:type="dxa"/>
              <w:right w:w="55" w:type="dxa"/>
            </w:tcMar>
            <w:vAlign w:val="top"/>
          </w:tcPr>
          <w:p w14:paraId="1612FF2B">
            <w:pPr>
              <w:spacing w:before="0" w:after="0" w:line="228" w:lineRule="auto"/>
            </w:pPr>
            <w:r>
              <w:rPr>
                <w:rFonts w:ascii="Arial" w:hAnsi="Arial" w:eastAsia="Arial"/>
                <w:b/>
                <w:i w:val="0"/>
                <w:color w:val="1F4E79"/>
                <w:sz w:val="14"/>
              </w:rPr>
              <w:t>R2; R15; R20</w:t>
            </w:r>
          </w:p>
        </w:tc>
      </w:tr>
      <w:tr w14:paraId="5204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308F66B7">
            <w:pPr>
              <w:spacing w:before="0" w:after="0" w:line="228" w:lineRule="auto"/>
            </w:pPr>
            <w:r>
              <w:rPr>
                <w:rFonts w:ascii="Arial" w:hAnsi="Arial" w:eastAsia="Arial"/>
                <w:b/>
                <w:i w:val="0"/>
                <w:sz w:val="14"/>
              </w:rPr>
              <w:t>47</w:t>
            </w:r>
          </w:p>
        </w:tc>
        <w:tc>
          <w:tcPr>
            <w:tcW w:w="2088" w:type="dxa"/>
            <w:tcMar>
              <w:top w:w="55" w:type="dxa"/>
              <w:left w:w="55" w:type="dxa"/>
              <w:bottom w:w="55" w:type="dxa"/>
              <w:right w:w="55" w:type="dxa"/>
            </w:tcMar>
            <w:vAlign w:val="top"/>
          </w:tcPr>
          <w:p w14:paraId="30BF6028">
            <w:pPr>
              <w:spacing w:before="0" w:after="0" w:line="228" w:lineRule="auto"/>
            </w:pPr>
            <w:r>
              <w:rPr>
                <w:rFonts w:ascii="Arial" w:hAnsi="Arial" w:eastAsia="Arial"/>
                <w:b w:val="0"/>
                <w:i w:val="0"/>
                <w:sz w:val="14"/>
              </w:rPr>
              <w:t>Procedures and surgery</w:t>
            </w:r>
          </w:p>
        </w:tc>
        <w:tc>
          <w:tcPr>
            <w:tcW w:w="3960" w:type="dxa"/>
            <w:tcMar>
              <w:top w:w="55" w:type="dxa"/>
              <w:left w:w="55" w:type="dxa"/>
              <w:bottom w:w="55" w:type="dxa"/>
              <w:right w:w="55" w:type="dxa"/>
            </w:tcMar>
            <w:vAlign w:val="top"/>
          </w:tcPr>
          <w:p w14:paraId="708C6B8F">
            <w:pPr>
              <w:spacing w:before="0" w:after="0" w:line="228" w:lineRule="auto"/>
            </w:pPr>
            <w:r>
              <w:rPr>
                <w:rFonts w:ascii="Arial" w:hAnsi="Arial" w:eastAsia="Arial"/>
                <w:b w:val="0"/>
                <w:i w:val="0"/>
                <w:sz w:val="14"/>
              </w:rPr>
              <w:t>When is arthroscopic capsular release considered, and what are the risks and rehabilitation after surgery?</w:t>
            </w:r>
          </w:p>
        </w:tc>
        <w:tc>
          <w:tcPr>
            <w:tcW w:w="5903" w:type="dxa"/>
            <w:tcMar>
              <w:top w:w="55" w:type="dxa"/>
              <w:left w:w="55" w:type="dxa"/>
              <w:bottom w:w="55" w:type="dxa"/>
              <w:right w:w="55" w:type="dxa"/>
            </w:tcMar>
            <w:vAlign w:val="top"/>
          </w:tcPr>
          <w:p w14:paraId="00504156">
            <w:pPr>
              <w:spacing w:before="0" w:after="0" w:line="228" w:lineRule="auto"/>
            </w:pPr>
            <w:r>
              <w:rPr>
                <w:rFonts w:ascii="Arial" w:hAnsi="Arial" w:eastAsia="Arial"/>
                <w:b w:val="0"/>
                <w:i w:val="0"/>
                <w:sz w:val="14"/>
              </w:rPr>
              <w:t>Arthroscopic capsular release is considered for persistent, function-limiting frozen shoulder after appropriate nonsurgical care or when a controlled surgical release is preferred. Risks include infection, bleeding, nerve or cartilage injury, anesthetic complications, recurrent stiffness, and the usual surgical risks. Early postoperative movement and supervised rehabilitation are central to preserving the gained range.</w:t>
            </w:r>
          </w:p>
        </w:tc>
        <w:tc>
          <w:tcPr>
            <w:tcW w:w="1944" w:type="dxa"/>
            <w:tcMar>
              <w:top w:w="55" w:type="dxa"/>
              <w:left w:w="55" w:type="dxa"/>
              <w:bottom w:w="55" w:type="dxa"/>
              <w:right w:w="55" w:type="dxa"/>
            </w:tcMar>
            <w:vAlign w:val="top"/>
          </w:tcPr>
          <w:p w14:paraId="7B23FDFF">
            <w:pPr>
              <w:spacing w:before="0" w:after="0" w:line="228" w:lineRule="auto"/>
            </w:pPr>
            <w:r>
              <w:rPr>
                <w:rFonts w:ascii="Arial" w:hAnsi="Arial" w:eastAsia="Arial"/>
                <w:b/>
                <w:i w:val="0"/>
                <w:color w:val="1F4E79"/>
                <w:sz w:val="14"/>
              </w:rPr>
              <w:t>R2; R15; R20</w:t>
            </w:r>
          </w:p>
        </w:tc>
      </w:tr>
      <w:tr w14:paraId="63A2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52173779">
            <w:pPr>
              <w:spacing w:before="0" w:after="0" w:line="228" w:lineRule="auto"/>
            </w:pPr>
            <w:r>
              <w:rPr>
                <w:rFonts w:ascii="Arial" w:hAnsi="Arial" w:eastAsia="Arial"/>
                <w:b/>
                <w:i w:val="0"/>
                <w:sz w:val="14"/>
              </w:rPr>
              <w:t>48</w:t>
            </w:r>
          </w:p>
        </w:tc>
        <w:tc>
          <w:tcPr>
            <w:tcW w:w="2088" w:type="dxa"/>
            <w:shd w:val="clear" w:color="auto" w:fill="F3F8FC"/>
            <w:tcMar>
              <w:top w:w="55" w:type="dxa"/>
              <w:left w:w="55" w:type="dxa"/>
              <w:bottom w:w="55" w:type="dxa"/>
              <w:right w:w="55" w:type="dxa"/>
            </w:tcMar>
            <w:vAlign w:val="top"/>
          </w:tcPr>
          <w:p w14:paraId="0F249DD0">
            <w:pPr>
              <w:spacing w:before="0" w:after="0" w:line="228" w:lineRule="auto"/>
            </w:pPr>
            <w:r>
              <w:rPr>
                <w:rFonts w:ascii="Arial" w:hAnsi="Arial" w:eastAsia="Arial"/>
                <w:b w:val="0"/>
                <w:i w:val="0"/>
                <w:sz w:val="14"/>
              </w:rPr>
              <w:t>Prognosis, recurrence, and prevention</w:t>
            </w:r>
          </w:p>
        </w:tc>
        <w:tc>
          <w:tcPr>
            <w:tcW w:w="3960" w:type="dxa"/>
            <w:shd w:val="clear" w:color="auto" w:fill="F3F8FC"/>
            <w:tcMar>
              <w:top w:w="55" w:type="dxa"/>
              <w:left w:w="55" w:type="dxa"/>
              <w:bottom w:w="55" w:type="dxa"/>
              <w:right w:w="55" w:type="dxa"/>
            </w:tcMar>
            <w:vAlign w:val="top"/>
          </w:tcPr>
          <w:p w14:paraId="1B92D9FC">
            <w:pPr>
              <w:spacing w:before="0" w:after="0" w:line="228" w:lineRule="auto"/>
            </w:pPr>
            <w:r>
              <w:rPr>
                <w:rFonts w:ascii="Arial" w:hAnsi="Arial" w:eastAsia="Arial"/>
                <w:b w:val="0"/>
                <w:i w:val="0"/>
                <w:sz w:val="14"/>
              </w:rPr>
              <w:t>I am worried that my shoulder may never recover. How long does frozen shoulder usually last, and can I regain full movement?</w:t>
            </w:r>
          </w:p>
        </w:tc>
        <w:tc>
          <w:tcPr>
            <w:tcW w:w="5903" w:type="dxa"/>
            <w:shd w:val="clear" w:color="auto" w:fill="F3F8FC"/>
            <w:tcMar>
              <w:top w:w="55" w:type="dxa"/>
              <w:left w:w="55" w:type="dxa"/>
              <w:bottom w:w="55" w:type="dxa"/>
              <w:right w:w="55" w:type="dxa"/>
            </w:tcMar>
            <w:vAlign w:val="top"/>
          </w:tcPr>
          <w:p w14:paraId="5589C763">
            <w:pPr>
              <w:spacing w:before="0" w:after="0" w:line="228" w:lineRule="auto"/>
            </w:pPr>
            <w:r>
              <w:rPr>
                <w:rFonts w:ascii="Arial" w:hAnsi="Arial" w:eastAsia="Arial"/>
                <w:b w:val="0"/>
                <w:i w:val="0"/>
                <w:sz w:val="14"/>
              </w:rPr>
              <w:t>Recovery is highly variable and often takes many months; traditional estimates of one to three years are common, but some patients improve sooner and some have residual stiffness or pain for longer. Most patients improve substantially, yet full restoration of pre-illness movement cannot be promised. The answer should be reassuring without presenting a guaranteed timeline.</w:t>
            </w:r>
          </w:p>
        </w:tc>
        <w:tc>
          <w:tcPr>
            <w:tcW w:w="1944" w:type="dxa"/>
            <w:shd w:val="clear" w:color="auto" w:fill="F3F8FC"/>
            <w:tcMar>
              <w:top w:w="55" w:type="dxa"/>
              <w:left w:w="55" w:type="dxa"/>
              <w:bottom w:w="55" w:type="dxa"/>
              <w:right w:w="55" w:type="dxa"/>
            </w:tcMar>
            <w:vAlign w:val="top"/>
          </w:tcPr>
          <w:p w14:paraId="3A98A929">
            <w:pPr>
              <w:spacing w:before="0" w:after="0" w:line="228" w:lineRule="auto"/>
            </w:pPr>
            <w:r>
              <w:rPr>
                <w:rFonts w:ascii="Arial" w:hAnsi="Arial" w:eastAsia="Arial"/>
                <w:b/>
                <w:i w:val="0"/>
                <w:color w:val="1F4E79"/>
                <w:sz w:val="14"/>
              </w:rPr>
              <w:t>R1; R2; R12; R19; R20</w:t>
            </w:r>
          </w:p>
        </w:tc>
      </w:tr>
      <w:tr w14:paraId="6E99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tcMar>
              <w:top w:w="55" w:type="dxa"/>
              <w:left w:w="55" w:type="dxa"/>
              <w:bottom w:w="55" w:type="dxa"/>
              <w:right w:w="55" w:type="dxa"/>
            </w:tcMar>
            <w:vAlign w:val="top"/>
          </w:tcPr>
          <w:p w14:paraId="759AD23B">
            <w:pPr>
              <w:spacing w:before="0" w:after="0" w:line="228" w:lineRule="auto"/>
            </w:pPr>
            <w:r>
              <w:rPr>
                <w:rFonts w:ascii="Arial" w:hAnsi="Arial" w:eastAsia="Arial"/>
                <w:b/>
                <w:i w:val="0"/>
                <w:sz w:val="14"/>
              </w:rPr>
              <w:t>49</w:t>
            </w:r>
          </w:p>
        </w:tc>
        <w:tc>
          <w:tcPr>
            <w:tcW w:w="2088" w:type="dxa"/>
            <w:tcMar>
              <w:top w:w="55" w:type="dxa"/>
              <w:left w:w="55" w:type="dxa"/>
              <w:bottom w:w="55" w:type="dxa"/>
              <w:right w:w="55" w:type="dxa"/>
            </w:tcMar>
            <w:vAlign w:val="top"/>
          </w:tcPr>
          <w:p w14:paraId="33444E7C">
            <w:pPr>
              <w:spacing w:before="0" w:after="0" w:line="228" w:lineRule="auto"/>
            </w:pPr>
            <w:r>
              <w:rPr>
                <w:rFonts w:ascii="Arial" w:hAnsi="Arial" w:eastAsia="Arial"/>
                <w:b w:val="0"/>
                <w:i w:val="0"/>
                <w:sz w:val="14"/>
              </w:rPr>
              <w:t>Prognosis, recurrence, and prevention</w:t>
            </w:r>
          </w:p>
        </w:tc>
        <w:tc>
          <w:tcPr>
            <w:tcW w:w="3960" w:type="dxa"/>
            <w:tcMar>
              <w:top w:w="55" w:type="dxa"/>
              <w:left w:w="55" w:type="dxa"/>
              <w:bottom w:w="55" w:type="dxa"/>
              <w:right w:w="55" w:type="dxa"/>
            </w:tcMar>
            <w:vAlign w:val="top"/>
          </w:tcPr>
          <w:p w14:paraId="4B771EA4">
            <w:pPr>
              <w:spacing w:before="0" w:after="0" w:line="228" w:lineRule="auto"/>
            </w:pPr>
            <w:r>
              <w:rPr>
                <w:rFonts w:ascii="Arial" w:hAnsi="Arial" w:eastAsia="Arial"/>
                <w:b w:val="0"/>
                <w:i w:val="0"/>
                <w:sz w:val="14"/>
              </w:rPr>
              <w:t>After frozen shoulder improves, can it return in the same shoulder or develop in the other shoulder?</w:t>
            </w:r>
          </w:p>
        </w:tc>
        <w:tc>
          <w:tcPr>
            <w:tcW w:w="5903" w:type="dxa"/>
            <w:tcMar>
              <w:top w:w="55" w:type="dxa"/>
              <w:left w:w="55" w:type="dxa"/>
              <w:bottom w:w="55" w:type="dxa"/>
              <w:right w:w="55" w:type="dxa"/>
            </w:tcMar>
            <w:vAlign w:val="top"/>
          </w:tcPr>
          <w:p w14:paraId="4E179ACB">
            <w:pPr>
              <w:spacing w:before="0" w:after="0" w:line="228" w:lineRule="auto"/>
            </w:pPr>
            <w:r>
              <w:rPr>
                <w:rFonts w:ascii="Arial" w:hAnsi="Arial" w:eastAsia="Arial"/>
                <w:b w:val="0"/>
                <w:i w:val="0"/>
                <w:sz w:val="14"/>
              </w:rPr>
              <w:t>Recurrence in the same shoulder after full resolution is generally considered uncommon, but the other shoulder may develop frozen shoulder later. Bilateral risk is higher in people with associated conditions such as diabetes. New symptoms still require assessment rather than automatic self-diagnosis.</w:t>
            </w:r>
          </w:p>
        </w:tc>
        <w:tc>
          <w:tcPr>
            <w:tcW w:w="1944" w:type="dxa"/>
            <w:tcMar>
              <w:top w:w="55" w:type="dxa"/>
              <w:left w:w="55" w:type="dxa"/>
              <w:bottom w:w="55" w:type="dxa"/>
              <w:right w:w="55" w:type="dxa"/>
            </w:tcMar>
            <w:vAlign w:val="top"/>
          </w:tcPr>
          <w:p w14:paraId="257164DC">
            <w:pPr>
              <w:spacing w:before="0" w:after="0" w:line="228" w:lineRule="auto"/>
            </w:pPr>
            <w:r>
              <w:rPr>
                <w:rFonts w:ascii="Arial" w:hAnsi="Arial" w:eastAsia="Arial"/>
                <w:b/>
                <w:i w:val="0"/>
                <w:color w:val="1F4E79"/>
                <w:sz w:val="14"/>
              </w:rPr>
              <w:t>R2; R10; R19; R20</w:t>
            </w:r>
          </w:p>
        </w:tc>
      </w:tr>
      <w:tr w14:paraId="2768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shd w:val="clear" w:color="auto" w:fill="F3F8FC"/>
            <w:tcMar>
              <w:top w:w="55" w:type="dxa"/>
              <w:left w:w="55" w:type="dxa"/>
              <w:bottom w:w="55" w:type="dxa"/>
              <w:right w:w="55" w:type="dxa"/>
            </w:tcMar>
            <w:vAlign w:val="top"/>
          </w:tcPr>
          <w:p w14:paraId="232302B6">
            <w:pPr>
              <w:spacing w:before="0" w:after="0" w:line="228" w:lineRule="auto"/>
            </w:pPr>
            <w:r>
              <w:rPr>
                <w:rFonts w:ascii="Arial" w:hAnsi="Arial" w:eastAsia="Arial"/>
                <w:b/>
                <w:i w:val="0"/>
                <w:sz w:val="14"/>
              </w:rPr>
              <w:t>50</w:t>
            </w:r>
          </w:p>
        </w:tc>
        <w:tc>
          <w:tcPr>
            <w:tcW w:w="2088" w:type="dxa"/>
            <w:shd w:val="clear" w:color="auto" w:fill="F3F8FC"/>
            <w:tcMar>
              <w:top w:w="55" w:type="dxa"/>
              <w:left w:w="55" w:type="dxa"/>
              <w:bottom w:w="55" w:type="dxa"/>
              <w:right w:w="55" w:type="dxa"/>
            </w:tcMar>
            <w:vAlign w:val="top"/>
          </w:tcPr>
          <w:p w14:paraId="670430CC">
            <w:pPr>
              <w:spacing w:before="0" w:after="0" w:line="228" w:lineRule="auto"/>
            </w:pPr>
            <w:r>
              <w:rPr>
                <w:rFonts w:ascii="Arial" w:hAnsi="Arial" w:eastAsia="Arial"/>
                <w:b w:val="0"/>
                <w:i w:val="0"/>
                <w:sz w:val="14"/>
              </w:rPr>
              <w:t>Prognosis, recurrence, and prevention</w:t>
            </w:r>
          </w:p>
        </w:tc>
        <w:tc>
          <w:tcPr>
            <w:tcW w:w="3960" w:type="dxa"/>
            <w:shd w:val="clear" w:color="auto" w:fill="F3F8FC"/>
            <w:tcMar>
              <w:top w:w="55" w:type="dxa"/>
              <w:left w:w="55" w:type="dxa"/>
              <w:bottom w:w="55" w:type="dxa"/>
              <w:right w:w="55" w:type="dxa"/>
            </w:tcMar>
            <w:vAlign w:val="top"/>
          </w:tcPr>
          <w:p w14:paraId="5EA4F47F">
            <w:pPr>
              <w:spacing w:before="0" w:after="0" w:line="228" w:lineRule="auto"/>
            </w:pPr>
            <w:r>
              <w:rPr>
                <w:rFonts w:ascii="Arial" w:hAnsi="Arial" w:eastAsia="Arial"/>
                <w:b w:val="0"/>
                <w:i w:val="0"/>
                <w:sz w:val="14"/>
              </w:rPr>
              <w:t>After a shoulder injury or surgery, how can I reduce the risk of frozen shoulder, and is there anything extra people with diabetes can do?</w:t>
            </w:r>
          </w:p>
        </w:tc>
        <w:tc>
          <w:tcPr>
            <w:tcW w:w="5903" w:type="dxa"/>
            <w:shd w:val="clear" w:color="auto" w:fill="F3F8FC"/>
            <w:tcMar>
              <w:top w:w="55" w:type="dxa"/>
              <w:left w:w="55" w:type="dxa"/>
              <w:bottom w:w="55" w:type="dxa"/>
              <w:right w:w="55" w:type="dxa"/>
            </w:tcMar>
            <w:vAlign w:val="top"/>
          </w:tcPr>
          <w:p w14:paraId="3DA6378F">
            <w:pPr>
              <w:spacing w:before="0" w:after="0" w:line="228" w:lineRule="auto"/>
            </w:pPr>
            <w:r>
              <w:rPr>
                <w:rFonts w:ascii="Arial" w:hAnsi="Arial" w:eastAsia="Arial"/>
                <w:b w:val="0"/>
                <w:i w:val="0"/>
                <w:sz w:val="14"/>
              </w:rPr>
              <w:t>No strategy completely prevents frozen shoulder. When medically safe, timely pain control, avoidance of unnecessary prolonged immobilization, and adherence to staged postoperative or post-injury movement and rehabilitation may reduce avoidable stiffness. People with diabetes should optimize overall glucose management, follow rehabilitation closely, and seek early review for progressive pain and stiffness, while recognizing that risk cannot be eliminated.</w:t>
            </w:r>
          </w:p>
        </w:tc>
        <w:tc>
          <w:tcPr>
            <w:tcW w:w="1944" w:type="dxa"/>
            <w:shd w:val="clear" w:color="auto" w:fill="F3F8FC"/>
            <w:tcMar>
              <w:top w:w="55" w:type="dxa"/>
              <w:left w:w="55" w:type="dxa"/>
              <w:bottom w:w="55" w:type="dxa"/>
              <w:right w:w="55" w:type="dxa"/>
            </w:tcMar>
            <w:vAlign w:val="top"/>
          </w:tcPr>
          <w:p w14:paraId="76FE5956">
            <w:pPr>
              <w:spacing w:before="0" w:after="0" w:line="228" w:lineRule="auto"/>
            </w:pPr>
            <w:r>
              <w:rPr>
                <w:rFonts w:ascii="Arial" w:hAnsi="Arial" w:eastAsia="Arial"/>
                <w:b/>
                <w:i w:val="0"/>
                <w:color w:val="1F4E79"/>
                <w:sz w:val="14"/>
              </w:rPr>
              <w:t>R1; R2; R3; R5; R10; R19</w:t>
            </w:r>
          </w:p>
        </w:tc>
      </w:tr>
    </w:tbl>
    <w:p w14:paraId="099B8B04">
      <w:pPr>
        <w:pStyle w:val="2"/>
        <w:keepNext/>
        <w:spacing w:before="0" w:after="80" w:line="240" w:lineRule="auto"/>
      </w:pPr>
      <w:r>
        <w:t>Reference list</w:t>
      </w:r>
    </w:p>
    <w:p w14:paraId="49FA7951">
      <w:pPr>
        <w:spacing w:before="0" w:after="120" w:line="240" w:lineRule="auto"/>
      </w:pPr>
      <w:r>
        <w:rPr>
          <w:rFonts w:ascii="Arial" w:hAnsi="Arial" w:eastAsia="Arial"/>
          <w:b w:val="0"/>
          <w:i w:val="0"/>
          <w:sz w:val="16"/>
        </w:rPr>
        <w:t>Twenty evidence sources are included: clinical practice or imaging guidelines, a clinical care pathway, consensus recommendations, systematic reviews, and meta-analyses. References are listed in code order for direct use with the mapping table.</w:t>
      </w:r>
    </w:p>
    <w:p w14:paraId="6217E089">
      <w:pPr>
        <w:spacing w:before="0" w:after="20" w:line="216" w:lineRule="auto"/>
        <w:ind w:left="0" w:firstLine="0"/>
      </w:pPr>
      <w:r>
        <w:rPr>
          <w:rFonts w:ascii="Arial" w:hAnsi="Arial" w:eastAsia="Arial"/>
          <w:b/>
          <w:i w:val="0"/>
          <w:color w:val="1F4E79"/>
          <w:sz w:val="15"/>
        </w:rPr>
        <w:t xml:space="preserve">R1. </w:t>
      </w:r>
      <w:r>
        <w:rPr>
          <w:rFonts w:ascii="Arial" w:hAnsi="Arial" w:eastAsia="Arial"/>
          <w:b w:val="0"/>
          <w:i w:val="0"/>
          <w:sz w:val="15"/>
        </w:rPr>
        <w:t>[Clinical practice guideline] Lee BC, Kim BS, Lee BJ, et al. Clinical Practice Guidelines for Diagnosis and Non-Surgical Treatment of Primary Frozen Shoulder. Annals of Rehabilitation Medicine. 2025;49(3):113-138. doi:10.5535/arm.250057.</w:t>
      </w:r>
    </w:p>
    <w:p w14:paraId="35B9D161">
      <w:pPr>
        <w:spacing w:before="0" w:after="20" w:line="216" w:lineRule="auto"/>
        <w:ind w:left="0" w:firstLine="0"/>
      </w:pPr>
      <w:r>
        <w:rPr>
          <w:rFonts w:ascii="Arial" w:hAnsi="Arial" w:eastAsia="Arial"/>
          <w:b/>
          <w:i w:val="0"/>
          <w:color w:val="1F4E79"/>
          <w:sz w:val="15"/>
        </w:rPr>
        <w:t xml:space="preserve">R2. </w:t>
      </w:r>
      <w:r>
        <w:rPr>
          <w:rFonts w:ascii="Arial" w:hAnsi="Arial" w:eastAsia="Arial"/>
          <w:b w:val="0"/>
          <w:i w:val="0"/>
          <w:sz w:val="15"/>
        </w:rPr>
        <w:t>[Clinical pathway / guideline] Rupani N, et al. British Elbow and Shoulder Society patient care pathway: Frozen shoulder. Shoulder &amp; Elbow. Published online April 23, 2025. doi:10.1177/17585732251335955.</w:t>
      </w:r>
    </w:p>
    <w:p w14:paraId="6359B6A8">
      <w:pPr>
        <w:spacing w:before="0" w:after="20" w:line="216" w:lineRule="auto"/>
        <w:ind w:left="0" w:firstLine="0"/>
      </w:pPr>
      <w:r>
        <w:rPr>
          <w:rFonts w:ascii="Arial" w:hAnsi="Arial" w:eastAsia="Arial"/>
          <w:b/>
          <w:i w:val="0"/>
          <w:color w:val="1F4E79"/>
          <w:sz w:val="15"/>
        </w:rPr>
        <w:t xml:space="preserve">R3. </w:t>
      </w:r>
      <w:r>
        <w:rPr>
          <w:rFonts w:ascii="Arial" w:hAnsi="Arial" w:eastAsia="Arial"/>
          <w:b w:val="0"/>
          <w:i w:val="0"/>
          <w:sz w:val="15"/>
        </w:rPr>
        <w:t>[Clinical practice guideline] Kelley MJ, Shaffer MA, Kuhn JE, et al. Shoulder Pain and Mobility Deficits: Adhesive Capsulitis. Journal of Orthopaedic &amp; Sports Physical Therapy. 2013;43(5):A1-A31. doi:10.2519/jospt.2013.0302.</w:t>
      </w:r>
    </w:p>
    <w:p w14:paraId="4DDD3D61">
      <w:pPr>
        <w:spacing w:before="0" w:after="20" w:line="216" w:lineRule="auto"/>
        <w:ind w:left="0" w:firstLine="0"/>
      </w:pPr>
      <w:r>
        <w:rPr>
          <w:rFonts w:ascii="Arial" w:hAnsi="Arial" w:eastAsia="Arial"/>
          <w:b/>
          <w:i w:val="0"/>
          <w:color w:val="1F4E79"/>
          <w:sz w:val="15"/>
        </w:rPr>
        <w:t xml:space="preserve">R4. </w:t>
      </w:r>
      <w:r>
        <w:rPr>
          <w:rFonts w:ascii="Arial" w:hAnsi="Arial" w:eastAsia="Arial"/>
          <w:b w:val="0"/>
          <w:i w:val="0"/>
          <w:sz w:val="15"/>
        </w:rPr>
        <w:t>[Imaging guideline] Nacey N, Fox MG, Blankenbaker DG, et al. ACR Appropriateness Criteria Chronic Shoulder Pain: 2022 Update. Journal of the American College of Radiology. 2023;20(5 Suppl):S49-S69. doi:10.1016/j.jacr.2023.02.017.</w:t>
      </w:r>
    </w:p>
    <w:p w14:paraId="227BF12D">
      <w:pPr>
        <w:spacing w:before="0" w:after="20" w:line="216" w:lineRule="auto"/>
        <w:ind w:left="0" w:firstLine="0"/>
      </w:pPr>
      <w:r>
        <w:rPr>
          <w:rFonts w:ascii="Arial" w:hAnsi="Arial" w:eastAsia="Arial"/>
          <w:b/>
          <w:i w:val="0"/>
          <w:color w:val="1F4E79"/>
          <w:sz w:val="15"/>
        </w:rPr>
        <w:t xml:space="preserve">R5. </w:t>
      </w:r>
      <w:r>
        <w:rPr>
          <w:rFonts w:ascii="Arial" w:hAnsi="Arial" w:eastAsia="Arial"/>
          <w:b w:val="0"/>
          <w:i w:val="0"/>
          <w:sz w:val="15"/>
        </w:rPr>
        <w:t>[Imaging guideline] Laur O, Ha AS, Bartolotta RJ, et al. ACR Appropriateness Criteria Acute Shoulder Pain: 2024 Update. Journal of the American College of Radiology. 2025;22(5 Suppl):S36-S47. doi:10.1016/j.jacr.2025.02.015.</w:t>
      </w:r>
    </w:p>
    <w:p w14:paraId="3C8BF6A7">
      <w:pPr>
        <w:spacing w:before="0" w:after="20" w:line="216" w:lineRule="auto"/>
        <w:ind w:left="0" w:firstLine="0"/>
      </w:pPr>
      <w:r>
        <w:rPr>
          <w:rFonts w:ascii="Arial" w:hAnsi="Arial" w:eastAsia="Arial"/>
          <w:b/>
          <w:i w:val="0"/>
          <w:color w:val="1F4E79"/>
          <w:sz w:val="15"/>
        </w:rPr>
        <w:t xml:space="preserve">R6. </w:t>
      </w:r>
      <w:r>
        <w:rPr>
          <w:rFonts w:ascii="Arial" w:hAnsi="Arial" w:eastAsia="Arial"/>
          <w:b w:val="0"/>
          <w:i w:val="0"/>
          <w:sz w:val="15"/>
        </w:rPr>
        <w:t>[Systematic review and meta-analysis] Challoumas D, Biddle M, McLean M, Millar NL. Comparison of Treatments for Frozen Shoulder: A Systematic Review and Meta-analysis. JAMA Network Open. 2020;3(12):e2029581. doi:10.1001/jamanetworkopen.2020.29581.</w:t>
      </w:r>
    </w:p>
    <w:p w14:paraId="327682CF">
      <w:pPr>
        <w:spacing w:before="0" w:after="20" w:line="216" w:lineRule="auto"/>
        <w:ind w:left="0" w:firstLine="0"/>
      </w:pPr>
      <w:r>
        <w:rPr>
          <w:rFonts w:ascii="Arial" w:hAnsi="Arial" w:eastAsia="Arial"/>
          <w:b/>
          <w:i w:val="0"/>
          <w:color w:val="1F4E79"/>
          <w:sz w:val="15"/>
        </w:rPr>
        <w:t xml:space="preserve">R7. </w:t>
      </w:r>
      <w:r>
        <w:rPr>
          <w:rFonts w:ascii="Arial" w:hAnsi="Arial" w:eastAsia="Arial"/>
          <w:b w:val="0"/>
          <w:i w:val="0"/>
          <w:sz w:val="15"/>
        </w:rPr>
        <w:t>[Cochrane systematic review] Page MJ, Green S, Kramer S, Johnston RV, McBain B, Chau M, Buchbinder R. Manual Therapy and Exercise for Adhesive Capsulitis (Frozen Shoulder). Cochrane Database of Systematic Reviews. 2014;2014(8):CD011275. doi:10.1002/14651858.CD011275.</w:t>
      </w:r>
    </w:p>
    <w:p w14:paraId="59D8469A">
      <w:pPr>
        <w:spacing w:before="0" w:after="20" w:line="216" w:lineRule="auto"/>
        <w:ind w:left="0" w:firstLine="0"/>
      </w:pPr>
      <w:r>
        <w:rPr>
          <w:rFonts w:ascii="Arial" w:hAnsi="Arial" w:eastAsia="Arial"/>
          <w:b/>
          <w:i w:val="0"/>
          <w:color w:val="1F4E79"/>
          <w:sz w:val="15"/>
        </w:rPr>
        <w:t xml:space="preserve">R8. </w:t>
      </w:r>
      <w:r>
        <w:rPr>
          <w:rFonts w:ascii="Arial" w:hAnsi="Arial" w:eastAsia="Arial"/>
          <w:b w:val="0"/>
          <w:i w:val="0"/>
          <w:sz w:val="15"/>
        </w:rPr>
        <w:t>[Systematic review and meta-analysis] Mertens MG, Meert L, Struyf F, Schwank A, Meeus M. Exercise Therapy Is Effective for Improvement in Range of Motion, Function, and Pain in Patients With Frozen Shoulder. Archives of Physical Medicine and Rehabilitation. 2022;103(5):998-1012.e14. doi:10.1016/j.apmr.2021.07.806.</w:t>
      </w:r>
    </w:p>
    <w:p w14:paraId="17C5EA04">
      <w:pPr>
        <w:spacing w:before="0" w:after="20" w:line="216" w:lineRule="auto"/>
        <w:ind w:left="0" w:firstLine="0"/>
      </w:pPr>
      <w:r>
        <w:rPr>
          <w:rFonts w:ascii="Arial" w:hAnsi="Arial" w:eastAsia="Arial"/>
          <w:b/>
          <w:i w:val="0"/>
          <w:color w:val="1F4E79"/>
          <w:sz w:val="15"/>
        </w:rPr>
        <w:t xml:space="preserve">R9. </w:t>
      </w:r>
      <w:r>
        <w:rPr>
          <w:rFonts w:ascii="Arial" w:hAnsi="Arial" w:eastAsia="Arial"/>
          <w:b w:val="0"/>
          <w:i w:val="0"/>
          <w:sz w:val="15"/>
        </w:rPr>
        <w:t>[Systematic review and meta-analysis] Poku D, Hassan R, Migliorini F, Maffulli N. Efficacy of Hydrodilatation in Frozen Shoulder: A Systematic Review and Meta-analysis. British Medical Bulletin. 2023;147(1):121-147. doi:10.1093/bmb/ldad018.</w:t>
      </w:r>
    </w:p>
    <w:p w14:paraId="0A24B70E">
      <w:pPr>
        <w:spacing w:before="0" w:after="20" w:line="216" w:lineRule="auto"/>
        <w:ind w:left="0" w:firstLine="0"/>
      </w:pPr>
      <w:r>
        <w:rPr>
          <w:rFonts w:ascii="Arial" w:hAnsi="Arial" w:eastAsia="Arial"/>
          <w:b/>
          <w:i w:val="0"/>
          <w:color w:val="1F4E79"/>
          <w:sz w:val="15"/>
        </w:rPr>
        <w:t xml:space="preserve">R10. </w:t>
      </w:r>
      <w:r>
        <w:rPr>
          <w:rFonts w:ascii="Arial" w:hAnsi="Arial" w:eastAsia="Arial"/>
          <w:b w:val="0"/>
          <w:i w:val="0"/>
          <w:sz w:val="15"/>
        </w:rPr>
        <w:t>[Meta-analysis] Zreik NH, Malik RA, Charalambous CP. Adhesive Capsulitis of the Shoulder and Diabetes: A Meta-analysis of Prevalence. Muscles, Ligaments and Tendons Journal. 2016;6(1):26-34. doi:10.11138/mltj/2016.6.1.026.</w:t>
      </w:r>
    </w:p>
    <w:p w14:paraId="65576C8E">
      <w:pPr>
        <w:spacing w:before="0" w:after="20" w:line="216" w:lineRule="auto"/>
        <w:ind w:left="0" w:firstLine="0"/>
      </w:pPr>
      <w:r>
        <w:rPr>
          <w:rFonts w:ascii="Arial" w:hAnsi="Arial" w:eastAsia="Arial"/>
          <w:b/>
          <w:i w:val="0"/>
          <w:color w:val="1F4E79"/>
          <w:sz w:val="15"/>
        </w:rPr>
        <w:t xml:space="preserve">R11. </w:t>
      </w:r>
      <w:r>
        <w:rPr>
          <w:rFonts w:ascii="Arial" w:hAnsi="Arial" w:eastAsia="Arial"/>
          <w:b w:val="0"/>
          <w:i w:val="0"/>
          <w:sz w:val="15"/>
        </w:rPr>
        <w:t>[Meta-analysis] Chuang SH, Chen YP, Huang SW, Kuo YJ. Association Between Adhesive Capsulitis and Thyroid Disease: A Meta-analysis. Journal of Shoulder and Elbow Surgery. 2023;32(6):1314-1322. doi:10.1016/j.jse.2023.01.033.</w:t>
      </w:r>
    </w:p>
    <w:p w14:paraId="41F046B5">
      <w:pPr>
        <w:spacing w:before="0" w:after="20" w:line="216" w:lineRule="auto"/>
        <w:ind w:left="0" w:firstLine="0"/>
      </w:pPr>
      <w:r>
        <w:rPr>
          <w:rFonts w:ascii="Arial" w:hAnsi="Arial" w:eastAsia="Arial"/>
          <w:b/>
          <w:i w:val="0"/>
          <w:color w:val="1F4E79"/>
          <w:sz w:val="15"/>
        </w:rPr>
        <w:t xml:space="preserve">R12. </w:t>
      </w:r>
      <w:r>
        <w:rPr>
          <w:rFonts w:ascii="Arial" w:hAnsi="Arial" w:eastAsia="Arial"/>
          <w:b w:val="0"/>
          <w:i w:val="0"/>
          <w:sz w:val="15"/>
        </w:rPr>
        <w:t>[Systematic review] Wong CK, Levine WN, Deo K, et al. Natural History of Frozen Shoulder: Fact or Fiction? A Systematic Review. Physiotherapy. 2017;103(1):40-47. doi:10.1016/j.physio.2016.05.009.</w:t>
      </w:r>
    </w:p>
    <w:p w14:paraId="2126981B">
      <w:pPr>
        <w:spacing w:before="0" w:after="20" w:line="216" w:lineRule="auto"/>
        <w:ind w:left="0" w:firstLine="0"/>
      </w:pPr>
      <w:r>
        <w:rPr>
          <w:rFonts w:ascii="Arial" w:hAnsi="Arial" w:eastAsia="Arial"/>
          <w:b/>
          <w:i w:val="0"/>
          <w:color w:val="1F4E79"/>
          <w:sz w:val="15"/>
        </w:rPr>
        <w:t xml:space="preserve">R13. </w:t>
      </w:r>
      <w:r>
        <w:rPr>
          <w:rFonts w:ascii="Arial" w:hAnsi="Arial" w:eastAsia="Arial"/>
          <w:b w:val="0"/>
          <w:i w:val="0"/>
          <w:sz w:val="15"/>
        </w:rPr>
        <w:t>[Systematic review and meta-analysis] Sun Y, Zhang P, Liu S, et al. Intra-articular Steroid Injection for Frozen Shoulder: A Systematic Review and Meta-analysis of Randomized Controlled Trials With Trial Sequential Analysis. American Journal of Sports Medicine. 2017;45(9):2171-2179. doi:10.1177/0363546516669944.</w:t>
      </w:r>
    </w:p>
    <w:p w14:paraId="46AEFD5E">
      <w:pPr>
        <w:spacing w:before="0" w:after="20" w:line="216" w:lineRule="auto"/>
        <w:ind w:left="0" w:firstLine="0"/>
      </w:pPr>
      <w:r>
        <w:rPr>
          <w:rFonts w:ascii="Arial" w:hAnsi="Arial" w:eastAsia="Arial"/>
          <w:b/>
          <w:i w:val="0"/>
          <w:color w:val="1F4E79"/>
          <w:sz w:val="15"/>
        </w:rPr>
        <w:t xml:space="preserve">R14. </w:t>
      </w:r>
      <w:r>
        <w:rPr>
          <w:rFonts w:ascii="Arial" w:hAnsi="Arial" w:eastAsia="Arial"/>
          <w:b w:val="0"/>
          <w:i w:val="0"/>
          <w:sz w:val="15"/>
        </w:rPr>
        <w:t>[Systematic review and meta-analysis] Ben-Arie E, Kao PY, Lee YC, Ho WC, Chou LW, Liu HP. The Effectiveness of Acupuncture in the Treatment of Frozen Shoulder: A Systematic Review and Meta-analysis. Evidence-Based Complementary and Alternative Medicine. 2020;2020:9790470. doi:10.1155/2020/9790470.</w:t>
      </w:r>
    </w:p>
    <w:p w14:paraId="65BDBF07">
      <w:pPr>
        <w:spacing w:before="0" w:after="20" w:line="216" w:lineRule="auto"/>
        <w:ind w:left="0" w:firstLine="0"/>
      </w:pPr>
      <w:r>
        <w:rPr>
          <w:rFonts w:ascii="Arial" w:hAnsi="Arial" w:eastAsia="Arial"/>
          <w:b/>
          <w:i w:val="0"/>
          <w:color w:val="1F4E79"/>
          <w:sz w:val="15"/>
        </w:rPr>
        <w:t xml:space="preserve">R15. </w:t>
      </w:r>
      <w:r>
        <w:rPr>
          <w:rFonts w:ascii="Arial" w:hAnsi="Arial" w:eastAsia="Arial"/>
          <w:b w:val="0"/>
          <w:i w:val="0"/>
          <w:sz w:val="15"/>
        </w:rPr>
        <w:t>[Systematic review and network meta-analysis] Forsythe B, Lavoie-Gagne O, Patel BH, et al. Efficacy of Arthroscopic Surgery in the Management of Adhesive Capsulitis: A Systematic Review and Network Meta-analysis of Randomized Controlled Trials. Arthroscopy. 2021;37(7):2281-2297. doi:10.1016/j.arthro.2020.09.041.</w:t>
      </w:r>
    </w:p>
    <w:p w14:paraId="441CFC4A">
      <w:pPr>
        <w:spacing w:before="0" w:after="20" w:line="216" w:lineRule="auto"/>
        <w:ind w:left="0" w:firstLine="0"/>
      </w:pPr>
      <w:r>
        <w:rPr>
          <w:rFonts w:ascii="Arial" w:hAnsi="Arial" w:eastAsia="Arial"/>
          <w:b/>
          <w:i w:val="0"/>
          <w:color w:val="1F4E79"/>
          <w:sz w:val="15"/>
        </w:rPr>
        <w:t xml:space="preserve">R16. </w:t>
      </w:r>
      <w:r>
        <w:rPr>
          <w:rFonts w:ascii="Arial" w:hAnsi="Arial" w:eastAsia="Arial"/>
          <w:b w:val="0"/>
          <w:i w:val="0"/>
          <w:sz w:val="15"/>
        </w:rPr>
        <w:t>[Multisociety consensus recommendations] Szeto CC, Sugano K, Wang JG, et al. Non-steroidal Anti-inflammatory Drug Therapy in Patients With Hypertension, Cardiovascular, Renal or Gastrointestinal Comorbidities: Joint APAGE/APLAR/APSDE/APSH/APSN/PoA Recommendations. Gut. 2020;69(4):617-629. doi:10.1136/gutjnl-2019-319300.</w:t>
      </w:r>
    </w:p>
    <w:p w14:paraId="6EE574B2">
      <w:pPr>
        <w:spacing w:before="0" w:after="20" w:line="216" w:lineRule="auto"/>
        <w:ind w:left="0" w:firstLine="0"/>
      </w:pPr>
      <w:r>
        <w:rPr>
          <w:rFonts w:ascii="Arial" w:hAnsi="Arial" w:eastAsia="Arial"/>
          <w:b/>
          <w:i w:val="0"/>
          <w:color w:val="1F4E79"/>
          <w:sz w:val="15"/>
        </w:rPr>
        <w:t xml:space="preserve">R17. </w:t>
      </w:r>
      <w:r>
        <w:rPr>
          <w:rFonts w:ascii="Arial" w:hAnsi="Arial" w:eastAsia="Arial"/>
          <w:b w:val="0"/>
          <w:i w:val="0"/>
          <w:sz w:val="15"/>
        </w:rPr>
        <w:t>[Clinical practice guideline] Gulati M, Levy PD, Mukherjee D, et al. 2021 AHA/ACC/ASE/CHEST/SAEM/SCCT/SCMR Guideline for the Evaluation and Diagnosis of Chest Pain: Executive Summary. Circulation. 2021;144(22):e368-e454. doi:10.1161/CIR.0000000000001030.</w:t>
      </w:r>
    </w:p>
    <w:p w14:paraId="32A299C4">
      <w:pPr>
        <w:spacing w:before="0" w:after="20" w:line="216" w:lineRule="auto"/>
        <w:ind w:left="0" w:firstLine="0"/>
      </w:pPr>
      <w:r>
        <w:rPr>
          <w:rFonts w:ascii="Arial" w:hAnsi="Arial" w:eastAsia="Arial"/>
          <w:b/>
          <w:i w:val="0"/>
          <w:color w:val="1F4E79"/>
          <w:sz w:val="15"/>
        </w:rPr>
        <w:t xml:space="preserve">R18. </w:t>
      </w:r>
      <w:r>
        <w:rPr>
          <w:rFonts w:ascii="Arial" w:hAnsi="Arial" w:eastAsia="Arial"/>
          <w:b w:val="0"/>
          <w:i w:val="0"/>
          <w:sz w:val="15"/>
        </w:rPr>
        <w:t>[Consensus guideline] Ravn C, Neyt J, Benito N, et al.; SANJO Guideline Group. Guideline for Management of Septic Arthritis in Native Joints (SANJO). Journal of Bone and Joint Infection. 2023;8:29-37. doi:10.5194/jbji-8-29-2023.</w:t>
      </w:r>
    </w:p>
    <w:p w14:paraId="59E57249">
      <w:pPr>
        <w:spacing w:before="0" w:after="20" w:line="216" w:lineRule="auto"/>
        <w:ind w:left="0" w:firstLine="0"/>
      </w:pPr>
      <w:r>
        <w:rPr>
          <w:rFonts w:ascii="Arial" w:hAnsi="Arial" w:eastAsia="Arial"/>
          <w:b/>
          <w:i w:val="0"/>
          <w:color w:val="1F4E79"/>
          <w:sz w:val="15"/>
        </w:rPr>
        <w:t xml:space="preserve">R19. </w:t>
      </w:r>
      <w:r>
        <w:rPr>
          <w:rFonts w:ascii="Arial" w:hAnsi="Arial" w:eastAsia="Arial"/>
          <w:b w:val="0"/>
          <w:i w:val="0"/>
          <w:sz w:val="15"/>
        </w:rPr>
        <w:t>[Evidence review / disease primer] Millar NL, Meakins A, Struyf F, Willmore EG, Campbell AL, et al. Frozen Shoulder. Nature Reviews Disease Primers. 2022;8:59. doi:10.1038/s41572-022-00386-2.</w:t>
      </w:r>
    </w:p>
    <w:p w14:paraId="14B032C2">
      <w:pPr>
        <w:spacing w:before="0" w:after="20" w:line="216" w:lineRule="auto"/>
        <w:ind w:left="0" w:firstLine="0"/>
      </w:pPr>
      <w:r>
        <w:rPr>
          <w:rFonts w:ascii="Arial" w:hAnsi="Arial" w:eastAsia="Arial"/>
          <w:b/>
          <w:i w:val="0"/>
          <w:color w:val="1F4E79"/>
          <w:sz w:val="15"/>
        </w:rPr>
        <w:t xml:space="preserve">R20. </w:t>
      </w:r>
      <w:r>
        <w:rPr>
          <w:rFonts w:ascii="Arial" w:hAnsi="Arial" w:eastAsia="Arial"/>
          <w:b w:val="0"/>
          <w:i w:val="0"/>
          <w:sz w:val="15"/>
        </w:rPr>
        <w:t>[Systematic review] Uppal HS, Evans JP, Smith C. Frozen Shoulder: A Systematic Review of Therapeutic Options. World Journal of Orthopedics. 2015;6(2):263-268. doi:10.5312/wjo.v6.i2.263.</w:t>
      </w:r>
    </w:p>
    <w:sectPr>
      <w:footerReference r:id="rId5" w:type="default"/>
      <w:pgSz w:w="15840" w:h="12240" w:orient="landscape"/>
      <w:pgMar w:top="691" w:right="648" w:bottom="691" w:left="648" w:header="288" w:footer="28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9C41C">
    <w:pPr>
      <w:pStyle w:val="4"/>
      <w:tabs>
        <w:tab w:val="right" w:pos="14544"/>
      </w:tabs>
      <w:jc w:val="center"/>
    </w:pPr>
    <w:r>
      <w:rPr>
        <w:rFonts w:ascii="Arial" w:hAnsi="Arial" w:eastAsia="Arial"/>
        <w:b w:val="0"/>
        <w:i w:val="0"/>
        <w:color w:val="666666"/>
        <w:sz w:val="16"/>
      </w:rPr>
      <w:t>Frozen shoulder LLM study materials</w:t>
    </w:r>
    <w:r>
      <w:tab/>
    </w:r>
    <w:r>
      <w:rPr>
        <w:rFonts w:ascii="Arial" w:hAnsi="Arial" w:eastAsia="Arial"/>
        <w:b w:val="0"/>
        <w:i w:val="0"/>
        <w:color w:val="666666"/>
        <w:sz w:val="16"/>
      </w:rPr>
      <w:fldChar w:fldCharType="begin"/>
    </w:r>
    <w:r>
      <w:rPr>
        <w:rFonts w:ascii="Arial" w:hAnsi="Arial" w:eastAsia="Arial"/>
        <w:b w:val="0"/>
        <w:i w:val="0"/>
        <w:color w:val="666666"/>
        <w:sz w:val="16"/>
      </w:rPr>
      <w:instrText xml:space="preserve">PAGE</w:instrText>
    </w:r>
    <w:r>
      <w:rPr>
        <w:rFonts w:ascii="Arial" w:hAnsi="Arial" w:eastAsia="Arial"/>
        <w:b w:val="0"/>
        <w:i w:val="0"/>
        <w:color w:val="666666"/>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F8C2ED"/>
    <w:multiLevelType w:val="singleLevel"/>
    <w:tmpl w:val="4AF8C2ED"/>
    <w:lvl w:ilvl="0" w:tentative="0">
      <w:start w:val="1"/>
      <w:numFmt w:val="bullet"/>
      <w:pStyle w:val="3"/>
      <w:lvlText w:val=""/>
      <w:lvlJc w:val="left"/>
      <w:pPr>
        <w:tabs>
          <w:tab w:val="left" w:pos="360"/>
        </w:tabs>
        <w:ind w:left="36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DA42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1F4E79"/>
      <w:sz w:val="26"/>
      <w:szCs w:val="28"/>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List Bullet"/>
    <w:basedOn w:val="1"/>
    <w:uiPriority w:val="0"/>
    <w:pPr>
      <w:numPr>
        <w:ilvl w:val="0"/>
        <w:numId w:val="1"/>
      </w:numPr>
    </w:pPr>
  </w:style>
  <w:style w:type="paragraph" w:styleId="4">
    <w:name w:val="footer"/>
    <w:basedOn w:val="1"/>
    <w:unhideWhenUsed/>
    <w:qFormat/>
    <w:uiPriority w:val="99"/>
    <w:pPr>
      <w:tabs>
        <w:tab w:val="center" w:pos="4680"/>
        <w:tab w:val="right" w:pos="9360"/>
      </w:tabs>
      <w:spacing w:after="0" w:line="240" w:lineRule="auto"/>
    </w:p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2026-07-21T12:40:34Z</dcterms:created>
  <dc:creator>HUAWEI</dc:creator>
  <cp:lastModifiedBy>非珏</cp:lastModifiedBy>
  <dcterms:modified xsi:type="dcterms:W3CDTF">2026-07-21T12:40:47Z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eyJoZGlkIjoiZWM4ZGQ1YWQ3NjRiZTE2MTZiODA2Y2M1MjJmNGJmMmQiLCJ1c2VySWQiOiIyNzIwMTkwMTgifQ==</vt:lpwstr>
  </property>
  <property fmtid="{D5CDD505-2E9C-101B-9397-08002B2CF9AE}" pid="4" name="ICV">
    <vt:lpwstr>A749218E39CC48109F46970090BE8981_12</vt:lpwstr>
  </property>
</Properties>
</file>