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48DF14">
      <w:pPr>
        <w:spacing w:line="480" w:lineRule="auto"/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Supplementary</w:t>
      </w:r>
    </w:p>
    <w:p w14:paraId="7D8D1712">
      <w:pPr>
        <w:spacing w:line="360" w:lineRule="auto"/>
        <w:jc w:val="center"/>
        <w:rPr>
          <w:rFonts w:hint="eastAsia" w:ascii="Times New Roman" w:hAnsi="Times New Roman" w:cs="Times New Roman"/>
          <w:b/>
          <w:bCs/>
          <w:kern w:val="2"/>
          <w:sz w:val="22"/>
          <w:szCs w:val="22"/>
          <w:highlight w:val="none"/>
        </w:rPr>
      </w:pPr>
      <w:r>
        <w:rPr>
          <w:rFonts w:ascii="Times New Roman" w:hAnsi="Times New Roman" w:cs="Times New Roman"/>
          <w:b/>
          <w:bCs/>
          <w:kern w:val="2"/>
          <w:sz w:val="22"/>
          <w:szCs w:val="22"/>
          <w:highlight w:val="none"/>
        </w:rPr>
        <w:t>Supplementary</w:t>
      </w:r>
      <w:r>
        <w:rPr>
          <w:rFonts w:hint="eastAsia" w:cs="Times New Roman"/>
          <w:b/>
          <w:bCs/>
          <w:kern w:val="2"/>
          <w:sz w:val="22"/>
          <w:szCs w:val="22"/>
          <w:highlight w:val="none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bCs/>
          <w:kern w:val="2"/>
          <w:sz w:val="22"/>
          <w:szCs w:val="22"/>
          <w:highlight w:val="none"/>
        </w:rPr>
        <w:t xml:space="preserve">Table </w:t>
      </w:r>
      <w:r>
        <w:rPr>
          <w:rFonts w:hint="eastAsia" w:ascii="Times New Roman" w:hAnsi="Times New Roman" w:cs="Times New Roman"/>
          <w:b/>
          <w:bCs/>
          <w:kern w:val="2"/>
          <w:sz w:val="22"/>
          <w:szCs w:val="22"/>
          <w:highlight w:val="none"/>
          <w:lang w:val="en-US" w:eastAsia="zh-CN"/>
        </w:rPr>
        <w:t>1</w:t>
      </w:r>
      <w:r>
        <w:rPr>
          <w:rFonts w:ascii="Times New Roman" w:hAnsi="Times New Roman" w:cs="Times New Roman"/>
          <w:b/>
          <w:bCs/>
          <w:kern w:val="2"/>
          <w:sz w:val="22"/>
          <w:szCs w:val="22"/>
          <w:highlight w:val="none"/>
        </w:rPr>
        <w:t>. Longitudinal alterations of neurocognitive function in BD</w:t>
      </w:r>
      <w:r>
        <w:rPr>
          <w:rFonts w:hint="eastAsia" w:ascii="Times New Roman" w:hAnsi="Times New Roman" w:cs="Times New Roman"/>
          <w:b/>
          <w:bCs/>
          <w:kern w:val="2"/>
          <w:sz w:val="22"/>
          <w:szCs w:val="22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b/>
          <w:bCs/>
          <w:kern w:val="2"/>
          <w:sz w:val="22"/>
          <w:szCs w:val="22"/>
          <w:highlight w:val="none"/>
        </w:rPr>
        <w:t>(N=</w:t>
      </w:r>
      <w:r>
        <w:rPr>
          <w:rFonts w:hint="eastAsia" w:ascii="Times New Roman" w:hAnsi="Times New Roman" w:cs="Times New Roman"/>
          <w:b/>
          <w:bCs/>
          <w:kern w:val="2"/>
          <w:sz w:val="22"/>
          <w:szCs w:val="22"/>
          <w:highlight w:val="none"/>
          <w:lang w:val="en-US" w:eastAsia="zh-CN"/>
        </w:rPr>
        <w:t>41</w:t>
      </w:r>
      <w:r>
        <w:rPr>
          <w:rFonts w:hint="eastAsia" w:ascii="Times New Roman" w:hAnsi="Times New Roman" w:cs="Times New Roman"/>
          <w:b/>
          <w:bCs/>
          <w:kern w:val="2"/>
          <w:sz w:val="22"/>
          <w:szCs w:val="22"/>
          <w:highlight w:val="none"/>
        </w:rPr>
        <w:t>).</w:t>
      </w:r>
    </w:p>
    <w:tbl>
      <w:tblPr>
        <w:tblStyle w:val="2"/>
        <w:tblW w:w="4999" w:type="pct"/>
        <w:tblInd w:w="0" w:type="dxa"/>
        <w:tblBorders>
          <w:top w:val="single" w:color="auto" w:sz="4" w:space="0"/>
          <w:left w:val="none" w:color="auto" w:sz="6" w:space="0"/>
          <w:bottom w:val="single" w:color="auto" w:sz="4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8"/>
        <w:gridCol w:w="1268"/>
        <w:gridCol w:w="1862"/>
        <w:gridCol w:w="1526"/>
        <w:gridCol w:w="787"/>
        <w:gridCol w:w="912"/>
        <w:gridCol w:w="1548"/>
      </w:tblGrid>
      <w:tr w14:paraId="065EDA8A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41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42B18F1A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0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726F934F">
            <w:pPr>
              <w:numPr>
                <w:ilvl w:val="0"/>
                <w:numId w:val="1"/>
              </w:numPr>
              <w:spacing w:line="240" w:lineRule="auto"/>
              <w:ind w:left="0" w:firstLine="0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Symptomatic BD</w:t>
            </w:r>
          </w:p>
        </w:tc>
        <w:tc>
          <w:tcPr>
            <w:tcW w:w="82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77822347">
            <w:pPr>
              <w:numPr>
                <w:ilvl w:val="0"/>
                <w:numId w:val="2"/>
              </w:numPr>
              <w:spacing w:line="240" w:lineRule="auto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Euthymic BD</w:t>
            </w:r>
          </w:p>
        </w:tc>
        <w:tc>
          <w:tcPr>
            <w:tcW w:w="42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4DF24A78">
            <w:pPr>
              <w:spacing w:line="240" w:lineRule="auto"/>
              <w:jc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eastAsia="宋体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val="en-US" w:eastAsia="zh-CN" w:bidi="ar"/>
              </w:rPr>
              <w:t>t</w:t>
            </w:r>
            <w:r>
              <w:rPr>
                <w:rFonts w:hint="eastAsia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/ </w:t>
            </w:r>
            <w:r>
              <w:rPr>
                <w:rFonts w:hint="eastAsia" w:eastAsia="宋体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val="en-US" w:eastAsia="zh-CN" w:bidi="ar"/>
              </w:rPr>
              <w:t>Z</w:t>
            </w:r>
          </w:p>
        </w:tc>
        <w:tc>
          <w:tcPr>
            <w:tcW w:w="49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6C143D21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bidi="ar"/>
              </w:rPr>
              <w:t>FDR</w:t>
            </w:r>
            <w:r>
              <w:rPr>
                <w:rFonts w:hint="eastAsia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en-US" w:eastAsia="zh-CN" w:bidi="ar"/>
              </w:rPr>
              <w:t>-</w:t>
            </w: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bidi="ar"/>
              </w:rPr>
              <w:t>P</w:t>
            </w:r>
          </w:p>
        </w:tc>
        <w:tc>
          <w:tcPr>
            <w:tcW w:w="83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290278E1">
            <w:pPr>
              <w:spacing w:line="240" w:lineRule="auto"/>
              <w:jc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Group Comparisons</w:t>
            </w:r>
          </w:p>
        </w:tc>
      </w:tr>
      <w:tr w14:paraId="60FB0EDD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000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top"/>
          </w:tcPr>
          <w:p w14:paraId="3E374351">
            <w:pPr>
              <w:spacing w:line="240" w:lineRule="auto"/>
              <w:jc w:val="both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2"/>
                <w:szCs w:val="22"/>
                <w:lang w:bidi="ar"/>
              </w:rPr>
              <w:t>Executive Function</w:t>
            </w:r>
          </w:p>
        </w:tc>
      </w:tr>
      <w:tr w14:paraId="28D904E7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23" w:type="pct"/>
            <w:vMerge w:val="restar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C2CFBF3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0EAD71CA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TMT-A</w:t>
            </w:r>
          </w:p>
        </w:tc>
        <w:tc>
          <w:tcPr>
            <w:tcW w:w="100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341497D5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37.10 (21.72)</w:t>
            </w:r>
          </w:p>
        </w:tc>
        <w:tc>
          <w:tcPr>
            <w:tcW w:w="82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276E08A2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29.97 (15.72)</w:t>
            </w:r>
          </w:p>
        </w:tc>
        <w:tc>
          <w:tcPr>
            <w:tcW w:w="42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18C62E7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-2.997</w:t>
            </w:r>
          </w:p>
        </w:tc>
        <w:tc>
          <w:tcPr>
            <w:tcW w:w="49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03CB663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 xml:space="preserve">0.015 </w:t>
            </w:r>
          </w:p>
        </w:tc>
        <w:tc>
          <w:tcPr>
            <w:tcW w:w="83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1521E502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S &gt; E</w:t>
            </w:r>
          </w:p>
        </w:tc>
      </w:tr>
      <w:tr w14:paraId="21949FE4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23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C545AF0">
            <w:pPr>
              <w:spacing w:line="240" w:lineRule="auto"/>
              <w:rPr>
                <w:rFonts w:ascii="Times New Roman" w:hAnsi="Times New Roman" w:eastAsia="等线" w:cs="Times New Roman"/>
                <w:kern w:val="2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03D1408D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BACS-SC</w:t>
            </w:r>
          </w:p>
        </w:tc>
        <w:tc>
          <w:tcPr>
            <w:tcW w:w="100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49A37FAB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60.00 (20.00)</w:t>
            </w:r>
          </w:p>
        </w:tc>
        <w:tc>
          <w:tcPr>
            <w:tcW w:w="82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0866D7E9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60.68 (12.12)</w:t>
            </w:r>
          </w:p>
        </w:tc>
        <w:tc>
          <w:tcPr>
            <w:tcW w:w="42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2CA3ED37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-2.107</w:t>
            </w:r>
          </w:p>
        </w:tc>
        <w:tc>
          <w:tcPr>
            <w:tcW w:w="49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52B0E726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0.05</w:t>
            </w:r>
          </w:p>
        </w:tc>
        <w:tc>
          <w:tcPr>
            <w:tcW w:w="83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434124BA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S ~ E</w:t>
            </w:r>
          </w:p>
        </w:tc>
      </w:tr>
      <w:tr w14:paraId="22DFCF93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23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7E219CF1">
            <w:pPr>
              <w:spacing w:line="240" w:lineRule="auto"/>
              <w:rPr>
                <w:rFonts w:ascii="Times New Roman" w:hAnsi="Times New Roman" w:eastAsia="等线" w:cs="Times New Roman"/>
                <w:kern w:val="2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2F70A29D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VFT</w:t>
            </w:r>
          </w:p>
        </w:tc>
        <w:tc>
          <w:tcPr>
            <w:tcW w:w="100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6FCEFCE7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22.29 (6.40)</w:t>
            </w:r>
          </w:p>
        </w:tc>
        <w:tc>
          <w:tcPr>
            <w:tcW w:w="82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6D17E930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21.54 (6.73)</w:t>
            </w:r>
          </w:p>
        </w:tc>
        <w:tc>
          <w:tcPr>
            <w:tcW w:w="42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500FA479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-0.304</w:t>
            </w:r>
          </w:p>
        </w:tc>
        <w:tc>
          <w:tcPr>
            <w:tcW w:w="49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25F55637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0.761</w:t>
            </w:r>
          </w:p>
        </w:tc>
        <w:tc>
          <w:tcPr>
            <w:tcW w:w="83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3EFE880C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S ~ E</w:t>
            </w:r>
          </w:p>
        </w:tc>
      </w:tr>
      <w:tr w14:paraId="16F0CCAE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23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3EF6CFE4">
            <w:pPr>
              <w:spacing w:line="240" w:lineRule="auto"/>
              <w:rPr>
                <w:rFonts w:ascii="Times New Roman" w:hAnsi="Times New Roman" w:eastAsia="等线" w:cs="Times New Roman"/>
                <w:kern w:val="2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480D8140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DST</w:t>
            </w:r>
          </w:p>
        </w:tc>
        <w:tc>
          <w:tcPr>
            <w:tcW w:w="100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72C8F56A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21.61 (4.21)</w:t>
            </w:r>
          </w:p>
        </w:tc>
        <w:tc>
          <w:tcPr>
            <w:tcW w:w="82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1BE0037F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22.00 (4.39)</w:t>
            </w:r>
          </w:p>
        </w:tc>
        <w:tc>
          <w:tcPr>
            <w:tcW w:w="42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45F6B1F6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-0.735</w:t>
            </w:r>
          </w:p>
        </w:tc>
        <w:tc>
          <w:tcPr>
            <w:tcW w:w="49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7945DF0A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0.521</w:t>
            </w:r>
          </w:p>
        </w:tc>
        <w:tc>
          <w:tcPr>
            <w:tcW w:w="83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243AB322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S ~ E</w:t>
            </w:r>
          </w:p>
        </w:tc>
      </w:tr>
      <w:tr w14:paraId="7DC24A7E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23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4A8B4010">
            <w:pPr>
              <w:spacing w:line="240" w:lineRule="auto"/>
              <w:rPr>
                <w:rFonts w:ascii="Times New Roman" w:hAnsi="Times New Roman" w:eastAsia="等线" w:cs="Times New Roman"/>
                <w:kern w:val="2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759F09B4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NAB Mazes</w:t>
            </w:r>
          </w:p>
        </w:tc>
        <w:tc>
          <w:tcPr>
            <w:tcW w:w="100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7283F1AC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19.00 (10.00)</w:t>
            </w:r>
          </w:p>
        </w:tc>
        <w:tc>
          <w:tcPr>
            <w:tcW w:w="82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top"/>
          </w:tcPr>
          <w:p w14:paraId="5185C53D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21.00 (8.00)</w:t>
            </w:r>
          </w:p>
        </w:tc>
        <w:tc>
          <w:tcPr>
            <w:tcW w:w="42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top"/>
          </w:tcPr>
          <w:p w14:paraId="5FD12206">
            <w:pPr>
              <w:widowControl/>
              <w:autoSpaceDE w:val="0"/>
              <w:adjustRightInd w:val="0"/>
              <w:snapToGrid w:val="0"/>
              <w:spacing w:beforeLines="0" w:afterLines="0" w:line="240" w:lineRule="auto"/>
              <w:jc w:val="center"/>
              <w:rPr>
                <w:rFonts w:hint="default" w:ascii="Times New Roman" w:hAnsi="Times New Roman" w:eastAsiaTheme="minorEastAsia" w:cstheme="minorBidi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eastAsia="宋体"/>
                <w:kern w:val="2"/>
                <w:sz w:val="22"/>
                <w:szCs w:val="22"/>
                <w:lang w:bidi="ar"/>
              </w:rPr>
              <w:t>-2.706</w:t>
            </w:r>
          </w:p>
        </w:tc>
        <w:tc>
          <w:tcPr>
            <w:tcW w:w="49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top"/>
          </w:tcPr>
          <w:p w14:paraId="0A54F476">
            <w:pPr>
              <w:widowControl/>
              <w:autoSpaceDE w:val="0"/>
              <w:adjustRightInd w:val="0"/>
              <w:snapToGrid w:val="0"/>
              <w:spacing w:beforeLines="0" w:afterLines="0" w:line="240" w:lineRule="auto"/>
              <w:jc w:val="center"/>
              <w:rPr>
                <w:rFonts w:hint="eastAsia" w:ascii="Times New Roman" w:hAnsi="Times New Roman" w:eastAsiaTheme="minorEastAsia" w:cstheme="minorBidi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/>
                <w:kern w:val="2"/>
                <w:sz w:val="22"/>
                <w:szCs w:val="22"/>
                <w:lang w:bidi="ar"/>
              </w:rPr>
              <w:t>0.016</w:t>
            </w:r>
          </w:p>
        </w:tc>
        <w:tc>
          <w:tcPr>
            <w:tcW w:w="83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7C52598B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S &lt; E</w:t>
            </w:r>
          </w:p>
        </w:tc>
      </w:tr>
      <w:tr w14:paraId="69697A0A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00" w:type="pct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67A84E77">
            <w:pPr>
              <w:spacing w:line="240" w:lineRule="auto"/>
              <w:jc w:val="left"/>
              <w:rPr>
                <w:rFonts w:ascii="Times New Roman" w:hAnsi="Times New Roman" w:eastAsia="宋体" w:cs="Times New Roman"/>
                <w:bCs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 w:val="22"/>
                <w:szCs w:val="22"/>
                <w:lang w:bidi="ar"/>
              </w:rPr>
              <w:t>Memory</w:t>
            </w:r>
          </w:p>
        </w:tc>
      </w:tr>
      <w:tr w14:paraId="4B9BD28B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23" w:type="pct"/>
            <w:vMerge w:val="restart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5950372E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1CB91921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Figure Delayed Memory</w:t>
            </w:r>
          </w:p>
        </w:tc>
        <w:tc>
          <w:tcPr>
            <w:tcW w:w="100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12105023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18.12 (8.08)</w:t>
            </w:r>
          </w:p>
        </w:tc>
        <w:tc>
          <w:tcPr>
            <w:tcW w:w="82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717FC5FB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21.98 (8.29)</w:t>
            </w:r>
          </w:p>
        </w:tc>
        <w:tc>
          <w:tcPr>
            <w:tcW w:w="42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top"/>
          </w:tcPr>
          <w:p w14:paraId="62285A12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-3.024</w:t>
            </w:r>
          </w:p>
        </w:tc>
        <w:tc>
          <w:tcPr>
            <w:tcW w:w="49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noWrap/>
            <w:vAlign w:val="top"/>
          </w:tcPr>
          <w:p w14:paraId="309CD822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0.016</w:t>
            </w:r>
          </w:p>
        </w:tc>
        <w:tc>
          <w:tcPr>
            <w:tcW w:w="83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0F09D786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S &lt; E</w:t>
            </w:r>
          </w:p>
        </w:tc>
      </w:tr>
      <w:tr w14:paraId="05D8677D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23" w:type="pct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 w14:paraId="0C3B7488">
            <w:pPr>
              <w:spacing w:line="240" w:lineRule="auto"/>
              <w:rPr>
                <w:rFonts w:ascii="Times New Roman" w:hAnsi="Times New Roman" w:eastAsia="等线" w:cs="Times New Roman"/>
                <w:kern w:val="2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2CA56239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HVLT-R</w:t>
            </w:r>
          </w:p>
        </w:tc>
        <w:tc>
          <w:tcPr>
            <w:tcW w:w="100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7D029367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27.00 (6.00)</w:t>
            </w:r>
          </w:p>
        </w:tc>
        <w:tc>
          <w:tcPr>
            <w:tcW w:w="82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6F7AA9F6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28.00 (9.00)</w:t>
            </w:r>
          </w:p>
        </w:tc>
        <w:tc>
          <w:tcPr>
            <w:tcW w:w="42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top"/>
          </w:tcPr>
          <w:p w14:paraId="5BDB8F0C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-0.735</w:t>
            </w:r>
          </w:p>
        </w:tc>
        <w:tc>
          <w:tcPr>
            <w:tcW w:w="49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top"/>
          </w:tcPr>
          <w:p w14:paraId="75252A2E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0.521</w:t>
            </w:r>
          </w:p>
        </w:tc>
        <w:tc>
          <w:tcPr>
            <w:tcW w:w="83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68D21947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S ~ E</w:t>
            </w:r>
          </w:p>
        </w:tc>
      </w:tr>
      <w:tr w14:paraId="4F3FA0D9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2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4B6A6DFA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Attention</w:t>
            </w:r>
          </w:p>
        </w:tc>
        <w:tc>
          <w:tcPr>
            <w:tcW w:w="68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7EF6DE10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CPT-IP</w:t>
            </w:r>
          </w:p>
        </w:tc>
        <w:tc>
          <w:tcPr>
            <w:tcW w:w="100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42E2EDA0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2.52 (0.68)</w:t>
            </w:r>
          </w:p>
        </w:tc>
        <w:tc>
          <w:tcPr>
            <w:tcW w:w="82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602FF759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2.84 (0.88)</w:t>
            </w:r>
          </w:p>
        </w:tc>
        <w:tc>
          <w:tcPr>
            <w:tcW w:w="42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top"/>
          </w:tcPr>
          <w:p w14:paraId="0E81C83D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-2.702</w:t>
            </w:r>
          </w:p>
        </w:tc>
        <w:tc>
          <w:tcPr>
            <w:tcW w:w="49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top"/>
          </w:tcPr>
          <w:p w14:paraId="49DD0A36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0.027</w:t>
            </w:r>
          </w:p>
        </w:tc>
        <w:tc>
          <w:tcPr>
            <w:tcW w:w="83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55C2F94B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S &lt; E</w:t>
            </w:r>
          </w:p>
        </w:tc>
      </w:tr>
      <w:tr w14:paraId="3178D9F5">
        <w:tblPrEx>
          <w:tblBorders>
            <w:top w:val="single" w:color="auto" w:sz="4" w:space="0"/>
            <w:left w:val="none" w:color="auto" w:sz="6" w:space="0"/>
            <w:bottom w:val="single" w:color="auto" w:sz="4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72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top"/>
          </w:tcPr>
          <w:p w14:paraId="1553185B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Visuospatial Function</w:t>
            </w:r>
          </w:p>
        </w:tc>
        <w:tc>
          <w:tcPr>
            <w:tcW w:w="686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0826201C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BVMT-R</w:t>
            </w:r>
          </w:p>
        </w:tc>
        <w:tc>
          <w:tcPr>
            <w:tcW w:w="100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327049DE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25.00 (7.00)</w:t>
            </w:r>
          </w:p>
        </w:tc>
        <w:tc>
          <w:tcPr>
            <w:tcW w:w="82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48182F73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27.00 (9.00)</w:t>
            </w:r>
          </w:p>
        </w:tc>
        <w:tc>
          <w:tcPr>
            <w:tcW w:w="425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top"/>
          </w:tcPr>
          <w:p w14:paraId="6F1F26EB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-2.441</w:t>
            </w:r>
          </w:p>
        </w:tc>
        <w:tc>
          <w:tcPr>
            <w:tcW w:w="493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top"/>
          </w:tcPr>
          <w:p w14:paraId="58C9AEB5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0.016</w:t>
            </w:r>
          </w:p>
        </w:tc>
        <w:tc>
          <w:tcPr>
            <w:tcW w:w="83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</w:tcPr>
          <w:p w14:paraId="2B2F84C8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S &lt; E</w:t>
            </w:r>
          </w:p>
        </w:tc>
      </w:tr>
    </w:tbl>
    <w:p w14:paraId="164E5CBF">
      <w:pPr>
        <w:autoSpaceDE w:val="0"/>
        <w:spacing w:line="480" w:lineRule="auto"/>
        <w:jc w:val="left"/>
        <w:rPr>
          <w:rFonts w:ascii="Times New Roman" w:hAnsi="Times New Roman" w:eastAsia="等线" w:cs="Times New Roman"/>
          <w:kern w:val="2"/>
          <w:sz w:val="22"/>
          <w:szCs w:val="22"/>
          <w:lang w:bidi="ar"/>
        </w:rPr>
      </w:pPr>
      <w:r>
        <w:rPr>
          <w:rFonts w:ascii="Times New Roman" w:hAnsi="Times New Roman" w:eastAsia="等线" w:cs="Times New Roman"/>
          <w:i/>
          <w:iCs/>
          <w:kern w:val="0"/>
          <w:sz w:val="22"/>
          <w:szCs w:val="22"/>
          <w:lang w:bidi="ar"/>
        </w:rPr>
        <w:t>Note</w:t>
      </w:r>
      <w:r>
        <w:rPr>
          <w:rFonts w:ascii="Times New Roman" w:hAnsi="Times New Roman" w:eastAsia="等线" w:cs="Times New Roman"/>
          <w:kern w:val="2"/>
          <w:sz w:val="22"/>
          <w:szCs w:val="22"/>
          <w:lang w:bidi="ar"/>
        </w:rPr>
        <w:t xml:space="preserve">: </w:t>
      </w:r>
      <w:r>
        <w:rPr>
          <w:rFonts w:ascii="Times New Roman" w:hAnsi="Times New Roman" w:eastAsia="等线" w:cs="Times New Roman"/>
          <w:kern w:val="2"/>
          <w:sz w:val="22"/>
          <w:szCs w:val="22"/>
          <w:highlight w:val="none"/>
          <w:lang w:bidi="ar"/>
        </w:rPr>
        <w:t>This analysis included only the 41 patients with complete paired data at both time points. Four patients from the original follow-up cohort (N=45) were therefore excluded due to missing data at the symptomatic</w:t>
      </w:r>
      <w:r>
        <w:rPr>
          <w:rFonts w:hint="eastAsia" w:eastAsia="等线" w:cs="Times New Roman"/>
          <w:kern w:val="2"/>
          <w:sz w:val="22"/>
          <w:szCs w:val="22"/>
          <w:highlight w:val="none"/>
          <w:lang w:val="en-US" w:eastAsia="zh-CN" w:bidi="ar"/>
        </w:rPr>
        <w:t xml:space="preserve"> </w:t>
      </w:r>
      <w:r>
        <w:rPr>
          <w:rFonts w:ascii="Times New Roman" w:hAnsi="Times New Roman" w:eastAsia="等线" w:cs="Times New Roman"/>
          <w:kern w:val="2"/>
          <w:sz w:val="22"/>
          <w:szCs w:val="22"/>
          <w:highlight w:val="none"/>
          <w:lang w:bidi="ar"/>
        </w:rPr>
        <w:t>phase</w:t>
      </w:r>
      <w:r>
        <w:rPr>
          <w:rFonts w:ascii="Times New Roman" w:hAnsi="Times New Roman" w:eastAsia="等线" w:cs="Times New Roman"/>
          <w:kern w:val="2"/>
          <w:sz w:val="22"/>
          <w:szCs w:val="22"/>
          <w:lang w:bidi="ar"/>
        </w:rPr>
        <w:t>.</w:t>
      </w:r>
      <w:r>
        <w:rPr>
          <w:rFonts w:hint="eastAsia" w:eastAsia="等线" w:cs="Times New Roman"/>
          <w:kern w:val="2"/>
          <w:sz w:val="22"/>
          <w:szCs w:val="22"/>
          <w:lang w:val="en-US" w:eastAsia="zh-CN" w:bidi="ar"/>
        </w:rPr>
        <w:t xml:space="preserve"> </w:t>
      </w:r>
      <w:r>
        <w:rPr>
          <w:rFonts w:ascii="Times New Roman" w:hAnsi="Times New Roman" w:eastAsia="等线" w:cs="Times New Roman"/>
          <w:kern w:val="2"/>
          <w:sz w:val="22"/>
          <w:szCs w:val="22"/>
          <w:lang w:bidi="ar"/>
        </w:rPr>
        <w:t xml:space="preserve">BD, bipolar disorder; </w:t>
      </w:r>
      <w:r>
        <w:rPr>
          <w:rFonts w:hint="eastAsia" w:ascii="Times New Roman" w:hAnsi="Times New Roman" w:eastAsia="等线" w:cs="Times New Roman"/>
          <w:kern w:val="2"/>
          <w:sz w:val="22"/>
          <w:szCs w:val="22"/>
          <w:lang w:bidi="ar"/>
        </w:rPr>
        <w:t>FDR</w:t>
      </w:r>
      <w:r>
        <w:rPr>
          <w:rFonts w:hint="eastAsia" w:ascii="Times New Roman" w:hAnsi="Times New Roman" w:eastAsia="等线" w:cs="Times New Roman"/>
          <w:kern w:val="2"/>
          <w:sz w:val="22"/>
          <w:szCs w:val="22"/>
          <w:lang w:val="en-US" w:eastAsia="zh-CN" w:bidi="ar"/>
        </w:rPr>
        <w:t>, f</w:t>
      </w:r>
      <w:r>
        <w:rPr>
          <w:rFonts w:hint="eastAsia" w:ascii="Times New Roman" w:hAnsi="Times New Roman" w:eastAsia="等线" w:cs="Times New Roman"/>
          <w:kern w:val="2"/>
          <w:sz w:val="22"/>
          <w:szCs w:val="22"/>
          <w:lang w:bidi="ar"/>
        </w:rPr>
        <w:t>alse discovery rate</w:t>
      </w:r>
      <w:r>
        <w:rPr>
          <w:rFonts w:hint="eastAsia" w:ascii="Times New Roman" w:hAnsi="Times New Roman" w:eastAsia="等线" w:cs="Times New Roman"/>
          <w:kern w:val="2"/>
          <w:sz w:val="22"/>
          <w:szCs w:val="22"/>
          <w:lang w:val="en-US" w:eastAsia="zh-CN" w:bidi="ar"/>
        </w:rPr>
        <w:t xml:space="preserve">; </w:t>
      </w:r>
      <w:r>
        <w:rPr>
          <w:rFonts w:ascii="Times New Roman" w:hAnsi="Times New Roman" w:eastAsia="等线" w:cs="Times New Roman"/>
          <w:kern w:val="2"/>
          <w:sz w:val="22"/>
          <w:szCs w:val="22"/>
          <w:lang w:bidi="ar"/>
        </w:rPr>
        <w:t>TMT-A, Trail Making Test-A; BACS-SC, the Brief Assessment of Cognition in Schizophrenia- Symbol Coding; VFT, Verbal Fluency Test; DST, the Digit Span Test; NAB, Neuropsychological Assessment Battery; HVLT-R, the Hopkins Verbal Learning Test- Revised; CPT-IP, the Continuous Performance Test- Identical Pairs; BVMT-R, the Brief Visuospatial Memory Test- Revised.</w:t>
      </w:r>
    </w:p>
    <w:p w14:paraId="1136B4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157" w:afterLines="50" w:line="240" w:lineRule="auto"/>
        <w:jc w:val="center"/>
        <w:textAlignment w:val="auto"/>
        <w:rPr>
          <w:rFonts w:hint="eastAsia" w:ascii="Times New Roman" w:hAnsi="Times New Roman" w:cs="Times New Roman"/>
          <w:b/>
          <w:bCs/>
          <w:kern w:val="2"/>
          <w:sz w:val="22"/>
          <w:szCs w:val="22"/>
          <w:highlight w:val="none"/>
          <w:lang w:val="en-US" w:eastAsia="zh-CN"/>
        </w:rPr>
      </w:pPr>
      <w:r>
        <w:rPr>
          <w:rFonts w:ascii="Times New Roman" w:hAnsi="Times New Roman" w:cs="Times New Roman"/>
          <w:b/>
          <w:bCs/>
          <w:kern w:val="2"/>
          <w:sz w:val="22"/>
          <w:szCs w:val="22"/>
          <w:highlight w:val="none"/>
        </w:rPr>
        <w:t>Supplementary</w:t>
      </w:r>
      <w:r>
        <w:rPr>
          <w:rFonts w:hint="eastAsia" w:cs="Times New Roman"/>
          <w:b/>
          <w:bCs/>
          <w:kern w:val="2"/>
          <w:sz w:val="22"/>
          <w:szCs w:val="22"/>
          <w:highlight w:val="none"/>
          <w:lang w:val="en-US" w:eastAsia="zh-CN"/>
        </w:rPr>
        <w:t xml:space="preserve"> </w:t>
      </w:r>
      <w:r>
        <w:rPr>
          <w:rFonts w:ascii="Times New Roman" w:hAnsi="Times New Roman" w:cs="Times New Roman"/>
          <w:b/>
          <w:bCs/>
          <w:kern w:val="2"/>
          <w:sz w:val="22"/>
          <w:szCs w:val="22"/>
          <w:highlight w:val="none"/>
        </w:rPr>
        <w:t xml:space="preserve">Table </w:t>
      </w:r>
      <w:r>
        <w:rPr>
          <w:rFonts w:hint="eastAsia" w:ascii="Times New Roman" w:hAnsi="Times New Roman" w:cs="Times New Roman"/>
          <w:b/>
          <w:bCs/>
          <w:kern w:val="2"/>
          <w:sz w:val="22"/>
          <w:szCs w:val="22"/>
          <w:highlight w:val="none"/>
          <w:lang w:val="en-US" w:eastAsia="zh-CN"/>
        </w:rPr>
        <w:t>2. Longitudinal alterations of inflammatory markers in BD (N=4</w:t>
      </w:r>
      <w:r>
        <w:rPr>
          <w:rFonts w:hint="eastAsia" w:cs="Times New Roman"/>
          <w:b/>
          <w:bCs/>
          <w:kern w:val="2"/>
          <w:sz w:val="22"/>
          <w:szCs w:val="22"/>
          <w:highlight w:val="none"/>
          <w:lang w:val="en-US" w:eastAsia="zh-CN"/>
        </w:rPr>
        <w:t>3</w:t>
      </w:r>
      <w:r>
        <w:rPr>
          <w:rFonts w:hint="eastAsia" w:ascii="Times New Roman" w:hAnsi="Times New Roman" w:cs="Times New Roman"/>
          <w:b/>
          <w:bCs/>
          <w:kern w:val="2"/>
          <w:sz w:val="22"/>
          <w:szCs w:val="22"/>
          <w:highlight w:val="none"/>
          <w:lang w:val="en-US" w:eastAsia="zh-CN"/>
        </w:rPr>
        <w:t>).</w:t>
      </w:r>
    </w:p>
    <w:tbl>
      <w:tblPr>
        <w:tblStyle w:val="2"/>
        <w:tblpPr w:leftFromText="180" w:rightFromText="180" w:vertAnchor="text" w:tblpXSpec="center" w:tblpY="1"/>
        <w:tblOverlap w:val="never"/>
        <w:tblW w:w="4998" w:type="pct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2"/>
        <w:gridCol w:w="2195"/>
        <w:gridCol w:w="1822"/>
        <w:gridCol w:w="843"/>
        <w:gridCol w:w="961"/>
        <w:gridCol w:w="2245"/>
      </w:tblGrid>
      <w:tr w14:paraId="32CB8A7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  <w:jc w:val="center"/>
        </w:trPr>
        <w:tc>
          <w:tcPr>
            <w:tcW w:w="635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6CAF3BA9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</w:p>
        </w:tc>
        <w:tc>
          <w:tcPr>
            <w:tcW w:w="1188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0F308DD6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eastAsia="zh-CN"/>
              </w:rPr>
              <w:t>Symptomatic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 xml:space="preserve"> BD</w:t>
            </w:r>
          </w:p>
        </w:tc>
        <w:tc>
          <w:tcPr>
            <w:tcW w:w="986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57CD58B4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40" w:lineRule="auto"/>
              <w:ind w:left="0" w:leftChars="0" w:right="0" w:rightChars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 xml:space="preserve">E. 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Euthymic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 xml:space="preserve"> BD</w:t>
            </w:r>
          </w:p>
        </w:tc>
        <w:tc>
          <w:tcPr>
            <w:tcW w:w="456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3BB54E6B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</w:rPr>
              <w:t>t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</w:rPr>
              <w:t xml:space="preserve">/ </w:t>
            </w: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</w:rPr>
              <w:t>Z</w:t>
            </w:r>
          </w:p>
        </w:tc>
        <w:tc>
          <w:tcPr>
            <w:tcW w:w="520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1697FA6A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  <w:t>FDR</w:t>
            </w:r>
            <w:r>
              <w:rPr>
                <w:rFonts w:hint="eastAsia" w:eastAsia="宋体" w:cs="Times New Roman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val="en-US" w:eastAsia="zh-CN"/>
              </w:rPr>
              <w:t>P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045A1043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outlineLvl w:val="9"/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 xml:space="preserve">Group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C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val="en-US" w:eastAsia="zh-CN"/>
              </w:rPr>
              <w:t>omparisons</w:t>
            </w:r>
          </w:p>
        </w:tc>
      </w:tr>
      <w:tr w14:paraId="3E20C93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000" w:type="pct"/>
            <w:gridSpan w:val="6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0984AFC6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outlineLvl w:val="9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Pro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 xml:space="preserve">-inflammatory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/>
              </w:rPr>
              <w:t>arkers (pg/ml)</w:t>
            </w:r>
          </w:p>
        </w:tc>
      </w:tr>
      <w:tr w14:paraId="33FD469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35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2AC47F06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IL-1β</w:t>
            </w:r>
          </w:p>
        </w:tc>
        <w:tc>
          <w:tcPr>
            <w:tcW w:w="1188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22CE6324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67.99 (22.53)</w:t>
            </w:r>
          </w:p>
        </w:tc>
        <w:tc>
          <w:tcPr>
            <w:tcW w:w="986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438CBCF0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59.06 (40.25)</w:t>
            </w:r>
          </w:p>
        </w:tc>
        <w:tc>
          <w:tcPr>
            <w:tcW w:w="4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64301A3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1.028</w:t>
            </w:r>
          </w:p>
        </w:tc>
        <w:tc>
          <w:tcPr>
            <w:tcW w:w="520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79766E8A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 xml:space="preserve">0.775 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7AA4CBC6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S ~ E</w:t>
            </w:r>
          </w:p>
        </w:tc>
      </w:tr>
      <w:tr w14:paraId="2011BBA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35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158154D7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IL-2</w:t>
            </w:r>
          </w:p>
        </w:tc>
        <w:tc>
          <w:tcPr>
            <w:tcW w:w="1188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713A41DF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720.87 (105.75)</w:t>
            </w:r>
          </w:p>
        </w:tc>
        <w:tc>
          <w:tcPr>
            <w:tcW w:w="986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013BF30D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673.21 (294.67)</w:t>
            </w:r>
          </w:p>
        </w:tc>
        <w:tc>
          <w:tcPr>
            <w:tcW w:w="4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A9398ED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eastAsia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-0.785</w:t>
            </w:r>
          </w:p>
        </w:tc>
        <w:tc>
          <w:tcPr>
            <w:tcW w:w="520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774F7482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0.775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6D4D05D0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S ~ E</w:t>
            </w:r>
          </w:p>
        </w:tc>
      </w:tr>
      <w:tr w14:paraId="7749740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35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71E72904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sIL-6R</w:t>
            </w:r>
          </w:p>
        </w:tc>
        <w:tc>
          <w:tcPr>
            <w:tcW w:w="1188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3B554DD9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128.03 (20.22)</w:t>
            </w:r>
          </w:p>
        </w:tc>
        <w:tc>
          <w:tcPr>
            <w:tcW w:w="986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60756B81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123.97 (90.52)</w:t>
            </w:r>
          </w:p>
        </w:tc>
        <w:tc>
          <w:tcPr>
            <w:tcW w:w="4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C98511C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eastAsia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-0.205</w:t>
            </w:r>
          </w:p>
        </w:tc>
        <w:tc>
          <w:tcPr>
            <w:tcW w:w="520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6AE3E450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0.930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3D33BE4D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S ~ E</w:t>
            </w:r>
          </w:p>
        </w:tc>
      </w:tr>
      <w:tr w14:paraId="0C669BD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35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1FADB1D1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IL-12</w:t>
            </w:r>
          </w:p>
        </w:tc>
        <w:tc>
          <w:tcPr>
            <w:tcW w:w="1188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6196AEC2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42.69 (24.85)</w:t>
            </w:r>
          </w:p>
        </w:tc>
        <w:tc>
          <w:tcPr>
            <w:tcW w:w="986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09E17E2A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42.47 (16.57)</w:t>
            </w:r>
          </w:p>
        </w:tc>
        <w:tc>
          <w:tcPr>
            <w:tcW w:w="4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8E6A91C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eastAsia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-0.930</w:t>
            </w:r>
          </w:p>
        </w:tc>
        <w:tc>
          <w:tcPr>
            <w:tcW w:w="520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359355A7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0.775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3E06475E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S ~ E</w:t>
            </w:r>
          </w:p>
        </w:tc>
      </w:tr>
      <w:tr w14:paraId="226F75B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35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1710EE92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TNF-α</w:t>
            </w:r>
          </w:p>
        </w:tc>
        <w:tc>
          <w:tcPr>
            <w:tcW w:w="1188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53BF97DC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64.38 (13.85)</w:t>
            </w:r>
          </w:p>
        </w:tc>
        <w:tc>
          <w:tcPr>
            <w:tcW w:w="986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3D955984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58.32 (41.64)</w:t>
            </w:r>
          </w:p>
        </w:tc>
        <w:tc>
          <w:tcPr>
            <w:tcW w:w="4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571CB21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eastAsia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-0.459</w:t>
            </w:r>
          </w:p>
        </w:tc>
        <w:tc>
          <w:tcPr>
            <w:tcW w:w="520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171DCC55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0.923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3CDA8511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S ~ E</w:t>
            </w:r>
          </w:p>
        </w:tc>
      </w:tr>
      <w:tr w14:paraId="29F1C34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35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2B7CEF80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eastAsia="zh-CN" w:bidi="ar"/>
              </w:rPr>
              <w:t>IFN-γ</w:t>
            </w:r>
          </w:p>
        </w:tc>
        <w:tc>
          <w:tcPr>
            <w:tcW w:w="1188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09EFF8D3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722.72 (114.04)</w:t>
            </w:r>
          </w:p>
        </w:tc>
        <w:tc>
          <w:tcPr>
            <w:tcW w:w="986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0BBCDDBD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655.21 (397.35)</w:t>
            </w:r>
          </w:p>
        </w:tc>
        <w:tc>
          <w:tcPr>
            <w:tcW w:w="4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D33B6C6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0.413</w:t>
            </w:r>
          </w:p>
        </w:tc>
        <w:tc>
          <w:tcPr>
            <w:tcW w:w="520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1F5B0AC1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0.923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7338F0F2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S ~ E</w:t>
            </w:r>
          </w:p>
        </w:tc>
      </w:tr>
      <w:tr w14:paraId="0984664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35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7A0B1644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VEGF-A</w:t>
            </w:r>
          </w:p>
        </w:tc>
        <w:tc>
          <w:tcPr>
            <w:tcW w:w="1188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74E697DB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349.71 (91.09)</w:t>
            </w:r>
          </w:p>
        </w:tc>
        <w:tc>
          <w:tcPr>
            <w:tcW w:w="986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09CC8BA5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327.48 (180.22)</w:t>
            </w:r>
          </w:p>
        </w:tc>
        <w:tc>
          <w:tcPr>
            <w:tcW w:w="4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E485BF2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eastAsia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-0.205</w:t>
            </w:r>
          </w:p>
        </w:tc>
        <w:tc>
          <w:tcPr>
            <w:tcW w:w="520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618653EE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0.930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42C0716C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S ~ E</w:t>
            </w:r>
          </w:p>
        </w:tc>
      </w:tr>
      <w:tr w14:paraId="77EDEC4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  <w:jc w:val="center"/>
        </w:trPr>
        <w:tc>
          <w:tcPr>
            <w:tcW w:w="635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700E9BE0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bidi="ar"/>
              </w:rPr>
              <w:t>MCP-1</w:t>
            </w:r>
          </w:p>
        </w:tc>
        <w:tc>
          <w:tcPr>
            <w:tcW w:w="1188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305F4C14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278.10 (75.83)</w:t>
            </w:r>
          </w:p>
        </w:tc>
        <w:tc>
          <w:tcPr>
            <w:tcW w:w="986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383A818F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248.16 (87.71)</w:t>
            </w:r>
          </w:p>
        </w:tc>
        <w:tc>
          <w:tcPr>
            <w:tcW w:w="4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6D68843D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eastAsia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-2.113</w:t>
            </w:r>
          </w:p>
        </w:tc>
        <w:tc>
          <w:tcPr>
            <w:tcW w:w="520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2D000324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 xml:space="preserve">0.117 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1772F331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S ~ E</w:t>
            </w:r>
          </w:p>
        </w:tc>
      </w:tr>
      <w:tr w14:paraId="58EB7A6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5000" w:type="pct"/>
            <w:gridSpan w:val="6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0272AE7F">
            <w:pPr>
              <w:keepNext w:val="0"/>
              <w:keepLines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outlineLvl w:val="9"/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 xml:space="preserve">Anti-inflammatory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m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:szCs w:val="22"/>
                <w:lang w:val="en-US" w:eastAsia="zh-CN" w:bidi="ar-SA"/>
              </w:rPr>
              <w:t>arkers (pg/ml)</w:t>
            </w:r>
          </w:p>
        </w:tc>
      </w:tr>
      <w:tr w14:paraId="55C7483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35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07C0EE3C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IL-4</w:t>
            </w:r>
          </w:p>
        </w:tc>
        <w:tc>
          <w:tcPr>
            <w:tcW w:w="1188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2EB1C0B6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23.82 (10.55)</w:t>
            </w:r>
          </w:p>
        </w:tc>
        <w:tc>
          <w:tcPr>
            <w:tcW w:w="986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43568574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33.82 (6.15)</w:t>
            </w:r>
          </w:p>
        </w:tc>
        <w:tc>
          <w:tcPr>
            <w:tcW w:w="4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5DC1A1B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-8.005</w:t>
            </w:r>
          </w:p>
        </w:tc>
        <w:tc>
          <w:tcPr>
            <w:tcW w:w="520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14FA2AF1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&lt;</w:t>
            </w:r>
            <w:r>
              <w:rPr>
                <w:rFonts w:hint="eastAsia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0.01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27834C9E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S &lt; E</w:t>
            </w:r>
          </w:p>
        </w:tc>
      </w:tr>
      <w:tr w14:paraId="2D1B339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635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196FC7D7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IL-10</w:t>
            </w:r>
          </w:p>
        </w:tc>
        <w:tc>
          <w:tcPr>
            <w:tcW w:w="1188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31C3E9CD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546.45 (108.99)</w:t>
            </w:r>
          </w:p>
        </w:tc>
        <w:tc>
          <w:tcPr>
            <w:tcW w:w="986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30F3F0DD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670.69 (130.91)</w:t>
            </w:r>
          </w:p>
        </w:tc>
        <w:tc>
          <w:tcPr>
            <w:tcW w:w="456" w:type="pc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BDCE090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-4.979</w:t>
            </w:r>
          </w:p>
        </w:tc>
        <w:tc>
          <w:tcPr>
            <w:tcW w:w="520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3426BE23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&lt;</w:t>
            </w:r>
            <w:r>
              <w:rPr>
                <w:rFonts w:hint="eastAsia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.01</w:t>
            </w:r>
          </w:p>
        </w:tc>
        <w:tc>
          <w:tcPr>
            <w:tcW w:w="1211" w:type="pct"/>
            <w:tcBorders>
              <w:tl2br w:val="nil"/>
              <w:tr2bl w:val="nil"/>
            </w:tcBorders>
            <w:shd w:val="clear" w:color="auto" w:fill="auto"/>
            <w:noWrap/>
            <w:vAlign w:val="top"/>
          </w:tcPr>
          <w:p w14:paraId="6E562C0D">
            <w:pPr>
              <w:widowControl/>
              <w:autoSpaceDE w:val="0"/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Cs/>
                <w:kern w:val="2"/>
                <w:sz w:val="22"/>
                <w:szCs w:val="22"/>
                <w:lang w:val="en-US" w:eastAsia="zh-CN" w:bidi="ar"/>
              </w:rPr>
              <w:t>S &lt; E</w:t>
            </w:r>
          </w:p>
        </w:tc>
      </w:tr>
    </w:tbl>
    <w:p w14:paraId="40134896">
      <w:pPr>
        <w:spacing w:line="480" w:lineRule="auto"/>
        <w:jc w:val="left"/>
        <w:rPr>
          <w:rFonts w:hint="eastAsia" w:ascii="Times New Roman" w:hAnsi="Times New Roman" w:eastAsia="等线" w:cs="Times New Roman"/>
          <w:color w:val="auto"/>
          <w:kern w:val="2"/>
          <w:sz w:val="22"/>
          <w:szCs w:val="22"/>
          <w:lang w:val="en-US" w:eastAsia="zh-CN"/>
        </w:rPr>
      </w:pPr>
      <w:r>
        <w:rPr>
          <w:rFonts w:hint="eastAsia" w:ascii="Times New Roman" w:hAnsi="Times New Roman" w:eastAsia="等线" w:cs="Times New Roman"/>
          <w:i/>
          <w:iCs/>
          <w:color w:val="auto"/>
          <w:kern w:val="0"/>
          <w:sz w:val="22"/>
          <w:szCs w:val="22"/>
          <w:lang w:val="en-US" w:eastAsia="zh-CN" w:bidi="ar-SA"/>
        </w:rPr>
        <w:t>Note</w:t>
      </w:r>
      <w:r>
        <w:rPr>
          <w:rFonts w:hint="default" w:ascii="Times New Roman" w:hAnsi="Times New Roman" w:eastAsia="等线" w:cs="Times New Roman"/>
          <w:color w:val="auto"/>
          <w:kern w:val="2"/>
          <w:sz w:val="22"/>
          <w:szCs w:val="22"/>
          <w:lang w:val="en-US" w:eastAsia="zh-CN"/>
        </w:rPr>
        <w:t xml:space="preserve">: </w:t>
      </w:r>
      <w:r>
        <w:rPr>
          <w:rFonts w:hint="default" w:ascii="Times New Roman" w:hAnsi="Times New Roman" w:eastAsia="等线" w:cs="Times New Roman"/>
          <w:color w:val="auto"/>
          <w:kern w:val="2"/>
          <w:sz w:val="22"/>
          <w:szCs w:val="22"/>
          <w:highlight w:val="none"/>
          <w:lang w:val="en-US" w:eastAsia="zh-CN"/>
        </w:rPr>
        <w:t>Of the 4</w:t>
      </w:r>
      <w:r>
        <w:rPr>
          <w:rFonts w:hint="eastAsia" w:eastAsia="等线" w:cs="Times New Roman"/>
          <w:color w:val="auto"/>
          <w:kern w:val="2"/>
          <w:sz w:val="22"/>
          <w:szCs w:val="22"/>
          <w:highlight w:val="none"/>
          <w:lang w:val="en-US" w:eastAsia="zh-CN"/>
        </w:rPr>
        <w:t>4</w:t>
      </w:r>
      <w:r>
        <w:rPr>
          <w:rFonts w:hint="default" w:ascii="Times New Roman" w:hAnsi="Times New Roman" w:eastAsia="等线" w:cs="Times New Roman"/>
          <w:color w:val="auto"/>
          <w:kern w:val="2"/>
          <w:sz w:val="22"/>
          <w:szCs w:val="22"/>
          <w:highlight w:val="none"/>
          <w:lang w:val="en-US" w:eastAsia="zh-CN"/>
        </w:rPr>
        <w:t xml:space="preserve"> patients who completed </w:t>
      </w:r>
      <w:r>
        <w:rPr>
          <w:rFonts w:hint="eastAsia" w:eastAsia="等线" w:cs="Times New Roman"/>
          <w:color w:val="auto"/>
          <w:kern w:val="2"/>
          <w:sz w:val="22"/>
          <w:szCs w:val="22"/>
          <w:highlight w:val="none"/>
          <w:lang w:val="en-US" w:eastAsia="zh-CN"/>
        </w:rPr>
        <w:t xml:space="preserve">the </w:t>
      </w:r>
      <w:r>
        <w:rPr>
          <w:rFonts w:hint="default" w:ascii="Times New Roman" w:hAnsi="Times New Roman" w:eastAsia="等线" w:cs="Times New Roman"/>
          <w:color w:val="auto"/>
          <w:kern w:val="2"/>
          <w:sz w:val="22"/>
          <w:szCs w:val="22"/>
          <w:highlight w:val="none"/>
          <w:lang w:val="en-US" w:eastAsia="zh-CN"/>
        </w:rPr>
        <w:t>follow-up</w:t>
      </w:r>
      <w:r>
        <w:rPr>
          <w:rFonts w:hint="eastAsia" w:eastAsia="等线" w:cs="Times New Roman"/>
          <w:color w:val="auto"/>
          <w:kern w:val="2"/>
          <w:sz w:val="22"/>
          <w:szCs w:val="22"/>
          <w:highlight w:val="none"/>
          <w:lang w:val="en-US" w:eastAsia="zh-CN"/>
        </w:rPr>
        <w:t xml:space="preserve"> inflammatory assessment</w:t>
      </w:r>
      <w:r>
        <w:rPr>
          <w:rFonts w:hint="default" w:ascii="Times New Roman" w:hAnsi="Times New Roman" w:eastAsia="等线" w:cs="Times New Roman"/>
          <w:color w:val="auto"/>
          <w:kern w:val="2"/>
          <w:sz w:val="22"/>
          <w:szCs w:val="22"/>
          <w:highlight w:val="none"/>
          <w:lang w:val="en-US" w:eastAsia="zh-CN"/>
        </w:rPr>
        <w:t xml:space="preserve">, </w:t>
      </w:r>
      <w:r>
        <w:rPr>
          <w:rFonts w:hint="eastAsia" w:eastAsia="等线" w:cs="Times New Roman"/>
          <w:color w:val="auto"/>
          <w:kern w:val="2"/>
          <w:sz w:val="22"/>
          <w:szCs w:val="22"/>
          <w:highlight w:val="none"/>
          <w:lang w:val="en-US" w:eastAsia="zh-CN"/>
        </w:rPr>
        <w:t xml:space="preserve">one </w:t>
      </w:r>
      <w:r>
        <w:rPr>
          <w:rFonts w:hint="default" w:ascii="Times New Roman" w:hAnsi="Times New Roman" w:eastAsia="等线" w:cs="Times New Roman"/>
          <w:color w:val="auto"/>
          <w:kern w:val="2"/>
          <w:sz w:val="22"/>
          <w:szCs w:val="22"/>
          <w:highlight w:val="none"/>
          <w:lang w:val="en-US" w:eastAsia="zh-CN"/>
        </w:rPr>
        <w:t>was missing</w:t>
      </w:r>
      <w:r>
        <w:rPr>
          <w:rFonts w:hint="eastAsia" w:eastAsia="等线" w:cs="Times New Roman"/>
          <w:color w:val="auto"/>
          <w:kern w:val="2"/>
          <w:sz w:val="22"/>
          <w:szCs w:val="2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等线" w:cs="Times New Roman"/>
          <w:color w:val="auto"/>
          <w:kern w:val="2"/>
          <w:sz w:val="22"/>
          <w:szCs w:val="22"/>
          <w:highlight w:val="none"/>
          <w:lang w:val="en-US" w:eastAsia="zh-CN"/>
        </w:rPr>
        <w:t>symptomatic-phase data, resulting in a final analytical sample of 43 patients with paired longitudinal data</w:t>
      </w:r>
      <w:r>
        <w:rPr>
          <w:rFonts w:hint="default" w:ascii="Times New Roman" w:hAnsi="Times New Roman" w:eastAsia="等线" w:cs="Times New Roman"/>
          <w:color w:val="auto"/>
          <w:kern w:val="2"/>
          <w:sz w:val="22"/>
          <w:szCs w:val="22"/>
          <w:lang w:val="en-US" w:eastAsia="zh-CN"/>
        </w:rPr>
        <w:t>.</w:t>
      </w:r>
      <w:r>
        <w:rPr>
          <w:rFonts w:hint="eastAsia" w:eastAsia="等线" w:cs="Times New Roman"/>
          <w:color w:val="auto"/>
          <w:kern w:val="2"/>
          <w:sz w:val="22"/>
          <w:szCs w:val="22"/>
          <w:lang w:val="en-US" w:eastAsia="zh-CN"/>
        </w:rPr>
        <w:t xml:space="preserve"> </w:t>
      </w:r>
      <w:r>
        <w:rPr>
          <w:rFonts w:hint="default" w:ascii="Times New Roman" w:hAnsi="Times New Roman" w:eastAsia="等线" w:cs="Times New Roman"/>
          <w:color w:val="auto"/>
          <w:kern w:val="2"/>
          <w:sz w:val="22"/>
          <w:szCs w:val="22"/>
          <w:lang w:val="en-US" w:eastAsia="zh-CN"/>
        </w:rPr>
        <w:t>BD</w:t>
      </w:r>
      <w:r>
        <w:rPr>
          <w:rFonts w:hint="eastAsia" w:ascii="Times New Roman" w:hAnsi="Times New Roman" w:eastAsia="等线" w:cs="Times New Roman"/>
          <w:color w:val="auto"/>
          <w:kern w:val="2"/>
          <w:sz w:val="22"/>
          <w:szCs w:val="22"/>
          <w:lang w:val="en-US" w:eastAsia="zh-CN"/>
        </w:rPr>
        <w:t>,</w:t>
      </w:r>
      <w:r>
        <w:rPr>
          <w:rFonts w:hint="default" w:ascii="Times New Roman" w:hAnsi="Times New Roman" w:eastAsia="等线" w:cs="Times New Roman"/>
          <w:color w:val="auto"/>
          <w:kern w:val="2"/>
          <w:sz w:val="22"/>
          <w:szCs w:val="22"/>
          <w:lang w:val="en-US" w:eastAsia="zh-CN"/>
        </w:rPr>
        <w:t xml:space="preserve"> bipolar disorder</w:t>
      </w:r>
      <w:r>
        <w:rPr>
          <w:rFonts w:hint="eastAsia" w:eastAsia="等线" w:cs="Times New Roman"/>
          <w:color w:val="auto"/>
          <w:kern w:val="2"/>
          <w:sz w:val="22"/>
          <w:szCs w:val="22"/>
          <w:lang w:val="en-US" w:eastAsia="zh-CN"/>
        </w:rPr>
        <w:t>; FDR, false discovery rate</w:t>
      </w:r>
      <w:r>
        <w:rPr>
          <w:rFonts w:hint="eastAsia" w:ascii="Times New Roman" w:hAnsi="Times New Roman" w:eastAsia="等线" w:cs="Times New Roman"/>
          <w:color w:val="auto"/>
          <w:kern w:val="2"/>
          <w:sz w:val="22"/>
          <w:szCs w:val="22"/>
          <w:lang w:val="en-US" w:eastAsia="zh-CN"/>
        </w:rPr>
        <w:t>.</w:t>
      </w:r>
    </w:p>
    <w:p w14:paraId="22D5A469">
      <w:pPr>
        <w:spacing w:line="480" w:lineRule="auto"/>
        <w:jc w:val="left"/>
        <w:rPr>
          <w:rFonts w:hint="eastAsia" w:ascii="Times New Roman" w:hAnsi="Times New Roman" w:eastAsia="等线" w:cs="Times New Roman"/>
          <w:color w:val="auto"/>
          <w:kern w:val="2"/>
          <w:sz w:val="22"/>
          <w:szCs w:val="22"/>
          <w:lang w:val="en-US" w:eastAsia="zh-CN"/>
        </w:rPr>
      </w:pPr>
    </w:p>
    <w:p w14:paraId="5CAF2D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 w:cs="Times New Roman"/>
          <w:b/>
          <w:bCs/>
          <w:sz w:val="22"/>
          <w:szCs w:val="22"/>
          <w:highlight w:val="non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none"/>
        </w:rPr>
        <w:t>Cross-sectional associations between neurocognitive function and inflammatory markers</w:t>
      </w:r>
    </w:p>
    <w:p w14:paraId="1F7099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等线" w:hAnsi="等线" w:eastAsia="等线" w:cs="Times New Roman"/>
          <w:kern w:val="2"/>
          <w:sz w:val="22"/>
          <w:szCs w:val="22"/>
        </w:rPr>
      </w:pPr>
      <w:r>
        <w:rPr>
          <w:rFonts w:hint="eastAsia" w:eastAsia="等线" w:cs="Times New Roman"/>
          <w:kern w:val="2"/>
          <w:sz w:val="22"/>
          <w:szCs w:val="22"/>
          <w:highlight w:val="none"/>
          <w:lang w:val="en-US" w:eastAsia="zh-CN"/>
        </w:rPr>
        <w:t>When o</w:t>
      </w:r>
      <w:r>
        <w:rPr>
          <w:rFonts w:hint="eastAsia" w:ascii="Times New Roman" w:hAnsi="Times New Roman" w:eastAsia="等线" w:cs="Times New Roman"/>
          <w:kern w:val="2"/>
          <w:sz w:val="22"/>
          <w:szCs w:val="22"/>
          <w:highlight w:val="none"/>
          <w:lang w:val="en-US" w:eastAsia="zh-CN"/>
        </w:rPr>
        <w:t>nly</w:t>
      </w:r>
      <w:r>
        <w:rPr>
          <w:rFonts w:ascii="Times New Roman" w:hAnsi="Times New Roman" w:eastAsia="等线" w:cs="Times New Roman"/>
          <w:kern w:val="2"/>
          <w:sz w:val="22"/>
          <w:szCs w:val="22"/>
          <w:highlight w:val="none"/>
        </w:rPr>
        <w:t xml:space="preserve"> adjusting for demographic covariates (age, sex, BMI, and years of education), </w:t>
      </w:r>
      <w:r>
        <w:rPr>
          <w:rFonts w:hint="eastAsia" w:eastAsia="等线" w:cs="Times New Roman"/>
          <w:kern w:val="2"/>
          <w:sz w:val="22"/>
          <w:szCs w:val="22"/>
          <w:highlight w:val="none"/>
          <w:lang w:val="en-US" w:eastAsia="zh-CN"/>
        </w:rPr>
        <w:t xml:space="preserve">we found that </w:t>
      </w:r>
      <w:r>
        <w:rPr>
          <w:rFonts w:ascii="Times New Roman" w:hAnsi="Times New Roman" w:eastAsia="等线" w:cs="Times New Roman"/>
          <w:kern w:val="2"/>
          <w:sz w:val="22"/>
          <w:szCs w:val="22"/>
          <w:highlight w:val="none"/>
        </w:rPr>
        <w:t xml:space="preserve">higher levels of TNF-α (B = -0.168, SE = 0.084, β = -0.268, t = -2.012, </w:t>
      </w:r>
      <w:r>
        <w:rPr>
          <w:rFonts w:ascii="Times New Roman" w:hAnsi="Times New Roman" w:eastAsia="等线" w:cs="Times New Roman"/>
          <w:i/>
          <w:iCs/>
          <w:kern w:val="2"/>
          <w:sz w:val="22"/>
          <w:szCs w:val="22"/>
          <w:highlight w:val="none"/>
        </w:rPr>
        <w:t>P</w:t>
      </w:r>
      <w:r>
        <w:rPr>
          <w:rFonts w:ascii="Times New Roman" w:hAnsi="Times New Roman" w:eastAsia="等线" w:cs="Times New Roman"/>
          <w:kern w:val="2"/>
          <w:sz w:val="22"/>
          <w:szCs w:val="22"/>
          <w:highlight w:val="none"/>
        </w:rPr>
        <w:t xml:space="preserve"> = 0.049), MCP-1 (B = -0.046, SE = 0.020, β = -0.290, t = -2.324, </w:t>
      </w:r>
      <w:r>
        <w:rPr>
          <w:rFonts w:ascii="Times New Roman" w:hAnsi="Times New Roman" w:eastAsia="等线" w:cs="Times New Roman"/>
          <w:i/>
          <w:iCs/>
          <w:kern w:val="2"/>
          <w:sz w:val="22"/>
          <w:szCs w:val="22"/>
          <w:highlight w:val="none"/>
        </w:rPr>
        <w:t>P</w:t>
      </w:r>
      <w:r>
        <w:rPr>
          <w:rFonts w:ascii="Times New Roman" w:hAnsi="Times New Roman" w:eastAsia="等线" w:cs="Times New Roman"/>
          <w:kern w:val="2"/>
          <w:sz w:val="22"/>
          <w:szCs w:val="22"/>
          <w:highlight w:val="none"/>
        </w:rPr>
        <w:t xml:space="preserve"> = 0.024), and IL-4 (B = -0.302, SE = 0.</w:t>
      </w:r>
      <w:r>
        <w:rPr>
          <w:rFonts w:hint="eastAsia" w:ascii="Times New Roman" w:hAnsi="Times New Roman" w:eastAsia="等线" w:cs="Times New Roman"/>
          <w:kern w:val="2"/>
          <w:sz w:val="22"/>
          <w:szCs w:val="22"/>
          <w:highlight w:val="none"/>
        </w:rPr>
        <w:t>0</w:t>
      </w:r>
      <w:r>
        <w:rPr>
          <w:rFonts w:ascii="Times New Roman" w:hAnsi="Times New Roman" w:eastAsia="等线" w:cs="Times New Roman"/>
          <w:kern w:val="2"/>
          <w:sz w:val="22"/>
          <w:szCs w:val="22"/>
          <w:highlight w:val="none"/>
        </w:rPr>
        <w:t xml:space="preserve">12, β = -0.301, t = -2.527, </w:t>
      </w:r>
      <w:r>
        <w:rPr>
          <w:rFonts w:ascii="Times New Roman" w:hAnsi="Times New Roman" w:eastAsia="等线" w:cs="Times New Roman"/>
          <w:i/>
          <w:iCs/>
          <w:kern w:val="2"/>
          <w:sz w:val="22"/>
          <w:szCs w:val="22"/>
          <w:highlight w:val="none"/>
        </w:rPr>
        <w:t>P</w:t>
      </w:r>
      <w:r>
        <w:rPr>
          <w:rFonts w:ascii="Times New Roman" w:hAnsi="Times New Roman" w:eastAsia="等线" w:cs="Times New Roman"/>
          <w:kern w:val="2"/>
          <w:sz w:val="22"/>
          <w:szCs w:val="22"/>
          <w:highlight w:val="none"/>
        </w:rPr>
        <w:t xml:space="preserve"> = 0.014) were associated with poorer performance on the VFT. Conversely, </w:t>
      </w:r>
      <w:r>
        <w:rPr>
          <w:rFonts w:ascii="Times New Roman" w:hAnsi="Times New Roman" w:eastAsia="宋体" w:cs="Times New Roman"/>
          <w:kern w:val="0"/>
          <w:sz w:val="22"/>
          <w:szCs w:val="22"/>
          <w:highlight w:val="none"/>
          <w:lang w:bidi="ar"/>
        </w:rPr>
        <w:t xml:space="preserve">IFN-γ showed a positive correlation with VFT performance </w:t>
      </w:r>
      <w:r>
        <w:rPr>
          <w:rFonts w:ascii="Times New Roman" w:hAnsi="Times New Roman" w:eastAsia="等线" w:cs="Times New Roman"/>
          <w:kern w:val="2"/>
          <w:sz w:val="22"/>
          <w:szCs w:val="22"/>
          <w:highlight w:val="none"/>
        </w:rPr>
        <w:t xml:space="preserve">(B = 0.018, SE = 0.008, β = 0.327, t = 2.38, </w:t>
      </w:r>
      <w:r>
        <w:rPr>
          <w:rFonts w:ascii="Times New Roman" w:hAnsi="Times New Roman" w:eastAsia="等线" w:cs="Times New Roman"/>
          <w:i/>
          <w:iCs/>
          <w:kern w:val="2"/>
          <w:sz w:val="22"/>
          <w:szCs w:val="22"/>
          <w:highlight w:val="none"/>
        </w:rPr>
        <w:t>P</w:t>
      </w:r>
      <w:r>
        <w:rPr>
          <w:rFonts w:ascii="Times New Roman" w:hAnsi="Times New Roman" w:eastAsia="等线" w:cs="Times New Roman"/>
          <w:kern w:val="2"/>
          <w:sz w:val="22"/>
          <w:szCs w:val="22"/>
          <w:highlight w:val="none"/>
        </w:rPr>
        <w:t xml:space="preserve"> = 0.021), whereas lower IL-2 levels were associated with poorer HVLT-R performance (B = 0.017, SE = 0.008, β = 0.317, t = 2.199, </w:t>
      </w:r>
      <w:r>
        <w:rPr>
          <w:rFonts w:ascii="Times New Roman" w:hAnsi="Times New Roman" w:eastAsia="等线" w:cs="Times New Roman"/>
          <w:i/>
          <w:iCs/>
          <w:kern w:val="2"/>
          <w:sz w:val="22"/>
          <w:szCs w:val="22"/>
          <w:highlight w:val="none"/>
        </w:rPr>
        <w:t>P</w:t>
      </w:r>
      <w:r>
        <w:rPr>
          <w:rFonts w:ascii="Times New Roman" w:hAnsi="Times New Roman" w:eastAsia="等线" w:cs="Times New Roman"/>
          <w:kern w:val="2"/>
          <w:sz w:val="22"/>
          <w:szCs w:val="22"/>
          <w:highlight w:val="none"/>
        </w:rPr>
        <w:t xml:space="preserve"> = 0.032). </w:t>
      </w:r>
      <w:r>
        <w:rPr>
          <w:rFonts w:hint="eastAsia" w:ascii="Times New Roman" w:hAnsi="Times New Roman" w:eastAsia="等线" w:cs="Times New Roman"/>
          <w:kern w:val="2"/>
          <w:sz w:val="22"/>
          <w:szCs w:val="22"/>
          <w:highlight w:val="none"/>
        </w:rPr>
        <w:t>H</w:t>
      </w:r>
      <w:r>
        <w:rPr>
          <w:rFonts w:ascii="Times New Roman" w:hAnsi="Times New Roman" w:eastAsia="等线" w:cs="Times New Roman"/>
          <w:kern w:val="2"/>
          <w:sz w:val="22"/>
          <w:szCs w:val="22"/>
          <w:highlight w:val="none"/>
        </w:rPr>
        <w:t>owever</w:t>
      </w:r>
      <w:r>
        <w:rPr>
          <w:rFonts w:hint="eastAsia" w:eastAsia="等线" w:cs="Times New Roman"/>
          <w:kern w:val="2"/>
          <w:sz w:val="22"/>
          <w:szCs w:val="22"/>
          <w:highlight w:val="none"/>
          <w:lang w:val="en-US" w:eastAsia="zh-CN"/>
        </w:rPr>
        <w:t>,</w:t>
      </w:r>
      <w:r>
        <w:rPr>
          <w:rFonts w:hint="eastAsia" w:ascii="Times New Roman" w:hAnsi="Times New Roman" w:eastAsia="等线" w:cs="Times New Roman"/>
          <w:kern w:val="2"/>
          <w:sz w:val="22"/>
          <w:szCs w:val="22"/>
          <w:highlight w:val="none"/>
        </w:rPr>
        <w:t xml:space="preserve"> </w:t>
      </w:r>
      <w:r>
        <w:rPr>
          <w:rFonts w:ascii="Times New Roman" w:hAnsi="Times New Roman" w:eastAsia="等线" w:cs="Times New Roman"/>
          <w:kern w:val="2"/>
          <w:sz w:val="22"/>
          <w:szCs w:val="22"/>
          <w:highlight w:val="none"/>
        </w:rPr>
        <w:t>none of these associations remained statistically significant after applying the FDR correction.</w:t>
      </w:r>
      <w:bookmarkStart w:id="0" w:name="_GoBack"/>
      <w:bookmarkEnd w:id="0"/>
    </w:p>
    <w:p w14:paraId="176540CB">
      <w:pPr>
        <w:spacing w:line="480" w:lineRule="auto"/>
        <w:jc w:val="left"/>
        <w:rPr>
          <w:rFonts w:ascii="等线" w:hAnsi="等线" w:eastAsia="等线" w:cs="Times New Roman"/>
          <w:kern w:val="2"/>
          <w:sz w:val="22"/>
          <w:szCs w:val="22"/>
        </w:rPr>
      </w:pPr>
    </w:p>
    <w:p w14:paraId="03852F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 w:eastAsia="等线" w:cs="Times New Roman"/>
          <w:kern w:val="2"/>
          <w:sz w:val="22"/>
          <w:szCs w:val="22"/>
          <w:highlight w:val="none"/>
        </w:rPr>
      </w:pPr>
      <w:r>
        <w:rPr>
          <w:rFonts w:ascii="Times New Roman" w:hAnsi="Times New Roman" w:cs="Times New Roman"/>
          <w:b/>
          <w:bCs/>
          <w:sz w:val="22"/>
          <w:szCs w:val="22"/>
          <w:highlight w:val="none"/>
        </w:rPr>
        <w:t>Longitudinal associations between neurocognitive function and inflammatory markers</w:t>
      </w:r>
    </w:p>
    <w:p w14:paraId="3E3BCF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 w:eastAsia="等线" w:cs="Times New Roman"/>
          <w:kern w:val="2"/>
          <w:sz w:val="22"/>
          <w:szCs w:val="22"/>
          <w:highlight w:val="none"/>
        </w:rPr>
      </w:pPr>
      <w:r>
        <w:rPr>
          <w:rFonts w:ascii="Times New Roman" w:hAnsi="Times New Roman" w:eastAsia="等线" w:cs="Times New Roman"/>
          <w:kern w:val="2"/>
          <w:sz w:val="22"/>
          <w:szCs w:val="22"/>
          <w:highlight w:val="none"/>
        </w:rPr>
        <w:t>When controlling only for demographic covariates (age, sex, BMI, and years of education), the significant longitudinal associations between baseline inflammatory markers and follow-up cognitive performance are summarized as follows:</w:t>
      </w:r>
    </w:p>
    <w:p w14:paraId="1792D9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157" w:afterLines="50" w:line="240" w:lineRule="auto"/>
        <w:jc w:val="center"/>
        <w:textAlignment w:val="auto"/>
        <w:rPr>
          <w:rFonts w:ascii="Times New Roman" w:hAnsi="Times New Roman" w:eastAsia="等线" w:cs="Times New Roman"/>
          <w:b/>
          <w:bCs/>
          <w:kern w:val="2"/>
          <w:sz w:val="22"/>
          <w:szCs w:val="22"/>
          <w:highlight w:val="none"/>
        </w:rPr>
      </w:pPr>
      <w:r>
        <w:rPr>
          <w:rFonts w:ascii="Times New Roman" w:hAnsi="Times New Roman" w:eastAsia="等线" w:cs="Times New Roman"/>
          <w:b/>
          <w:bCs/>
          <w:kern w:val="2"/>
          <w:sz w:val="22"/>
          <w:szCs w:val="22"/>
          <w:highlight w:val="none"/>
        </w:rPr>
        <w:t>Supplementary</w:t>
      </w:r>
      <w:r>
        <w:rPr>
          <w:rFonts w:hint="eastAsia" w:eastAsia="等线" w:cs="Times New Roman"/>
          <w:b/>
          <w:bCs/>
          <w:kern w:val="2"/>
          <w:sz w:val="22"/>
          <w:szCs w:val="22"/>
          <w:highlight w:val="none"/>
          <w:lang w:val="en-US" w:eastAsia="zh-CN"/>
        </w:rPr>
        <w:t xml:space="preserve"> </w:t>
      </w:r>
      <w:r>
        <w:rPr>
          <w:rFonts w:ascii="Times New Roman" w:hAnsi="Times New Roman" w:eastAsia="等线" w:cs="Times New Roman"/>
          <w:b/>
          <w:bCs/>
          <w:kern w:val="2"/>
          <w:sz w:val="22"/>
          <w:szCs w:val="22"/>
          <w:highlight w:val="none"/>
        </w:rPr>
        <w:t xml:space="preserve">Table </w:t>
      </w:r>
      <w:r>
        <w:rPr>
          <w:rFonts w:hint="eastAsia" w:eastAsia="等线" w:cs="Times New Roman"/>
          <w:b/>
          <w:bCs/>
          <w:kern w:val="2"/>
          <w:sz w:val="22"/>
          <w:szCs w:val="22"/>
          <w:highlight w:val="none"/>
          <w:lang w:val="en-US" w:eastAsia="zh-CN"/>
        </w:rPr>
        <w:t>3</w:t>
      </w:r>
      <w:r>
        <w:rPr>
          <w:rFonts w:ascii="Times New Roman" w:hAnsi="Times New Roman" w:eastAsia="等线" w:cs="Times New Roman"/>
          <w:b/>
          <w:bCs/>
          <w:kern w:val="2"/>
          <w:sz w:val="22"/>
          <w:szCs w:val="22"/>
          <w:highlight w:val="none"/>
        </w:rPr>
        <w:t xml:space="preserve">. </w:t>
      </w:r>
      <w:r>
        <w:rPr>
          <w:rFonts w:hint="default" w:ascii="Times New Roman" w:hAnsi="Times New Roman" w:eastAsia="等线" w:cs="Times New Roman"/>
          <w:b/>
          <w:bCs/>
          <w:kern w:val="2"/>
          <w:sz w:val="22"/>
          <w:szCs w:val="22"/>
          <w:highlight w:val="none"/>
        </w:rPr>
        <w:t xml:space="preserve">Predictive Role of Baseline Inflammation for Longitudinal </w:t>
      </w:r>
      <w:r>
        <w:rPr>
          <w:rFonts w:hint="eastAsia" w:ascii="Times New Roman" w:hAnsi="Times New Roman" w:eastAsia="等线" w:cs="Times New Roman"/>
          <w:b/>
          <w:bCs/>
          <w:kern w:val="2"/>
          <w:sz w:val="22"/>
          <w:szCs w:val="22"/>
          <w:highlight w:val="none"/>
          <w:lang w:val="en-US" w:eastAsia="zh-CN"/>
        </w:rPr>
        <w:t>Neuroc</w:t>
      </w:r>
      <w:r>
        <w:rPr>
          <w:rFonts w:hint="default" w:ascii="Times New Roman" w:hAnsi="Times New Roman" w:eastAsia="等线" w:cs="Times New Roman"/>
          <w:b/>
          <w:bCs/>
          <w:kern w:val="2"/>
          <w:sz w:val="22"/>
          <w:szCs w:val="22"/>
          <w:highlight w:val="none"/>
        </w:rPr>
        <w:t>ognitive Outcomes in BD.</w:t>
      </w:r>
    </w:p>
    <w:tbl>
      <w:tblPr>
        <w:tblStyle w:val="2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0"/>
        <w:gridCol w:w="1957"/>
        <w:gridCol w:w="1031"/>
        <w:gridCol w:w="937"/>
        <w:gridCol w:w="1031"/>
        <w:gridCol w:w="1031"/>
        <w:gridCol w:w="938"/>
      </w:tblGrid>
      <w:tr w14:paraId="5346AC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1250" w:type="pct"/>
            <w:tcBorders>
              <w:left w:val="nil"/>
              <w:bottom w:val="single" w:color="auto" w:sz="4" w:space="0"/>
              <w:right w:val="nil"/>
            </w:tcBorders>
          </w:tcPr>
          <w:p w14:paraId="779EADBA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  <w:szCs w:val="22"/>
                <w:highlight w:val="none"/>
                <w:lang w:bidi="ar"/>
              </w:rPr>
              <w:t>Outcome (Follow-up)</w:t>
            </w:r>
          </w:p>
        </w:tc>
        <w:tc>
          <w:tcPr>
            <w:tcW w:w="1059" w:type="pct"/>
            <w:tcBorders>
              <w:left w:val="nil"/>
              <w:bottom w:val="single" w:color="auto" w:sz="4" w:space="0"/>
              <w:right w:val="nil"/>
            </w:tcBorders>
          </w:tcPr>
          <w:p w14:paraId="1D7BB421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  <w:szCs w:val="22"/>
                <w:highlight w:val="none"/>
                <w:lang w:bidi="ar"/>
              </w:rPr>
              <w:t>Predictor (Baseline)</w:t>
            </w:r>
          </w:p>
        </w:tc>
        <w:tc>
          <w:tcPr>
            <w:tcW w:w="558" w:type="pct"/>
            <w:tcBorders>
              <w:left w:val="nil"/>
              <w:bottom w:val="single" w:color="auto" w:sz="4" w:space="0"/>
              <w:right w:val="nil"/>
            </w:tcBorders>
          </w:tcPr>
          <w:p w14:paraId="2DBA1DB2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  <w:szCs w:val="22"/>
                <w:highlight w:val="none"/>
                <w:lang w:bidi="ar"/>
              </w:rPr>
              <w:t>B</w:t>
            </w:r>
          </w:p>
        </w:tc>
        <w:tc>
          <w:tcPr>
            <w:tcW w:w="507" w:type="pct"/>
            <w:tcBorders>
              <w:left w:val="nil"/>
              <w:bottom w:val="single" w:color="auto" w:sz="4" w:space="0"/>
              <w:right w:val="nil"/>
            </w:tcBorders>
          </w:tcPr>
          <w:p w14:paraId="581208FC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  <w:szCs w:val="22"/>
                <w:highlight w:val="none"/>
                <w:lang w:bidi="ar"/>
              </w:rPr>
              <w:t>SE</w:t>
            </w:r>
          </w:p>
        </w:tc>
        <w:tc>
          <w:tcPr>
            <w:tcW w:w="558" w:type="pct"/>
            <w:tcBorders>
              <w:left w:val="nil"/>
              <w:bottom w:val="single" w:color="auto" w:sz="4" w:space="0"/>
              <w:right w:val="nil"/>
            </w:tcBorders>
          </w:tcPr>
          <w:p w14:paraId="46EF84C9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  <w:szCs w:val="22"/>
                <w:highlight w:val="none"/>
                <w:lang w:bidi="ar"/>
              </w:rPr>
              <w:t>β</w:t>
            </w:r>
          </w:p>
        </w:tc>
        <w:tc>
          <w:tcPr>
            <w:tcW w:w="558" w:type="pct"/>
            <w:tcBorders>
              <w:left w:val="nil"/>
              <w:bottom w:val="single" w:color="auto" w:sz="4" w:space="0"/>
              <w:right w:val="nil"/>
            </w:tcBorders>
          </w:tcPr>
          <w:p w14:paraId="6DC5F9AB">
            <w:pPr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kern w:val="0"/>
                <w:sz w:val="22"/>
                <w:szCs w:val="22"/>
                <w:highlight w:val="none"/>
                <w:lang w:bidi="ar"/>
              </w:rPr>
              <w:t>t</w:t>
            </w:r>
          </w:p>
        </w:tc>
        <w:tc>
          <w:tcPr>
            <w:tcW w:w="507" w:type="pct"/>
            <w:tcBorders>
              <w:left w:val="nil"/>
              <w:bottom w:val="single" w:color="auto" w:sz="4" w:space="0"/>
              <w:right w:val="nil"/>
            </w:tcBorders>
          </w:tcPr>
          <w:p w14:paraId="5F080F7A">
            <w:pPr>
              <w:spacing w:after="156" w:afterLines="50"/>
              <w:jc w:val="center"/>
              <w:rPr>
                <w:rFonts w:ascii="Times New Roman" w:hAnsi="Times New Roman" w:eastAsia="等线" w:cs="Times New Roman"/>
                <w:b/>
                <w:bCs/>
                <w:kern w:val="2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等线" w:cs="Times New Roman"/>
                <w:b/>
                <w:bCs/>
                <w:i/>
                <w:iCs/>
                <w:kern w:val="2"/>
                <w:sz w:val="22"/>
                <w:szCs w:val="22"/>
                <w:highlight w:val="none"/>
              </w:rPr>
              <w:t>P</w:t>
            </w:r>
          </w:p>
        </w:tc>
      </w:tr>
      <w:tr w14:paraId="5E50A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5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2CF4C10">
            <w:pPr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  <w:t>VFT</w:t>
            </w:r>
          </w:p>
        </w:tc>
        <w:tc>
          <w:tcPr>
            <w:tcW w:w="105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C25497B">
            <w:pPr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  <w:t>IL-12</w:t>
            </w:r>
          </w:p>
        </w:tc>
        <w:tc>
          <w:tcPr>
            <w:tcW w:w="55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3DE5A7D">
            <w:pPr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  <w:t>-0.292</w:t>
            </w:r>
          </w:p>
        </w:tc>
        <w:tc>
          <w:tcPr>
            <w:tcW w:w="50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D8EBADA">
            <w:pPr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  <w:t>0.099</w:t>
            </w:r>
          </w:p>
        </w:tc>
        <w:tc>
          <w:tcPr>
            <w:tcW w:w="55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A2ADA87">
            <w:pPr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  <w:t>-0.519</w:t>
            </w:r>
          </w:p>
        </w:tc>
        <w:tc>
          <w:tcPr>
            <w:tcW w:w="55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5DF7E0F">
            <w:pPr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  <w:t>-2.942</w:t>
            </w:r>
          </w:p>
        </w:tc>
        <w:tc>
          <w:tcPr>
            <w:tcW w:w="50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779A0025">
            <w:pPr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  <w:t>0.006</w:t>
            </w:r>
          </w:p>
        </w:tc>
      </w:tr>
      <w:tr w14:paraId="70EF9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5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9672E71">
            <w:pPr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  <w:t>TMT-A</w:t>
            </w:r>
          </w:p>
        </w:tc>
        <w:tc>
          <w:tcPr>
            <w:tcW w:w="105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66D784B">
            <w:pPr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  <w:t>sIL-6R</w:t>
            </w:r>
          </w:p>
        </w:tc>
        <w:tc>
          <w:tcPr>
            <w:tcW w:w="55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0ACCDE2">
            <w:pPr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  <w:t>-0.367</w:t>
            </w:r>
          </w:p>
        </w:tc>
        <w:tc>
          <w:tcPr>
            <w:tcW w:w="50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0631B83">
            <w:pPr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  <w:t>0.165</w:t>
            </w:r>
          </w:p>
        </w:tc>
        <w:tc>
          <w:tcPr>
            <w:tcW w:w="55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5234437">
            <w:pPr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  <w:t>-0.434</w:t>
            </w:r>
          </w:p>
        </w:tc>
        <w:tc>
          <w:tcPr>
            <w:tcW w:w="55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4FC9A5E">
            <w:pPr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  <w:t>-2.226</w:t>
            </w:r>
          </w:p>
        </w:tc>
        <w:tc>
          <w:tcPr>
            <w:tcW w:w="50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  <w:vAlign w:val="top"/>
          </w:tcPr>
          <w:p w14:paraId="59BADE51">
            <w:pPr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  <w:t>0.034</w:t>
            </w:r>
          </w:p>
        </w:tc>
      </w:tr>
      <w:tr w14:paraId="2019C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5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33B080E0">
            <w:pPr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  <w:t>NAB Mazes</w:t>
            </w:r>
          </w:p>
        </w:tc>
        <w:tc>
          <w:tcPr>
            <w:tcW w:w="105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154CF39C">
            <w:pPr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  <w:t>TNF-α</w:t>
            </w:r>
          </w:p>
        </w:tc>
        <w:tc>
          <w:tcPr>
            <w:tcW w:w="55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442A602B">
            <w:pPr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  <w:t>0.359</w:t>
            </w:r>
          </w:p>
        </w:tc>
        <w:tc>
          <w:tcPr>
            <w:tcW w:w="50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28B829D0">
            <w:pPr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  <w:t>0.152</w:t>
            </w:r>
          </w:p>
        </w:tc>
        <w:tc>
          <w:tcPr>
            <w:tcW w:w="55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3C28E262">
            <w:pPr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  <w:t>0.645</w:t>
            </w:r>
          </w:p>
        </w:tc>
        <w:tc>
          <w:tcPr>
            <w:tcW w:w="55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0781B0EE">
            <w:pPr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  <w:t>2.365</w:t>
            </w:r>
          </w:p>
        </w:tc>
        <w:tc>
          <w:tcPr>
            <w:tcW w:w="50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156D6072">
            <w:pPr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  <w:t>0.025</w:t>
            </w:r>
          </w:p>
        </w:tc>
      </w:tr>
      <w:tr w14:paraId="61262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0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1731194F">
            <w:pPr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  <w:t>NAB Mazes</w:t>
            </w:r>
          </w:p>
        </w:tc>
        <w:tc>
          <w:tcPr>
            <w:tcW w:w="105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51A4A35F">
            <w:pPr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  <w:t>IL-2</w:t>
            </w:r>
          </w:p>
        </w:tc>
        <w:tc>
          <w:tcPr>
            <w:tcW w:w="55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341C4BC7">
            <w:pPr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  <w:t>-0.029</w:t>
            </w:r>
          </w:p>
        </w:tc>
        <w:tc>
          <w:tcPr>
            <w:tcW w:w="50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3C93EA15">
            <w:pPr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  <w:t>0.013</w:t>
            </w:r>
          </w:p>
        </w:tc>
        <w:tc>
          <w:tcPr>
            <w:tcW w:w="55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11880AD6">
            <w:pPr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  <w:t>-0.54</w:t>
            </w:r>
          </w:p>
        </w:tc>
        <w:tc>
          <w:tcPr>
            <w:tcW w:w="558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 w14:paraId="2B147A1A">
            <w:pPr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  <w:t>-2.202</w:t>
            </w:r>
          </w:p>
        </w:tc>
        <w:tc>
          <w:tcPr>
            <w:tcW w:w="507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4B9D006D">
            <w:pPr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  <w:t>0.036</w:t>
            </w:r>
          </w:p>
        </w:tc>
      </w:tr>
      <w:tr w14:paraId="11285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50" w:type="pc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vAlign w:val="top"/>
          </w:tcPr>
          <w:p w14:paraId="75AE7278">
            <w:pPr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  <w:t>Figure Delayed Memory</w:t>
            </w:r>
          </w:p>
        </w:tc>
        <w:tc>
          <w:tcPr>
            <w:tcW w:w="1059" w:type="pc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vAlign w:val="top"/>
          </w:tcPr>
          <w:p w14:paraId="406A5563">
            <w:pPr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  <w:t>IL-1β</w:t>
            </w:r>
          </w:p>
        </w:tc>
        <w:tc>
          <w:tcPr>
            <w:tcW w:w="558" w:type="pc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vAlign w:val="top"/>
          </w:tcPr>
          <w:p w14:paraId="4A5A911A">
            <w:pPr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  <w:t>-0.288</w:t>
            </w:r>
          </w:p>
        </w:tc>
        <w:tc>
          <w:tcPr>
            <w:tcW w:w="507" w:type="pc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vAlign w:val="top"/>
          </w:tcPr>
          <w:p w14:paraId="0F7D7FFE">
            <w:pPr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  <w:t>0.137</w:t>
            </w:r>
          </w:p>
        </w:tc>
        <w:tc>
          <w:tcPr>
            <w:tcW w:w="558" w:type="pc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vAlign w:val="top"/>
          </w:tcPr>
          <w:p w14:paraId="5CA3FC2D">
            <w:pPr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  <w:t>-0.429</w:t>
            </w:r>
          </w:p>
        </w:tc>
        <w:tc>
          <w:tcPr>
            <w:tcW w:w="558" w:type="pc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vAlign w:val="top"/>
          </w:tcPr>
          <w:p w14:paraId="1A0E4070">
            <w:pPr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  <w:t>-2.102</w:t>
            </w:r>
          </w:p>
        </w:tc>
        <w:tc>
          <w:tcPr>
            <w:tcW w:w="507" w:type="pct"/>
            <w:tcBorders>
              <w:top w:val="single" w:color="auto" w:sz="4" w:space="0"/>
              <w:left w:val="nil"/>
              <w:right w:val="nil"/>
            </w:tcBorders>
            <w:shd w:val="clear" w:color="auto" w:fill="FFFFFF"/>
            <w:vAlign w:val="top"/>
          </w:tcPr>
          <w:p w14:paraId="2FCAC65B">
            <w:pPr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2"/>
                <w:highlight w:val="none"/>
                <w:lang w:bidi="ar"/>
              </w:rPr>
              <w:t>0.045</w:t>
            </w:r>
          </w:p>
        </w:tc>
      </w:tr>
    </w:tbl>
    <w:p w14:paraId="53AB8C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313" w:afterLines="100" w:line="480" w:lineRule="auto"/>
        <w:jc w:val="left"/>
        <w:textAlignment w:val="auto"/>
        <w:rPr>
          <w:rFonts w:ascii="Times New Roman" w:hAnsi="Times New Roman" w:eastAsia="等线" w:cs="Times New Roman"/>
          <w:kern w:val="2"/>
          <w:sz w:val="22"/>
          <w:szCs w:val="22"/>
          <w:highlight w:val="none"/>
        </w:rPr>
      </w:pPr>
      <w:r>
        <w:rPr>
          <w:rFonts w:ascii="Times New Roman" w:hAnsi="Times New Roman" w:eastAsia="等线" w:cs="Times New Roman"/>
          <w:i/>
          <w:iCs/>
          <w:kern w:val="2"/>
          <w:sz w:val="22"/>
          <w:szCs w:val="22"/>
          <w:highlight w:val="none"/>
        </w:rPr>
        <w:t>Note</w:t>
      </w:r>
      <w:r>
        <w:rPr>
          <w:rFonts w:ascii="Times New Roman" w:hAnsi="Times New Roman" w:eastAsia="等线" w:cs="Times New Roman"/>
          <w:kern w:val="2"/>
          <w:sz w:val="22"/>
          <w:szCs w:val="22"/>
          <w:highlight w:val="none"/>
        </w:rPr>
        <w:t>: B, unstandardized coefficient; SE, standard error; β, standardized coefficient; VFT, Verbal Fluency Test</w:t>
      </w:r>
      <w:r>
        <w:rPr>
          <w:rFonts w:hint="eastAsia" w:ascii="Times New Roman" w:hAnsi="Times New Roman" w:eastAsia="等线" w:cs="Times New Roman"/>
          <w:kern w:val="2"/>
          <w:sz w:val="22"/>
          <w:szCs w:val="22"/>
          <w:highlight w:val="none"/>
          <w:lang w:val="en-US" w:eastAsia="zh-CN"/>
        </w:rPr>
        <w:t xml:space="preserve">; </w:t>
      </w:r>
      <w:r>
        <w:rPr>
          <w:rFonts w:ascii="Times New Roman" w:hAnsi="Times New Roman" w:eastAsia="等线" w:cs="Times New Roman"/>
          <w:kern w:val="2"/>
          <w:sz w:val="22"/>
          <w:szCs w:val="22"/>
          <w:highlight w:val="none"/>
        </w:rPr>
        <w:t>TMT-A, Trail Making Test-A; NAB,</w:t>
      </w:r>
      <w:r>
        <w:rPr>
          <w:rFonts w:hint="eastAsia" w:eastAsia="等线" w:cs="Times New Roman"/>
          <w:kern w:val="2"/>
          <w:sz w:val="22"/>
          <w:szCs w:val="22"/>
          <w:highlight w:val="none"/>
          <w:lang w:val="en-US" w:eastAsia="zh-CN"/>
        </w:rPr>
        <w:t xml:space="preserve"> </w:t>
      </w:r>
      <w:r>
        <w:rPr>
          <w:rFonts w:ascii="Times New Roman" w:hAnsi="Times New Roman" w:eastAsia="等线" w:cs="Times New Roman"/>
          <w:kern w:val="2"/>
          <w:sz w:val="22"/>
          <w:szCs w:val="22"/>
          <w:highlight w:val="none"/>
        </w:rPr>
        <w:t>Neuropsychological Assessment Battery.</w:t>
      </w:r>
    </w:p>
    <w:p w14:paraId="522397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 w:eastAsia="等线" w:cs="Times New Roman"/>
          <w:kern w:val="2"/>
          <w:sz w:val="22"/>
          <w:szCs w:val="22"/>
          <w:highlight w:val="none"/>
        </w:rPr>
      </w:pPr>
      <w:r>
        <w:rPr>
          <w:rFonts w:ascii="Times New Roman" w:hAnsi="Times New Roman" w:eastAsia="等线" w:cs="Times New Roman"/>
          <w:kern w:val="2"/>
          <w:sz w:val="22"/>
          <w:szCs w:val="22"/>
          <w:highlight w:val="none"/>
        </w:rPr>
        <w:t>Subsequent cross-lagged analyses revealed unidirectional predictive effects in BD patients: elevated inflammatory markers significantly predicted subsequent cognitive decline, whereas cognitive performance did not significantly predict later inflammation levels. Specifically, higher baseline IL</w:t>
      </w:r>
      <w:r>
        <w:rPr>
          <w:rFonts w:ascii="Times New Roman" w:hAnsi="Times New Roman" w:eastAsia="等线" w:cs="Times New Roman"/>
          <w:kern w:val="2"/>
          <w:sz w:val="22"/>
          <w:szCs w:val="22"/>
          <w:highlight w:val="none"/>
        </w:rPr>
        <w:noBreakHyphen/>
      </w:r>
      <w:r>
        <w:rPr>
          <w:rFonts w:ascii="Times New Roman" w:hAnsi="Times New Roman" w:eastAsia="等线" w:cs="Times New Roman"/>
          <w:kern w:val="2"/>
          <w:sz w:val="22"/>
          <w:szCs w:val="22"/>
          <w:highlight w:val="none"/>
        </w:rPr>
        <w:t>12 predicted worse follow</w:t>
      </w:r>
      <w:r>
        <w:rPr>
          <w:rFonts w:ascii="Times New Roman" w:hAnsi="Times New Roman" w:eastAsia="等线" w:cs="Times New Roman"/>
          <w:kern w:val="2"/>
          <w:sz w:val="22"/>
          <w:szCs w:val="22"/>
          <w:highlight w:val="none"/>
        </w:rPr>
        <w:noBreakHyphen/>
      </w:r>
      <w:r>
        <w:rPr>
          <w:rFonts w:ascii="Times New Roman" w:hAnsi="Times New Roman" w:eastAsia="等线" w:cs="Times New Roman"/>
          <w:kern w:val="2"/>
          <w:sz w:val="22"/>
          <w:szCs w:val="22"/>
          <w:highlight w:val="none"/>
        </w:rPr>
        <w:t>up VFT performance (β = </w:t>
      </w:r>
      <w:r>
        <w:rPr>
          <w:rFonts w:hint="eastAsia" w:ascii="Times New Roman" w:hAnsi="Times New Roman" w:eastAsia="等线" w:cs="Times New Roman"/>
          <w:kern w:val="2"/>
          <w:sz w:val="22"/>
          <w:szCs w:val="22"/>
          <w:highlight w:val="none"/>
        </w:rPr>
        <w:t>-</w:t>
      </w:r>
      <w:r>
        <w:rPr>
          <w:rFonts w:ascii="Times New Roman" w:hAnsi="Times New Roman" w:eastAsia="等线" w:cs="Times New Roman"/>
          <w:kern w:val="2"/>
          <w:sz w:val="22"/>
          <w:szCs w:val="22"/>
          <w:highlight w:val="none"/>
        </w:rPr>
        <w:t>0.409, SE = 0.125, 95% CI [</w:t>
      </w:r>
      <w:r>
        <w:rPr>
          <w:rFonts w:hint="eastAsia" w:ascii="Times New Roman" w:hAnsi="Times New Roman" w:eastAsia="等线" w:cs="Times New Roman"/>
          <w:kern w:val="2"/>
          <w:sz w:val="22"/>
          <w:szCs w:val="22"/>
          <w:highlight w:val="none"/>
        </w:rPr>
        <w:t>-</w:t>
      </w:r>
      <w:r>
        <w:rPr>
          <w:rFonts w:ascii="Times New Roman" w:hAnsi="Times New Roman" w:eastAsia="等线" w:cs="Times New Roman"/>
          <w:kern w:val="2"/>
          <w:sz w:val="22"/>
          <w:szCs w:val="22"/>
          <w:highlight w:val="none"/>
        </w:rPr>
        <w:t xml:space="preserve">0.653, </w:t>
      </w:r>
      <w:r>
        <w:rPr>
          <w:rFonts w:hint="eastAsia" w:ascii="Times New Roman" w:hAnsi="Times New Roman" w:eastAsia="等线" w:cs="Times New Roman"/>
          <w:kern w:val="2"/>
          <w:sz w:val="22"/>
          <w:szCs w:val="22"/>
          <w:highlight w:val="none"/>
        </w:rPr>
        <w:t>-</w:t>
      </w:r>
      <w:r>
        <w:rPr>
          <w:rFonts w:ascii="Times New Roman" w:hAnsi="Times New Roman" w:eastAsia="等线" w:cs="Times New Roman"/>
          <w:kern w:val="2"/>
          <w:sz w:val="22"/>
          <w:szCs w:val="22"/>
          <w:highlight w:val="none"/>
        </w:rPr>
        <w:t>0.165], P </w:t>
      </w:r>
      <w:r>
        <w:rPr>
          <w:rFonts w:hint="eastAsia" w:ascii="Times New Roman" w:hAnsi="Times New Roman" w:eastAsia="等线" w:cs="Times New Roman"/>
          <w:kern w:val="2"/>
          <w:sz w:val="22"/>
          <w:szCs w:val="22"/>
          <w:highlight w:val="none"/>
        </w:rPr>
        <w:t>&lt;</w:t>
      </w:r>
      <w:r>
        <w:rPr>
          <w:rFonts w:ascii="Times New Roman" w:hAnsi="Times New Roman" w:eastAsia="等线" w:cs="Times New Roman"/>
          <w:kern w:val="2"/>
          <w:sz w:val="22"/>
          <w:szCs w:val="22"/>
          <w:highlight w:val="none"/>
        </w:rPr>
        <w:t> 0.001)</w:t>
      </w:r>
      <w:r>
        <w:rPr>
          <w:rFonts w:hint="eastAsia" w:eastAsia="等线" w:cs="Times New Roman"/>
          <w:kern w:val="2"/>
          <w:sz w:val="22"/>
          <w:szCs w:val="22"/>
          <w:highlight w:val="none"/>
          <w:lang w:val="en-US" w:eastAsia="zh-CN"/>
        </w:rPr>
        <w:t xml:space="preserve"> in a</w:t>
      </w:r>
      <w:r>
        <w:rPr>
          <w:rFonts w:hint="eastAsia" w:ascii="Times New Roman" w:hAnsi="Times New Roman" w:eastAsia="等线" w:cs="Times New Roman"/>
          <w:kern w:val="2"/>
          <w:sz w:val="22"/>
          <w:szCs w:val="22"/>
          <w:highlight w:val="none"/>
        </w:rPr>
        <w:t xml:space="preserve"> model </w:t>
      </w:r>
      <w:r>
        <w:rPr>
          <w:rFonts w:hint="eastAsia" w:eastAsia="等线" w:cs="Times New Roman"/>
          <w:kern w:val="2"/>
          <w:sz w:val="22"/>
          <w:szCs w:val="22"/>
          <w:highlight w:val="none"/>
          <w:lang w:val="en-US" w:eastAsia="zh-CN"/>
        </w:rPr>
        <w:t>with</w:t>
      </w:r>
      <w:r>
        <w:rPr>
          <w:rFonts w:hint="eastAsia" w:ascii="Times New Roman" w:hAnsi="Times New Roman" w:eastAsia="等线" w:cs="Times New Roman"/>
          <w:kern w:val="2"/>
          <w:sz w:val="22"/>
          <w:szCs w:val="22"/>
          <w:highlight w:val="none"/>
        </w:rPr>
        <w:t xml:space="preserve"> acceptable fit: </w:t>
      </w:r>
      <w:r>
        <w:rPr>
          <w:rFonts w:ascii="Times New Roman" w:hAnsi="Times New Roman" w:eastAsia="等线" w:cs="Times New Roman"/>
          <w:kern w:val="2"/>
          <w:sz w:val="22"/>
          <w:szCs w:val="22"/>
          <w:highlight w:val="none"/>
        </w:rPr>
        <w:t>χ²</w:t>
      </w:r>
      <w:r>
        <w:rPr>
          <w:rFonts w:hint="eastAsia" w:ascii="Times New Roman" w:hAnsi="Times New Roman" w:eastAsia="等线" w:cs="Times New Roman"/>
          <w:kern w:val="2"/>
          <w:sz w:val="22"/>
          <w:szCs w:val="22"/>
          <w:highlight w:val="none"/>
        </w:rPr>
        <w:t>(8) = 9.808, P = 0.279; CFI = 0.900, TLI = 0.724, RMSEA = 0.077 (90% CI: 0.000-0.215), SRMR = 0.072</w:t>
      </w:r>
      <w:r>
        <w:rPr>
          <w:rFonts w:hint="eastAsia" w:eastAsia="等线" w:cs="Times New Roman"/>
          <w:kern w:val="2"/>
          <w:sz w:val="22"/>
          <w:szCs w:val="22"/>
          <w:highlight w:val="none"/>
          <w:lang w:val="en-US" w:eastAsia="zh-CN"/>
        </w:rPr>
        <w:t xml:space="preserve"> (Supplementary Figure 1A)</w:t>
      </w:r>
      <w:r>
        <w:rPr>
          <w:rFonts w:hint="eastAsia" w:ascii="Times New Roman" w:hAnsi="Times New Roman" w:eastAsia="等线" w:cs="Times New Roman"/>
          <w:kern w:val="2"/>
          <w:sz w:val="22"/>
          <w:szCs w:val="22"/>
          <w:highlight w:val="none"/>
        </w:rPr>
        <w:t>.</w:t>
      </w:r>
      <w:r>
        <w:rPr>
          <w:rFonts w:ascii="Times New Roman" w:hAnsi="Times New Roman" w:eastAsia="等线" w:cs="Times New Roman"/>
          <w:kern w:val="2"/>
          <w:sz w:val="22"/>
          <w:szCs w:val="22"/>
          <w:highlight w:val="none"/>
        </w:rPr>
        <w:t xml:space="preserve"> </w:t>
      </w:r>
      <w:r>
        <w:rPr>
          <w:rFonts w:hint="eastAsia" w:ascii="Times New Roman" w:hAnsi="Times New Roman" w:eastAsia="等线" w:cs="Times New Roman"/>
          <w:kern w:val="2"/>
          <w:sz w:val="22"/>
          <w:szCs w:val="22"/>
          <w:highlight w:val="none"/>
        </w:rPr>
        <w:t>Similarly,</w:t>
      </w:r>
      <w:r>
        <w:rPr>
          <w:rFonts w:ascii="Times New Roman" w:hAnsi="Times New Roman" w:eastAsia="等线" w:cs="Times New Roman"/>
          <w:kern w:val="2"/>
          <w:sz w:val="22"/>
          <w:szCs w:val="22"/>
          <w:highlight w:val="none"/>
        </w:rPr>
        <w:t xml:space="preserve"> higher IL-1β during episodes predicted poorer euthymic Figure Delayed Memory performance (β = </w:t>
      </w:r>
      <w:r>
        <w:rPr>
          <w:rFonts w:hint="eastAsia" w:ascii="Times New Roman" w:hAnsi="Times New Roman" w:eastAsia="等线" w:cs="Times New Roman"/>
          <w:kern w:val="2"/>
          <w:sz w:val="22"/>
          <w:szCs w:val="22"/>
          <w:highlight w:val="none"/>
        </w:rPr>
        <w:t>-</w:t>
      </w:r>
      <w:r>
        <w:rPr>
          <w:rFonts w:ascii="Times New Roman" w:hAnsi="Times New Roman" w:eastAsia="等线" w:cs="Times New Roman"/>
          <w:kern w:val="2"/>
          <w:sz w:val="22"/>
          <w:szCs w:val="22"/>
          <w:highlight w:val="none"/>
        </w:rPr>
        <w:t>0.376, SE = 0.120, 95% CI [</w:t>
      </w:r>
      <w:r>
        <w:rPr>
          <w:rFonts w:hint="eastAsia" w:ascii="Times New Roman" w:hAnsi="Times New Roman" w:eastAsia="等线" w:cs="Times New Roman"/>
          <w:kern w:val="2"/>
          <w:sz w:val="22"/>
          <w:szCs w:val="22"/>
          <w:highlight w:val="none"/>
        </w:rPr>
        <w:t>-</w:t>
      </w:r>
      <w:r>
        <w:rPr>
          <w:rFonts w:ascii="Times New Roman" w:hAnsi="Times New Roman" w:eastAsia="等线" w:cs="Times New Roman"/>
          <w:kern w:val="2"/>
          <w:sz w:val="22"/>
          <w:szCs w:val="22"/>
          <w:highlight w:val="none"/>
        </w:rPr>
        <w:t xml:space="preserve">0.611, </w:t>
      </w:r>
      <w:r>
        <w:rPr>
          <w:rFonts w:hint="eastAsia" w:ascii="Times New Roman" w:hAnsi="Times New Roman" w:eastAsia="等线" w:cs="Times New Roman"/>
          <w:kern w:val="2"/>
          <w:sz w:val="22"/>
          <w:szCs w:val="22"/>
          <w:highlight w:val="none"/>
        </w:rPr>
        <w:t>-</w:t>
      </w:r>
      <w:r>
        <w:rPr>
          <w:rFonts w:ascii="Times New Roman" w:hAnsi="Times New Roman" w:eastAsia="等线" w:cs="Times New Roman"/>
          <w:kern w:val="2"/>
          <w:sz w:val="22"/>
          <w:szCs w:val="22"/>
          <w:highlight w:val="none"/>
        </w:rPr>
        <w:t>0.141], P = 0.00</w:t>
      </w:r>
      <w:r>
        <w:rPr>
          <w:rFonts w:hint="eastAsia" w:ascii="Times New Roman" w:hAnsi="Times New Roman" w:eastAsia="等线" w:cs="Times New Roman"/>
          <w:kern w:val="2"/>
          <w:sz w:val="22"/>
          <w:szCs w:val="22"/>
          <w:highlight w:val="none"/>
          <w:lang w:val="en-US" w:eastAsia="zh-CN"/>
        </w:rPr>
        <w:t>3)</w:t>
      </w:r>
      <w:r>
        <w:rPr>
          <w:rFonts w:hint="eastAsia" w:ascii="Times New Roman" w:hAnsi="Times New Roman" w:eastAsia="等线" w:cs="Times New Roman"/>
          <w:kern w:val="2"/>
          <w:sz w:val="22"/>
          <w:szCs w:val="22"/>
          <w:highlight w:val="none"/>
        </w:rPr>
        <w:t xml:space="preserve"> in a well-fitting</w:t>
      </w:r>
      <w:r>
        <w:rPr>
          <w:rFonts w:hint="eastAsia" w:eastAsia="等线" w:cs="Times New Roman"/>
          <w:kern w:val="2"/>
          <w:sz w:val="22"/>
          <w:szCs w:val="22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等线" w:cs="Times New Roman"/>
          <w:kern w:val="2"/>
          <w:sz w:val="22"/>
          <w:szCs w:val="22"/>
          <w:highlight w:val="none"/>
        </w:rPr>
        <w:t xml:space="preserve">model: </w:t>
      </w:r>
      <w:r>
        <w:rPr>
          <w:rFonts w:ascii="Times New Roman" w:hAnsi="Times New Roman" w:eastAsia="等线" w:cs="Times New Roman"/>
          <w:kern w:val="2"/>
          <w:sz w:val="22"/>
          <w:szCs w:val="22"/>
          <w:highlight w:val="none"/>
        </w:rPr>
        <w:t>χ²</w:t>
      </w:r>
      <w:r>
        <w:rPr>
          <w:rFonts w:hint="eastAsia" w:ascii="Times New Roman" w:hAnsi="Times New Roman" w:eastAsia="等线" w:cs="Times New Roman"/>
          <w:kern w:val="2"/>
          <w:sz w:val="22"/>
          <w:szCs w:val="22"/>
          <w:highlight w:val="none"/>
        </w:rPr>
        <w:t>(8) = 5.79, P = 0.671; CFI = 1.000, TLI = 1.608, RMSEA &lt; 0.001, SRMR = 0.054</w:t>
      </w:r>
      <w:r>
        <w:rPr>
          <w:rFonts w:hint="eastAsia" w:ascii="Times New Roman" w:hAnsi="Times New Roman" w:eastAsia="等线" w:cs="Times New Roman"/>
          <w:kern w:val="2"/>
          <w:sz w:val="22"/>
          <w:szCs w:val="22"/>
          <w:highlight w:val="none"/>
          <w:lang w:val="en-US" w:eastAsia="zh-CN"/>
        </w:rPr>
        <w:t xml:space="preserve"> (Supplementary Figure 1B)</w:t>
      </w:r>
      <w:r>
        <w:rPr>
          <w:rFonts w:ascii="Times New Roman" w:hAnsi="Times New Roman" w:eastAsia="等线" w:cs="Times New Roman"/>
          <w:kern w:val="2"/>
          <w:sz w:val="22"/>
          <w:szCs w:val="22"/>
          <w:highlight w:val="none"/>
        </w:rPr>
        <w:t>. Both associations remained significant after FDR correction, while all reverse pathways were non-significant</w:t>
      </w:r>
      <w:r>
        <w:rPr>
          <w:rFonts w:hint="eastAsia" w:ascii="Times New Roman" w:hAnsi="Times New Roman" w:eastAsia="等线" w:cs="Times New Roman"/>
          <w:kern w:val="2"/>
          <w:sz w:val="22"/>
          <w:szCs w:val="22"/>
          <w:highlight w:val="none"/>
        </w:rPr>
        <w:t xml:space="preserve"> </w:t>
      </w:r>
      <w:r>
        <w:rPr>
          <w:rFonts w:ascii="Times New Roman" w:hAnsi="Times New Roman" w:eastAsia="等线" w:cs="Times New Roman"/>
          <w:kern w:val="2"/>
          <w:sz w:val="22"/>
          <w:szCs w:val="22"/>
          <w:highlight w:val="none"/>
        </w:rPr>
        <w:t>(</w:t>
      </w:r>
      <w:r>
        <w:rPr>
          <w:rFonts w:hint="eastAsia" w:ascii="Times New Roman" w:hAnsi="Times New Roman" w:eastAsia="等线" w:cs="Times New Roman"/>
          <w:kern w:val="2"/>
          <w:sz w:val="22"/>
          <w:szCs w:val="22"/>
          <w:highlight w:val="none"/>
        </w:rPr>
        <w:t>all</w:t>
      </w:r>
      <w:r>
        <w:rPr>
          <w:rFonts w:ascii="Times New Roman" w:hAnsi="Times New Roman" w:eastAsia="等线" w:cs="Times New Roman"/>
          <w:kern w:val="2"/>
          <w:sz w:val="22"/>
          <w:szCs w:val="22"/>
          <w:highlight w:val="none"/>
        </w:rPr>
        <w:t> </w:t>
      </w:r>
      <w:r>
        <w:rPr>
          <w:rFonts w:ascii="Times New Roman" w:hAnsi="Times New Roman" w:eastAsia="等线" w:cs="Times New Roman"/>
          <w:i/>
          <w:iCs/>
          <w:kern w:val="2"/>
          <w:sz w:val="22"/>
          <w:szCs w:val="22"/>
          <w:highlight w:val="none"/>
        </w:rPr>
        <w:t>P</w:t>
      </w:r>
      <w:r>
        <w:rPr>
          <w:rFonts w:ascii="Times New Roman" w:hAnsi="Times New Roman" w:eastAsia="等线" w:cs="Times New Roman"/>
          <w:kern w:val="2"/>
          <w:sz w:val="22"/>
          <w:szCs w:val="22"/>
          <w:highlight w:val="none"/>
        </w:rPr>
        <w:t> &gt; 0.</w:t>
      </w:r>
      <w:r>
        <w:rPr>
          <w:rFonts w:hint="eastAsia" w:ascii="Times New Roman" w:hAnsi="Times New Roman" w:eastAsia="等线" w:cs="Times New Roman"/>
          <w:kern w:val="2"/>
          <w:sz w:val="22"/>
          <w:szCs w:val="22"/>
          <w:highlight w:val="none"/>
        </w:rPr>
        <w:t>0</w:t>
      </w:r>
      <w:r>
        <w:rPr>
          <w:rFonts w:ascii="Times New Roman" w:hAnsi="Times New Roman" w:eastAsia="等线" w:cs="Times New Roman"/>
          <w:kern w:val="2"/>
          <w:sz w:val="22"/>
          <w:szCs w:val="22"/>
          <w:highlight w:val="none"/>
        </w:rPr>
        <w:t>5).</w:t>
      </w:r>
    </w:p>
    <w:p w14:paraId="023AD725">
      <w:pPr>
        <w:spacing w:line="480" w:lineRule="auto"/>
        <w:jc w:val="center"/>
        <w:rPr>
          <w:sz w:val="22"/>
          <w:szCs w:val="22"/>
        </w:rPr>
      </w:pPr>
      <w:r>
        <w:rPr>
          <w:sz w:val="22"/>
          <w:szCs w:val="22"/>
        </w:rPr>
        <w:drawing>
          <wp:inline distT="0" distB="0" distL="114300" distR="114300">
            <wp:extent cx="5727700" cy="1431925"/>
            <wp:effectExtent l="0" t="0" r="635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43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24048A">
      <w:pPr>
        <w:spacing w:line="240" w:lineRule="auto"/>
        <w:jc w:val="center"/>
        <w:rPr>
          <w:rFonts w:ascii="Times New Roman" w:hAnsi="Times New Roman" w:eastAsia="等线" w:cs="Times New Roman"/>
          <w:b/>
          <w:bCs/>
          <w:kern w:val="2"/>
          <w:sz w:val="21"/>
          <w:szCs w:val="21"/>
          <w:highlight w:val="none"/>
        </w:rPr>
      </w:pPr>
      <w:r>
        <w:rPr>
          <w:rFonts w:ascii="Times New Roman" w:hAnsi="Times New Roman" w:eastAsia="等线" w:cs="Times New Roman"/>
          <w:b/>
          <w:bCs/>
          <w:kern w:val="2"/>
          <w:sz w:val="21"/>
          <w:szCs w:val="21"/>
          <w:highlight w:val="none"/>
        </w:rPr>
        <w:t>Supplementary</w:t>
      </w:r>
      <w:r>
        <w:rPr>
          <w:rFonts w:hint="eastAsia" w:eastAsia="等线" w:cs="Times New Roman"/>
          <w:b/>
          <w:bCs/>
          <w:kern w:val="2"/>
          <w:sz w:val="21"/>
          <w:szCs w:val="21"/>
          <w:highlight w:val="none"/>
          <w:lang w:val="en-US" w:eastAsia="zh-CN"/>
        </w:rPr>
        <w:t xml:space="preserve"> </w:t>
      </w:r>
      <w:r>
        <w:rPr>
          <w:rFonts w:ascii="Times New Roman" w:hAnsi="Times New Roman" w:eastAsia="等线" w:cs="Times New Roman"/>
          <w:b/>
          <w:bCs/>
          <w:kern w:val="2"/>
          <w:sz w:val="21"/>
          <w:szCs w:val="21"/>
          <w:highlight w:val="none"/>
        </w:rPr>
        <w:t xml:space="preserve">Figure </w:t>
      </w:r>
      <w:r>
        <w:rPr>
          <w:rFonts w:hint="eastAsia" w:eastAsia="等线" w:cs="Times New Roman"/>
          <w:b/>
          <w:bCs/>
          <w:kern w:val="2"/>
          <w:sz w:val="21"/>
          <w:szCs w:val="21"/>
          <w:highlight w:val="none"/>
          <w:lang w:val="en-US" w:eastAsia="zh-CN"/>
        </w:rPr>
        <w:t>1</w:t>
      </w:r>
      <w:r>
        <w:rPr>
          <w:rFonts w:ascii="Times New Roman" w:hAnsi="Times New Roman" w:eastAsia="等线" w:cs="Times New Roman"/>
          <w:b/>
          <w:bCs/>
          <w:kern w:val="2"/>
          <w:sz w:val="21"/>
          <w:szCs w:val="21"/>
          <w:highlight w:val="none"/>
        </w:rPr>
        <w:t xml:space="preserve">. Standardized path diagram of cross-lagged panel model between inflammation and neurocognition. </w:t>
      </w:r>
    </w:p>
    <w:p w14:paraId="798A91F0">
      <w:pPr>
        <w:spacing w:line="480" w:lineRule="auto"/>
        <w:jc w:val="center"/>
        <w:rPr>
          <w:rFonts w:hint="eastAsia"/>
          <w:sz w:val="22"/>
          <w:szCs w:val="22"/>
          <w:lang w:val="en-US" w:eastAsia="zh-CN"/>
        </w:rPr>
      </w:pPr>
      <w:r>
        <w:rPr>
          <w:rFonts w:ascii="Times New Roman" w:hAnsi="Times New Roman" w:eastAsia="等线" w:cs="Times New Roman"/>
          <w:i/>
          <w:iCs/>
          <w:kern w:val="2"/>
          <w:sz w:val="22"/>
          <w:szCs w:val="22"/>
          <w:highlight w:val="none"/>
        </w:rPr>
        <w:t>Note</w:t>
      </w:r>
      <w:r>
        <w:rPr>
          <w:rFonts w:ascii="Times New Roman" w:hAnsi="Times New Roman" w:eastAsia="等线" w:cs="Times New Roman"/>
          <w:kern w:val="2"/>
          <w:sz w:val="22"/>
          <w:szCs w:val="22"/>
          <w:highlight w:val="none"/>
        </w:rPr>
        <w:t>:</w:t>
      </w:r>
      <w:r>
        <w:rPr>
          <w:rFonts w:ascii="Times New Roman" w:hAnsi="Times New Roman" w:eastAsia="等线" w:cs="Times New Roman"/>
          <w:i/>
          <w:iCs/>
          <w:kern w:val="2"/>
          <w:sz w:val="22"/>
          <w:szCs w:val="22"/>
          <w:highlight w:val="none"/>
        </w:rPr>
        <w:t xml:space="preserve"> </w:t>
      </w:r>
      <w:r>
        <w:rPr>
          <w:rFonts w:ascii="Times New Roman" w:hAnsi="Times New Roman" w:eastAsia="等线" w:cs="Times New Roman"/>
          <w:kern w:val="2"/>
          <w:sz w:val="22"/>
          <w:szCs w:val="22"/>
          <w:highlight w:val="none"/>
        </w:rPr>
        <w:t>T1, at baseline; T2, at follow-up; VFT, Verbal Fluency Test</w:t>
      </w:r>
      <w:r>
        <w:rPr>
          <w:rFonts w:ascii="Times New Roman" w:hAnsi="Times New Roman" w:eastAsia="等线" w:cs="Times New Roman"/>
          <w:kern w:val="0"/>
          <w:sz w:val="22"/>
          <w:szCs w:val="22"/>
          <w:highlight w:val="none"/>
        </w:rPr>
        <w:t xml:space="preserve">. Single-headed arrows = regressions (freely estimated regression weight), double-headed arrows = correlations or covariances; Solid lines = significant paths, and dotted line = non-significant paths. To simplify the representation of the model, control variables (sex, age, BMI, </w:t>
      </w:r>
      <w:r>
        <w:rPr>
          <w:rFonts w:hint="eastAsia" w:eastAsia="等线" w:cs="Times New Roman"/>
          <w:kern w:val="0"/>
          <w:sz w:val="22"/>
          <w:szCs w:val="22"/>
          <w:highlight w:val="none"/>
          <w:lang w:val="en-US" w:eastAsia="zh-CN"/>
        </w:rPr>
        <w:t xml:space="preserve">and </w:t>
      </w:r>
      <w:r>
        <w:rPr>
          <w:rFonts w:ascii="Times New Roman" w:hAnsi="Times New Roman" w:eastAsia="等线" w:cs="Times New Roman"/>
          <w:kern w:val="0"/>
          <w:sz w:val="22"/>
          <w:szCs w:val="22"/>
          <w:highlight w:val="none"/>
        </w:rPr>
        <w:t>educational years) and error terms are not shown. *</w:t>
      </w:r>
      <w:r>
        <w:rPr>
          <w:rFonts w:ascii="Times New Roman" w:hAnsi="Times New Roman" w:eastAsia="等线" w:cs="Times New Roman"/>
          <w:i/>
          <w:iCs/>
          <w:kern w:val="0"/>
          <w:sz w:val="22"/>
          <w:szCs w:val="22"/>
          <w:highlight w:val="none"/>
        </w:rPr>
        <w:t>P</w:t>
      </w:r>
      <w:r>
        <w:rPr>
          <w:rFonts w:ascii="Times New Roman" w:hAnsi="Times New Roman" w:eastAsia="等线" w:cs="Times New Roman"/>
          <w:kern w:val="0"/>
          <w:sz w:val="22"/>
          <w:szCs w:val="22"/>
          <w:highlight w:val="none"/>
        </w:rPr>
        <w:t xml:space="preserve"> &lt; 0.05, **</w:t>
      </w:r>
      <w:r>
        <w:rPr>
          <w:rFonts w:ascii="Times New Roman" w:hAnsi="Times New Roman" w:eastAsia="等线" w:cs="Times New Roman"/>
          <w:i/>
          <w:iCs/>
          <w:kern w:val="0"/>
          <w:sz w:val="22"/>
          <w:szCs w:val="22"/>
          <w:highlight w:val="none"/>
        </w:rPr>
        <w:t xml:space="preserve">P </w:t>
      </w:r>
      <w:r>
        <w:rPr>
          <w:rFonts w:ascii="Times New Roman" w:hAnsi="Times New Roman" w:eastAsia="等线" w:cs="Times New Roman"/>
          <w:kern w:val="0"/>
          <w:sz w:val="22"/>
          <w:szCs w:val="22"/>
          <w:highlight w:val="none"/>
        </w:rPr>
        <w:t>&lt; 0.01, ***</w:t>
      </w:r>
      <w:r>
        <w:rPr>
          <w:rFonts w:ascii="Times New Roman" w:hAnsi="Times New Roman" w:eastAsia="等线" w:cs="Times New Roman"/>
          <w:i/>
          <w:iCs/>
          <w:kern w:val="0"/>
          <w:sz w:val="22"/>
          <w:szCs w:val="22"/>
          <w:highlight w:val="none"/>
        </w:rPr>
        <w:t>P</w:t>
      </w:r>
      <w:r>
        <w:rPr>
          <w:rFonts w:ascii="Times New Roman" w:hAnsi="Times New Roman" w:eastAsia="等线" w:cs="Times New Roman"/>
          <w:kern w:val="0"/>
          <w:sz w:val="22"/>
          <w:szCs w:val="22"/>
          <w:highlight w:val="none"/>
        </w:rPr>
        <w:t xml:space="preserve"> &lt; 0.001.</w:t>
      </w:r>
    </w:p>
    <w:sectPr>
      <w:pgSz w:w="11906" w:h="16838"/>
      <w:pgMar w:top="1440" w:right="1440" w:bottom="144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lnNumType w:countBy="0"/>
      <w:pgNumType w:fmt="decimal"/>
      <w:cols w:space="0" w:num="1"/>
      <w:rtlGutter w:val="0"/>
      <w:docGrid w:type="lines" w:linePitch="312" w:charSpace="0"/>
      <mc:AlternateContent>
        <mc:Choice Requires="wpsCustomData">
          <wpsCustomData:blankLineNoLineNum/>
        </mc:Choice>
      </mc:AlternateContent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2E5786F"/>
    <w:multiLevelType w:val="multilevel"/>
    <w:tmpl w:val="B2E5786F"/>
    <w:lvl w:ilvl="0" w:tentative="0">
      <w:start w:val="19"/>
      <w:numFmt w:val="upperLetter"/>
      <w:suff w:val="space"/>
      <w:lvlText w:val="%1."/>
      <w:lvlJc w:val="left"/>
      <w:pPr>
        <w:ind w:left="0" w:firstLine="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E0A8D257"/>
    <w:multiLevelType w:val="singleLevel"/>
    <w:tmpl w:val="E0A8D257"/>
    <w:lvl w:ilvl="0" w:tentative="0">
      <w:start w:val="5"/>
      <w:numFmt w:val="upperLetter"/>
      <w:suff w:val="space"/>
      <w:lvlText w:val="%1."/>
      <w:lvlJc w:val="left"/>
    </w:lvl>
  </w:abstractNum>
  <w:abstractNum w:abstractNumId="2">
    <w:nsid w:val="45AA0A6A"/>
    <w:multiLevelType w:val="singleLevel"/>
    <w:tmpl w:val="45AA0A6A"/>
    <w:lvl w:ilvl="0" w:tentative="0">
      <w:start w:val="19"/>
      <w:numFmt w:val="upperLetter"/>
      <w:suff w:val="space"/>
      <w:lvlText w:val="%1.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A6244D"/>
    <w:rsid w:val="027125E7"/>
    <w:rsid w:val="03103E3E"/>
    <w:rsid w:val="04DE5F56"/>
    <w:rsid w:val="04F35535"/>
    <w:rsid w:val="04F55751"/>
    <w:rsid w:val="07C86BDA"/>
    <w:rsid w:val="0B4E7692"/>
    <w:rsid w:val="0F3A12E8"/>
    <w:rsid w:val="10134CDE"/>
    <w:rsid w:val="10693684"/>
    <w:rsid w:val="10AE2011"/>
    <w:rsid w:val="10B56D92"/>
    <w:rsid w:val="113F50B7"/>
    <w:rsid w:val="13641A07"/>
    <w:rsid w:val="1706559C"/>
    <w:rsid w:val="17EB3415"/>
    <w:rsid w:val="18137F71"/>
    <w:rsid w:val="1BC51582"/>
    <w:rsid w:val="1C5F1840"/>
    <w:rsid w:val="1E92159A"/>
    <w:rsid w:val="1FA12306"/>
    <w:rsid w:val="20BF0821"/>
    <w:rsid w:val="214032A2"/>
    <w:rsid w:val="23C87E61"/>
    <w:rsid w:val="23E579D0"/>
    <w:rsid w:val="25A93CC2"/>
    <w:rsid w:val="27435A51"/>
    <w:rsid w:val="27A40BE5"/>
    <w:rsid w:val="28904CC6"/>
    <w:rsid w:val="29422464"/>
    <w:rsid w:val="2A3F69A3"/>
    <w:rsid w:val="2B8F5708"/>
    <w:rsid w:val="2BAD264D"/>
    <w:rsid w:val="2C4C35F9"/>
    <w:rsid w:val="2CE04D3C"/>
    <w:rsid w:val="2EB920E7"/>
    <w:rsid w:val="2F912348"/>
    <w:rsid w:val="2FC05867"/>
    <w:rsid w:val="30DE2356"/>
    <w:rsid w:val="345968B4"/>
    <w:rsid w:val="354362C5"/>
    <w:rsid w:val="36922B60"/>
    <w:rsid w:val="376F7A7E"/>
    <w:rsid w:val="38C42E95"/>
    <w:rsid w:val="39761CB6"/>
    <w:rsid w:val="3A804B9A"/>
    <w:rsid w:val="3BA90120"/>
    <w:rsid w:val="3C625FCE"/>
    <w:rsid w:val="3C6C58B6"/>
    <w:rsid w:val="3E686071"/>
    <w:rsid w:val="3E720CBE"/>
    <w:rsid w:val="3ED01E68"/>
    <w:rsid w:val="3EE2267C"/>
    <w:rsid w:val="407857B3"/>
    <w:rsid w:val="40B90E06"/>
    <w:rsid w:val="40C32EBD"/>
    <w:rsid w:val="40CF0629"/>
    <w:rsid w:val="422C3859"/>
    <w:rsid w:val="43843A68"/>
    <w:rsid w:val="43E22422"/>
    <w:rsid w:val="43EC14F2"/>
    <w:rsid w:val="442073EE"/>
    <w:rsid w:val="45D73ADC"/>
    <w:rsid w:val="467D0B27"/>
    <w:rsid w:val="468F1F6A"/>
    <w:rsid w:val="46C63E9C"/>
    <w:rsid w:val="47AF4D11"/>
    <w:rsid w:val="4A934476"/>
    <w:rsid w:val="4C8F3363"/>
    <w:rsid w:val="4DA93FB0"/>
    <w:rsid w:val="526026CE"/>
    <w:rsid w:val="52CD0741"/>
    <w:rsid w:val="54C85664"/>
    <w:rsid w:val="54DB5397"/>
    <w:rsid w:val="55164621"/>
    <w:rsid w:val="558C3864"/>
    <w:rsid w:val="55A0038E"/>
    <w:rsid w:val="564E1B99"/>
    <w:rsid w:val="57E83927"/>
    <w:rsid w:val="58354DBE"/>
    <w:rsid w:val="58C6010C"/>
    <w:rsid w:val="59473A10"/>
    <w:rsid w:val="5966544B"/>
    <w:rsid w:val="59C12681"/>
    <w:rsid w:val="59D06015"/>
    <w:rsid w:val="5AFB1F3C"/>
    <w:rsid w:val="5B412CC6"/>
    <w:rsid w:val="5E5D4831"/>
    <w:rsid w:val="61C86CA3"/>
    <w:rsid w:val="61DF3FED"/>
    <w:rsid w:val="621A4DB8"/>
    <w:rsid w:val="6230300B"/>
    <w:rsid w:val="644F0FB6"/>
    <w:rsid w:val="65655225"/>
    <w:rsid w:val="67A21D44"/>
    <w:rsid w:val="69252C2D"/>
    <w:rsid w:val="69A2427D"/>
    <w:rsid w:val="69A43B52"/>
    <w:rsid w:val="69E71C90"/>
    <w:rsid w:val="69FA5E67"/>
    <w:rsid w:val="6BD91127"/>
    <w:rsid w:val="6C1C72EC"/>
    <w:rsid w:val="6D785A21"/>
    <w:rsid w:val="6EBE5AE7"/>
    <w:rsid w:val="6F5A247C"/>
    <w:rsid w:val="70C1323B"/>
    <w:rsid w:val="71047B41"/>
    <w:rsid w:val="717F6C52"/>
    <w:rsid w:val="74732A9E"/>
    <w:rsid w:val="74A77834"/>
    <w:rsid w:val="74E4399C"/>
    <w:rsid w:val="75AD0232"/>
    <w:rsid w:val="76510DDE"/>
    <w:rsid w:val="76B86E8E"/>
    <w:rsid w:val="773C186D"/>
    <w:rsid w:val="7798281C"/>
    <w:rsid w:val="79030169"/>
    <w:rsid w:val="798B0086"/>
    <w:rsid w:val="79F35732"/>
    <w:rsid w:val="7D43322A"/>
    <w:rsid w:val="7E452A8E"/>
    <w:rsid w:val="7E885398"/>
    <w:rsid w:val="7EBE700C"/>
    <w:rsid w:val="7EE65E41"/>
    <w:rsid w:val="7F967F89"/>
    <w:rsid w:val="7FE87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0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19表题"/>
    <w:autoRedefine/>
    <w:qFormat/>
    <w:uiPriority w:val="0"/>
    <w:pPr>
      <w:adjustRightInd w:val="0"/>
      <w:snapToGrid w:val="0"/>
      <w:spacing w:line="360" w:lineRule="auto"/>
      <w:jc w:val="center"/>
    </w:pPr>
    <w:rPr>
      <w:rFonts w:ascii="Times New Roman" w:hAnsi="Times New Roman" w:eastAsia="微软雅黑" w:cstheme="minorBidi"/>
      <w:b/>
      <w:sz w:val="21"/>
      <w:lang w:val="en-US" w:eastAsia="zh-CN" w:bidi="ar-SA"/>
    </w:rPr>
  </w:style>
  <w:style w:type="paragraph" w:customStyle="1" w:styleId="5">
    <w:name w:val="11图题"/>
    <w:autoRedefine/>
    <w:qFormat/>
    <w:uiPriority w:val="0"/>
    <w:pPr>
      <w:adjustRightInd w:val="0"/>
      <w:snapToGrid w:val="0"/>
      <w:spacing w:line="360" w:lineRule="auto"/>
      <w:jc w:val="center"/>
    </w:pPr>
    <w:rPr>
      <w:rFonts w:ascii="Times New Roman" w:hAnsi="Times New Roman" w:eastAsia="微软雅黑" w:cstheme="minorBidi"/>
      <w:b/>
      <w:sz w:val="21"/>
      <w:lang w:val="en-US" w:eastAsia="zh-CN" w:bidi="ar-SA"/>
    </w:rPr>
  </w:style>
  <w:style w:type="paragraph" w:customStyle="1" w:styleId="6">
    <w:name w:val="10四级标题"/>
    <w:autoRedefine/>
    <w:qFormat/>
    <w:uiPriority w:val="0"/>
    <w:pPr>
      <w:adjustRightInd w:val="0"/>
      <w:snapToGrid w:val="0"/>
      <w:spacing w:line="360" w:lineRule="auto"/>
      <w:jc w:val="left"/>
    </w:pPr>
    <w:rPr>
      <w:rFonts w:ascii="Times New Roman" w:hAnsi="Times New Roman" w:eastAsia="微软雅黑" w:cstheme="minorBidi"/>
      <w:sz w:val="24"/>
      <w:lang w:val="en-US" w:eastAsia="zh-CN" w:bidi="ar-SA"/>
    </w:rPr>
  </w:style>
  <w:style w:type="paragraph" w:customStyle="1" w:styleId="7">
    <w:name w:val="9三级标题"/>
    <w:autoRedefine/>
    <w:qFormat/>
    <w:uiPriority w:val="0"/>
    <w:pPr>
      <w:adjustRightInd w:val="0"/>
      <w:snapToGrid w:val="0"/>
      <w:spacing w:line="360" w:lineRule="auto"/>
      <w:jc w:val="left"/>
    </w:pPr>
    <w:rPr>
      <w:rFonts w:ascii="Times New Roman" w:hAnsi="Times New Roman" w:eastAsia="微软雅黑" w:cstheme="minorBidi"/>
      <w:b/>
      <w:sz w:val="24"/>
      <w:lang w:val="en-US" w:eastAsia="zh-CN" w:bidi="ar-SA"/>
    </w:rPr>
  </w:style>
  <w:style w:type="paragraph" w:customStyle="1" w:styleId="8">
    <w:name w:val="8二级标题"/>
    <w:autoRedefine/>
    <w:qFormat/>
    <w:uiPriority w:val="0"/>
    <w:pPr>
      <w:adjustRightInd w:val="0"/>
      <w:snapToGrid w:val="0"/>
      <w:spacing w:line="360" w:lineRule="auto"/>
      <w:jc w:val="left"/>
    </w:pPr>
    <w:rPr>
      <w:rFonts w:ascii="Times New Roman" w:hAnsi="Times New Roman" w:eastAsia="微软雅黑" w:cstheme="minorBidi"/>
      <w:b/>
      <w:sz w:val="28"/>
      <w:lang w:val="en-US" w:eastAsia="zh-CN" w:bidi="ar-SA"/>
    </w:rPr>
  </w:style>
  <w:style w:type="paragraph" w:customStyle="1" w:styleId="9">
    <w:name w:val="7一级标题"/>
    <w:next w:val="1"/>
    <w:autoRedefine/>
    <w:qFormat/>
    <w:uiPriority w:val="0"/>
    <w:pPr>
      <w:adjustRightInd w:val="0"/>
      <w:snapToGrid w:val="0"/>
      <w:spacing w:line="360" w:lineRule="auto"/>
      <w:jc w:val="center"/>
    </w:pPr>
    <w:rPr>
      <w:rFonts w:ascii="Times New Roman" w:hAnsi="Times New Roman" w:eastAsia="微软雅黑" w:cstheme="minorBidi"/>
      <w:b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835</Words>
  <Characters>4777</Characters>
  <Lines>1</Lines>
  <Paragraphs>1</Paragraphs>
  <TotalTime>4</TotalTime>
  <ScaleCrop>false</ScaleCrop>
  <LinksUpToDate>false</LinksUpToDate>
  <CharactersWithSpaces>5430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2025-01-26T08:22:00Z</dcterms:created>
  <dc:creator>小聋瞎</dc:creator>
  <cp:lastModifiedBy>小聋瞎</cp:lastModifiedBy>
  <dcterms:modified xsi:type="dcterms:W3CDTF">2026-08-21T08:31:28Z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710A431F4B5A4BEE8ED438733BF8F278_13</vt:lpwstr>
  </property>
  <property fmtid="{D5CDD505-2E9C-101B-9397-08002B2CF9AE}" pid="4" name="KSOTemplateDocerSaveRecord">
    <vt:lpwstr>eyJoZGlkIjoiZThmNjAzMWJlZjFkMmQwODUwMTJkYzE2ODFiYmFmYTciLCJ1c2VySWQiOiI0Nzk5NDgzMzAifQ==</vt:lpwstr>
  </property>
</Properties>
</file>