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5FE11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3" w:name="_GoBack"/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Supplementary Table</w:t>
      </w:r>
      <w:bookmarkEnd w:id="3"/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 xml:space="preserve"> S1.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Final combined model coefficients</w:t>
      </w:r>
    </w:p>
    <w:tbl>
      <w:tblPr>
        <w:tblStyle w:val="3"/>
        <w:tblW w:w="9498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448"/>
        <w:gridCol w:w="1418"/>
        <w:gridCol w:w="1282"/>
        <w:gridCol w:w="1553"/>
        <w:gridCol w:w="1559"/>
      </w:tblGrid>
      <w:tr w14:paraId="2483E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27FF60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Variable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7BD9F0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β coefficient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99CBA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6CD543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E7F0E8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0FBD54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P value</w:t>
            </w:r>
          </w:p>
        </w:tc>
      </w:tr>
      <w:tr w14:paraId="365AF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014E39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Intercept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CC57F3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3.534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972CC0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1.525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70BEE6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F05701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69164C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0.020</w:t>
            </w:r>
          </w:p>
        </w:tc>
      </w:tr>
      <w:tr w14:paraId="15677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0EE243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Tumor size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E4ED57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−0.582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2BC945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0.347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F086D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0.559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5A06C4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0.283–1.100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178F90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0.094</w:t>
            </w:r>
          </w:p>
        </w:tc>
      </w:tr>
      <w:tr w14:paraId="0204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FCB665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Clinical N stage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6CD12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−0.563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2D5959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0.405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4B345C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0.570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FAEEE5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0.258–1.260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CC4DA4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0.165</w:t>
            </w:r>
          </w:p>
        </w:tc>
      </w:tr>
      <w:tr w14:paraId="35A40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5B2633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HER2-positive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385827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3.142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BF5C91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0.771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A40F36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23.154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E6B54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5.109–104.920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EFFEC2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4514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AB90D5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dFF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B64C1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−0.174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B5EE73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0.060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9E598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0.841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F167E8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0.747–0.946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4EA908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0.004</w:t>
            </w:r>
          </w:p>
        </w:tc>
      </w:tr>
    </w:tbl>
    <w:p w14:paraId="54A424E6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Model equation: logit(pCR) = 3.534 − 0.582 × tumor size − 0.563 × clinical N stage + 3.142 × HER2 − 0.174 × dFF </w:t>
      </w:r>
    </w:p>
    <w:p w14:paraId="52400FEB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>Tumor size and dFF were entered as continuous variables. Clinical N stage was entered as an ordinal variable. HER2 status was coded as 0 for negative and 1 for positive.</w:t>
      </w:r>
    </w:p>
    <w:p w14:paraId="1EFA3159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>*The model equation is reported to improve transparency and reproducibility; it should not be interpreted as a clinically validated prediction calculator because the model has not undergone external validation.</w:t>
      </w:r>
    </w:p>
    <w:p w14:paraId="623D9438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  <w:bookmarkStart w:id="0" w:name="OLE_LINK23"/>
      <w:bookmarkStart w:id="1" w:name="OLE_LINK34"/>
    </w:p>
    <w:p w14:paraId="46E580F7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1EE4443B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77F7154F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48A30595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6C85C517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6147A594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271F9310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5309C71E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Supplementary Table S2.</w:t>
      </w:r>
      <w:bookmarkEnd w:id="0"/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Bootstrap internal validation of the combined model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270B3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369F01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Metric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625896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Apparent value</w:t>
            </w:r>
          </w:p>
        </w:tc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07DEACA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Optimism-corrected value</w:t>
            </w:r>
          </w:p>
        </w:tc>
      </w:tr>
      <w:tr w14:paraId="64FF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EFDE7E9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AUC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E37BCC8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0.911</w:t>
            </w:r>
          </w:p>
        </w:tc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DAB574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0.890</w:t>
            </w:r>
          </w:p>
        </w:tc>
      </w:tr>
      <w:tr w14:paraId="4F3F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094300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Brier score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5BA78C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0.115</w:t>
            </w:r>
          </w:p>
        </w:tc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FD2634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0.140</w:t>
            </w:r>
          </w:p>
        </w:tc>
      </w:tr>
      <w:tr w14:paraId="03F67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B14AC12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Calibration intercept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1867DB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0.000</w:t>
            </w:r>
          </w:p>
        </w:tc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DC01756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0.052</w:t>
            </w:r>
          </w:p>
        </w:tc>
      </w:tr>
      <w:tr w14:paraId="7E65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F7432B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Calibration slope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D76018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1.000</w:t>
            </w:r>
          </w:p>
        </w:tc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968AB5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0.824</w:t>
            </w:r>
          </w:p>
        </w:tc>
      </w:tr>
    </w:tbl>
    <w:p w14:paraId="2FA69D67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Bootstrap internal validation was performed using 1,000 resampling iterations. A total of 996 bootstrap samples were successfully fitted. A calibration intercept closer to 0 and a calibration slope closer to 1 indicate better calibration.</w:t>
      </w:r>
    </w:p>
    <w:bookmarkEnd w:id="1"/>
    <w:p w14:paraId="3184DE79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2" w:name="OLE_LINK33"/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Supplementary Table S3.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Sensitivity analyses accounting for treatment heterogeneity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843"/>
        <w:gridCol w:w="1843"/>
        <w:gridCol w:w="1761"/>
      </w:tblGrid>
      <w:tr w14:paraId="3965E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6B6F79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Analysis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DDDBE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dFF OR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01767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1D91E5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value</w:t>
            </w:r>
          </w:p>
        </w:tc>
      </w:tr>
      <w:tr w14:paraId="1C4F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D41A12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Base combined model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EF9788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0.841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B7D99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0.747–0.946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3A589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0.004</w:t>
            </w:r>
          </w:p>
        </w:tc>
      </w:tr>
      <w:tr w14:paraId="2560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E7273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Combined model + targeted regimen exposure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665A93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0.831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180C3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0.734–0.940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CC3948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0.003</w:t>
            </w:r>
          </w:p>
        </w:tc>
      </w:tr>
      <w:tr w14:paraId="6D4FA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15AD2E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Combined model + NAC regimen category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2BCA02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0.836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289322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0.723–0.968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21C31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0.016</w:t>
            </w:r>
          </w:p>
        </w:tc>
      </w:tr>
      <w:tr w14:paraId="03726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DAE8C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HER2-positive subgroup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EF3521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0.836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89016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0.706–0.991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A62E9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0.039</w:t>
            </w:r>
          </w:p>
        </w:tc>
      </w:tr>
      <w:tr w14:paraId="22D8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A6A81E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HER2-negative subgroup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9B79C4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0.851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0C63DC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0.723–1.002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22AEF9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0.053</w:t>
            </w:r>
          </w:p>
        </w:tc>
      </w:tr>
      <w:bookmarkEnd w:id="2"/>
    </w:tbl>
    <w:p w14:paraId="6DA9CC9B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C44F917">
      <w:pPr>
        <w:keepNext w:val="0"/>
        <w:keepLines w:val="0"/>
        <w:widowControl w:val="0"/>
        <w:suppressLineNumbers w:val="0"/>
        <w:spacing w:before="240" w:beforeAutospacing="0" w:after="240" w:afterAutospacing="0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 xml:space="preserve">Supplementary Table S4. 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Observed pCR rates across Model 3 risk groups</w:t>
      </w:r>
    </w:p>
    <w:tbl>
      <w:tblPr>
        <w:tblStyle w:val="3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269"/>
        <w:gridCol w:w="1560"/>
        <w:gridCol w:w="1559"/>
        <w:gridCol w:w="2126"/>
      </w:tblGrid>
      <w:tr w14:paraId="34758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7A99782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Risk group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BC5C74A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Predicted probability range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DEAD0D0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No. of patients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06E4713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No. with pCR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C667549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Observed pCR rate</w:t>
            </w:r>
          </w:p>
        </w:tc>
      </w:tr>
      <w:tr w14:paraId="2608B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1C8E158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Low probability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FC65186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&lt;20%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796CA50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38EAF1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33720B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6.7%</w:t>
            </w:r>
          </w:p>
        </w:tc>
      </w:tr>
      <w:tr w14:paraId="6EC8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048128D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Intermediate probability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06E6C5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20%–50%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CEFEE92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64F6E34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C36DC2A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27.8%</w:t>
            </w:r>
          </w:p>
        </w:tc>
      </w:tr>
      <w:tr w14:paraId="1BE2E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A791987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High probability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8D67DE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&gt;50%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F04C1BF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5017BEB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1C572AC">
            <w:pPr>
              <w:keepNext w:val="0"/>
              <w:keepLines w:val="0"/>
              <w:widowControl w:val="0"/>
              <w:suppressLineNumbers w:val="0"/>
              <w:spacing w:before="240" w:beforeAutospacing="0" w:after="24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2"/>
                <w:szCs w:val="22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90.0%</w:t>
            </w:r>
          </w:p>
        </w:tc>
      </w:tr>
    </w:tbl>
    <w:p w14:paraId="672CAC59"/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C6670"/>
    <w:rsid w:val="21EC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2026-08-13T14:24:00Z</dcterms:created>
  <dc:creator>暖暖</dc:creator>
  <cp:lastModifiedBy>暖暖</cp:lastModifiedBy>
  <dcterms:modified xsi:type="dcterms:W3CDTF">2026-08-13T14:25:12Z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48CE2863DAEF44A1821E2DF4699D1687_11</vt:lpwstr>
  </property>
  <property fmtid="{D5CDD505-2E9C-101B-9397-08002B2CF9AE}" pid="4" name="KSOTemplateDocerSaveRecord">
    <vt:lpwstr>eyJoZGlkIjoiNGI5NjI0YTM3ZmNlMzRmYTA4YWQyNTIwMmUxZTQ1MmMiLCJ1c2VySWQiOiI0OTk4MzczMTQifQ==</vt:lpwstr>
  </property>
</Properties>
</file>