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00" w:type="dxa"/>
        <w:tblInd w:w="-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"/>
        <w:gridCol w:w="1817"/>
        <w:gridCol w:w="1626"/>
        <w:gridCol w:w="871"/>
        <w:gridCol w:w="233"/>
        <w:gridCol w:w="1392"/>
        <w:gridCol w:w="833"/>
        <w:gridCol w:w="133"/>
        <w:gridCol w:w="1645"/>
        <w:gridCol w:w="522"/>
        <w:gridCol w:w="328"/>
      </w:tblGrid>
      <w:tr w14:paraId="1061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0" w:type="dxa"/>
          <w:wAfter w:w="328" w:type="dxa"/>
        </w:trPr>
        <w:tc>
          <w:tcPr>
            <w:tcW w:w="9072" w:type="dxa"/>
            <w:gridSpan w:val="9"/>
            <w:tcBorders>
              <w:top w:val="nil"/>
              <w:left w:val="nil"/>
              <w:right w:val="nil"/>
            </w:tcBorders>
          </w:tcPr>
          <w:p w14:paraId="3158497A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Supplementary Table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AdvOT863180fb" w:cs="Times New Roman"/>
                <w:color w:val="000000" w:themeColor="text1"/>
                <w:kern w:val="0"/>
                <w:sz w:val="20"/>
                <w:szCs w:val="20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Association of albumin with all-cause and cause-specific mortality in adults with depression in unweighted model.</w:t>
            </w:r>
          </w:p>
        </w:tc>
      </w:tr>
      <w:tr w14:paraId="16AAC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vMerge w:val="restart"/>
            <w:tcBorders>
              <w:left w:val="nil"/>
              <w:right w:val="nil"/>
            </w:tcBorders>
          </w:tcPr>
          <w:p w14:paraId="73DC61F9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0" w:type="dxa"/>
            <w:gridSpan w:val="3"/>
            <w:tcBorders>
              <w:left w:val="nil"/>
              <w:right w:val="nil"/>
            </w:tcBorders>
            <w:vAlign w:val="top"/>
          </w:tcPr>
          <w:p w14:paraId="0876AA1B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 1</w:t>
            </w:r>
          </w:p>
        </w:tc>
        <w:tc>
          <w:tcPr>
            <w:tcW w:w="2225" w:type="dxa"/>
            <w:gridSpan w:val="2"/>
            <w:tcBorders>
              <w:left w:val="nil"/>
              <w:right w:val="nil"/>
            </w:tcBorders>
            <w:vAlign w:val="top"/>
          </w:tcPr>
          <w:p w14:paraId="38F88DC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 2</w:t>
            </w:r>
          </w:p>
        </w:tc>
        <w:tc>
          <w:tcPr>
            <w:tcW w:w="2628" w:type="dxa"/>
            <w:gridSpan w:val="4"/>
            <w:tcBorders>
              <w:left w:val="nil"/>
              <w:right w:val="nil"/>
            </w:tcBorders>
            <w:vAlign w:val="top"/>
          </w:tcPr>
          <w:p w14:paraId="4F0EFBE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 3</w:t>
            </w:r>
          </w:p>
        </w:tc>
      </w:tr>
      <w:tr w14:paraId="5468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917" w:type="dxa"/>
            <w:gridSpan w:val="2"/>
            <w:vMerge w:val="continue"/>
            <w:tcBorders>
              <w:left w:val="nil"/>
              <w:right w:val="nil"/>
            </w:tcBorders>
          </w:tcPr>
          <w:p w14:paraId="76A43FC1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6" w:type="dxa"/>
            <w:tcBorders>
              <w:left w:val="nil"/>
              <w:right w:val="nil"/>
            </w:tcBorders>
            <w:vAlign w:val="top"/>
          </w:tcPr>
          <w:p w14:paraId="03D8023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HR(95CI%)</w:t>
            </w:r>
          </w:p>
        </w:tc>
        <w:tc>
          <w:tcPr>
            <w:tcW w:w="1104" w:type="dxa"/>
            <w:gridSpan w:val="2"/>
            <w:tcBorders>
              <w:left w:val="nil"/>
              <w:right w:val="nil"/>
            </w:tcBorders>
            <w:vAlign w:val="top"/>
          </w:tcPr>
          <w:p w14:paraId="6B9A9F65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392" w:type="dxa"/>
            <w:tcBorders>
              <w:left w:val="nil"/>
              <w:right w:val="nil"/>
            </w:tcBorders>
            <w:vAlign w:val="top"/>
          </w:tcPr>
          <w:p w14:paraId="11824C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HR(95CI%)</w:t>
            </w:r>
          </w:p>
        </w:tc>
        <w:tc>
          <w:tcPr>
            <w:tcW w:w="966" w:type="dxa"/>
            <w:gridSpan w:val="2"/>
            <w:tcBorders>
              <w:left w:val="nil"/>
              <w:right w:val="nil"/>
            </w:tcBorders>
            <w:vAlign w:val="top"/>
          </w:tcPr>
          <w:p w14:paraId="083F68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645" w:type="dxa"/>
            <w:tcBorders>
              <w:left w:val="nil"/>
              <w:right w:val="nil"/>
            </w:tcBorders>
            <w:vAlign w:val="top"/>
          </w:tcPr>
          <w:p w14:paraId="537B84A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HR(95CI%)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top"/>
          </w:tcPr>
          <w:p w14:paraId="413C69A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 w14:paraId="1483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17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5C0E1771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All-cause mortality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vAlign w:val="top"/>
          </w:tcPr>
          <w:p w14:paraId="2C8CCEB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vAlign w:val="top"/>
          </w:tcPr>
          <w:p w14:paraId="5342C3F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3489648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66FC9A9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left w:val="nil"/>
              <w:bottom w:val="nil"/>
              <w:right w:val="nil"/>
            </w:tcBorders>
            <w:vAlign w:val="top"/>
          </w:tcPr>
          <w:p w14:paraId="756A038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  <w:vAlign w:val="top"/>
          </w:tcPr>
          <w:p w14:paraId="4B23408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36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692591A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Per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increment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76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0.33(0.24,0.44)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9F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E65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0.46(0.34,0.62)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EF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0D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0.44(0.32,0.60)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4E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E4BD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0C4BEF5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Quartile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7245D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D0F90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A617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50208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9E9C2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6615B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1C2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1BF5FA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2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0A6B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9E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FF4D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93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11F9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40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9A99701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8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0.60(0.46,0.78)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A2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92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0.60(0.46,0.79)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D3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F3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0.59(0.45,0.78)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D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ED7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3BDEC0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0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0.44(0.31,0.62)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56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D5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0.53(0.37,0.75)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20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D0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0.51(0.35,0.73)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1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04DC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2FDDBA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CB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0.44(0.31,0.63)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27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1B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0.59(0.41,0.84)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6F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DC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0.56(0.39,0.82)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DB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</w:tr>
      <w:tr w14:paraId="79D7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70397EB">
            <w:pPr>
              <w:rPr>
                <w:rFonts w:hint="default" w:ascii="Times New Roman" w:hAnsi="Times New Roman" w:cs="Times New Roman" w:eastAsiaTheme="minorEastAsia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for trend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1C9F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E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A780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F2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9A83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E7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3F0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C62A0D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CVD mortality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A7C2D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F31EC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66ED8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060DB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22E14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F34E7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E61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E6816A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Per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increment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50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0.32(0.17,0.59)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FE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81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0.51(0.26,0.98)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1D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BE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0.43(0.21,0.87)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21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</w:tr>
      <w:tr w14:paraId="3C4F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28C4AF9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Quartile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CDBD2B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5E8C6E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4F575B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F7F5C0F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7F6C9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0402B3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C63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3DB918B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29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F258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C1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DE0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BA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8B46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2B2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C97C9B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A5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0.42(0.24,0.75)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0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B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0.44(0.25,0.78)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72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EE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0.47(0.26,0.85)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EA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77461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676C5E0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5A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0.44(0.22,0.85)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9F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8B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0.57(0.29,1.11)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44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75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0.56(0.27,1.14)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E0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</w:tr>
      <w:tr w14:paraId="4CDCA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532A462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3B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0.54(0.29,1.02)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3C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FE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0.84(0.44,1.60)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9E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5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0.76(0.38,1.51)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D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0.43</w:t>
            </w:r>
          </w:p>
        </w:tc>
      </w:tr>
      <w:tr w14:paraId="75F36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5FB4C5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for trend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F25D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43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39A3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C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E8C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C9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</w:tr>
      <w:tr w14:paraId="5C77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1C8277C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Non-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CVD mortality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FC06F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814CA57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649AB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9CDE59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D769B4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7F92D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D9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5B5F5A3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Per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increment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01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0.31(0.22,0.43)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06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5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0.42(0.29,0.59)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D3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BB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0.40(0.28,0.57)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A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6BC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5E238E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Quartile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3FB621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ECE8F4D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FC04D45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165326B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40643C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2868DC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24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D9E78F0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4B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0B5D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A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0149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22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3CA9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C0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4DBC4AE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6A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0.64(0.47,0.87)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C2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3B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0.63(0.46,0.85)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A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C2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0.62(0.46,0.85)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0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0.003</w:t>
            </w:r>
          </w:p>
        </w:tc>
      </w:tr>
      <w:tr w14:paraId="0E238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85D0D80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E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0.42(0.28,0.63)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ED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80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0.49(0.33,0.75)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90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33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0.48(0.31,0.73)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AE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2573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E272FF9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E6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0.38(0.25,0.59)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23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9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0.50(0.32,0.77)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0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26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0.47(0.30,0.74)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B9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39790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7" w:type="dxa"/>
            <w:gridSpan w:val="2"/>
            <w:tcBorders>
              <w:top w:val="nil"/>
              <w:left w:val="nil"/>
              <w:right w:val="nil"/>
            </w:tcBorders>
            <w:vAlign w:val="top"/>
          </w:tcPr>
          <w:p w14:paraId="3C732D47">
            <w:pP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 for trend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vAlign w:val="bottom"/>
          </w:tcPr>
          <w:p w14:paraId="403618C8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vAlign w:val="bottom"/>
          </w:tcPr>
          <w:p w14:paraId="6E67A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2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FB558F0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4BF3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  <w:vAlign w:val="bottom"/>
          </w:tcPr>
          <w:p w14:paraId="5BD31CB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0663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 w14:paraId="38319ABD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Abbreviations: CVD, cardiovascular disease; PIR, the ratio of family income to poverty; BMI, body mass index; NHANES, National Health and Nutrition Examination Survey; HR, hazard ratio; CI, confidence interval.</w:t>
      </w:r>
    </w:p>
    <w:p w14:paraId="0602E699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Model 1: no adjusted. </w:t>
      </w:r>
    </w:p>
    <w:p w14:paraId="1E4C05EC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Model 2: adjusted for age and gender. </w:t>
      </w:r>
    </w:p>
    <w:p w14:paraId="4841A8E5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Model 3: further adjusted for race, education level, marital status, PIR, BMI, smoking status, drinking status, hypertension, diabetes, cardiovascular disease, cancer and a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nti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depressant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 use</w:t>
      </w:r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.</w:t>
      </w:r>
      <w:bookmarkEnd w:id="0"/>
      <w:r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 xml:space="preserve"> </w:t>
      </w:r>
    </w:p>
    <w:p w14:paraId="737152E5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78B9AE94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59BB3B17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60161580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45D09133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4403D0B6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744F8079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41ED4387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788C50C2">
      <w:pPr>
        <w:keepNext w:val="0"/>
        <w:keepLines w:val="0"/>
        <w:widowControl/>
        <w:suppressLineNumbers w:val="0"/>
        <w:jc w:val="left"/>
        <w:textAlignment w:val="bottom"/>
        <w:rPr>
          <w:rFonts w:hint="eastAsia" w:ascii="Times New Roman" w:hAnsi="Times New Roman" w:eastAsia="宋体" w:cs="Times New Roman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p w14:paraId="54CED9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249DE"/>
    <w:rsid w:val="05926C4E"/>
    <w:rsid w:val="09AF5ECF"/>
    <w:rsid w:val="1961582B"/>
    <w:rsid w:val="3A023F90"/>
    <w:rsid w:val="3C291D07"/>
    <w:rsid w:val="50E33C7D"/>
    <w:rsid w:val="710B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1146</Characters>
  <Lines>0</Lines>
  <Paragraphs>0</Paragraphs>
  <TotalTime>0</TotalTime>
  <ScaleCrop>false</ScaleCrop>
  <LinksUpToDate>false</LinksUpToDate>
  <CharactersWithSpaces>1184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2025-02-15T08:02:00Z</dcterms:created>
  <dc:creator>90759</dc:creator>
  <cp:lastModifiedBy>T*Z</cp:lastModifiedBy>
  <dcterms:modified xsi:type="dcterms:W3CDTF">2025-02-26T12:37:00Z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eyJoZGlkIjoiNGU4OTkwYjM5MTAzY2E1NzhiZWE0YmNkOTc5ZmI1Y2UiLCJ1c2VySWQiOiI3MzA0NTM2MDgifQ==</vt:lpwstr>
  </property>
  <property fmtid="{D5CDD505-2E9C-101B-9397-08002B2CF9AE}" pid="4" name="ICV">
    <vt:lpwstr>9FC6A8903F1543199D5A9C38EDA53852_12</vt:lpwstr>
  </property>
</Properties>
</file>