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6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467"/>
        <w:gridCol w:w="811"/>
        <w:gridCol w:w="1388"/>
        <w:gridCol w:w="875"/>
        <w:gridCol w:w="1487"/>
        <w:gridCol w:w="825"/>
      </w:tblGrid>
      <w:tr w14:paraId="10617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30" w:type="dxa"/>
            <w:gridSpan w:val="7"/>
            <w:tcBorders>
              <w:top w:val="nil"/>
              <w:left w:val="nil"/>
              <w:right w:val="nil"/>
            </w:tcBorders>
          </w:tcPr>
          <w:p w14:paraId="315849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eastAsia="zh-Hans"/>
              </w:rPr>
              <w:t xml:space="preserve">Supplementary Table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eastAsia="zh-Hans"/>
              </w:rPr>
              <w:t>.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Fine-Gray competing risk model Competing risk model analysis of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the effect of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albumin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on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CVD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mortality and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on-CVD mortality.</w:t>
            </w:r>
          </w:p>
        </w:tc>
      </w:tr>
      <w:tr w14:paraId="16AAC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  <w:vMerge w:val="restart"/>
            <w:tcBorders>
              <w:left w:val="nil"/>
              <w:right w:val="nil"/>
            </w:tcBorders>
          </w:tcPr>
          <w:p w14:paraId="73DC61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8" w:type="dxa"/>
            <w:gridSpan w:val="2"/>
            <w:tcBorders>
              <w:left w:val="nil"/>
              <w:right w:val="nil"/>
            </w:tcBorders>
          </w:tcPr>
          <w:p w14:paraId="0876AA1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1</w:t>
            </w:r>
          </w:p>
        </w:tc>
        <w:tc>
          <w:tcPr>
            <w:tcW w:w="2263" w:type="dxa"/>
            <w:gridSpan w:val="2"/>
            <w:tcBorders>
              <w:left w:val="nil"/>
              <w:right w:val="nil"/>
            </w:tcBorders>
          </w:tcPr>
          <w:p w14:paraId="38F88D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2</w:t>
            </w:r>
          </w:p>
        </w:tc>
        <w:tc>
          <w:tcPr>
            <w:tcW w:w="2312" w:type="dxa"/>
            <w:gridSpan w:val="2"/>
            <w:tcBorders>
              <w:left w:val="nil"/>
              <w:right w:val="nil"/>
            </w:tcBorders>
          </w:tcPr>
          <w:p w14:paraId="4F0EFBE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3</w:t>
            </w:r>
          </w:p>
        </w:tc>
      </w:tr>
      <w:tr w14:paraId="5468D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  <w:vMerge w:val="continue"/>
            <w:tcBorders>
              <w:left w:val="nil"/>
              <w:right w:val="nil"/>
            </w:tcBorders>
          </w:tcPr>
          <w:p w14:paraId="76A43F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  <w:tcBorders>
              <w:left w:val="nil"/>
              <w:right w:val="nil"/>
            </w:tcBorders>
          </w:tcPr>
          <w:p w14:paraId="03D8023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HR(95CI%)</w:t>
            </w:r>
          </w:p>
        </w:tc>
        <w:tc>
          <w:tcPr>
            <w:tcW w:w="811" w:type="dxa"/>
            <w:tcBorders>
              <w:left w:val="nil"/>
              <w:right w:val="nil"/>
            </w:tcBorders>
          </w:tcPr>
          <w:p w14:paraId="6B9A9F6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value</w:t>
            </w:r>
          </w:p>
        </w:tc>
        <w:tc>
          <w:tcPr>
            <w:tcW w:w="1388" w:type="dxa"/>
            <w:tcBorders>
              <w:left w:val="nil"/>
              <w:right w:val="nil"/>
            </w:tcBorders>
          </w:tcPr>
          <w:p w14:paraId="11824C0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HR(95CI%)</w:t>
            </w:r>
          </w:p>
        </w:tc>
        <w:tc>
          <w:tcPr>
            <w:tcW w:w="875" w:type="dxa"/>
            <w:tcBorders>
              <w:left w:val="nil"/>
              <w:right w:val="nil"/>
            </w:tcBorders>
          </w:tcPr>
          <w:p w14:paraId="083F680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value</w:t>
            </w:r>
          </w:p>
        </w:tc>
        <w:tc>
          <w:tcPr>
            <w:tcW w:w="1487" w:type="dxa"/>
            <w:tcBorders>
              <w:left w:val="nil"/>
              <w:right w:val="nil"/>
            </w:tcBorders>
          </w:tcPr>
          <w:p w14:paraId="537B84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HR(95CI%)</w:t>
            </w:r>
          </w:p>
        </w:tc>
        <w:tc>
          <w:tcPr>
            <w:tcW w:w="825" w:type="dxa"/>
            <w:tcBorders>
              <w:left w:val="nil"/>
              <w:right w:val="nil"/>
            </w:tcBorders>
          </w:tcPr>
          <w:p w14:paraId="413C69A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value</w:t>
            </w:r>
          </w:p>
        </w:tc>
      </w:tr>
      <w:tr w14:paraId="1483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77" w:type="dxa"/>
            <w:tcBorders>
              <w:left w:val="nil"/>
              <w:bottom w:val="nil"/>
              <w:right w:val="nil"/>
            </w:tcBorders>
          </w:tcPr>
          <w:p w14:paraId="5C0E1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CVD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mortality</w:t>
            </w:r>
          </w:p>
        </w:tc>
        <w:tc>
          <w:tcPr>
            <w:tcW w:w="1467" w:type="dxa"/>
            <w:tcBorders>
              <w:left w:val="nil"/>
              <w:bottom w:val="nil"/>
              <w:right w:val="nil"/>
            </w:tcBorders>
          </w:tcPr>
          <w:p w14:paraId="2C8CCE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</w:tcPr>
          <w:p w14:paraId="5342C3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tcBorders>
              <w:left w:val="nil"/>
              <w:bottom w:val="nil"/>
              <w:right w:val="nil"/>
            </w:tcBorders>
          </w:tcPr>
          <w:p w14:paraId="348964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5" w:type="dxa"/>
            <w:tcBorders>
              <w:left w:val="nil"/>
              <w:bottom w:val="nil"/>
              <w:right w:val="nil"/>
            </w:tcBorders>
          </w:tcPr>
          <w:p w14:paraId="66FC9A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dxa"/>
            <w:tcBorders>
              <w:left w:val="nil"/>
              <w:bottom w:val="nil"/>
              <w:right w:val="nil"/>
            </w:tcBorders>
          </w:tcPr>
          <w:p w14:paraId="756A03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left w:val="nil"/>
              <w:bottom w:val="nil"/>
              <w:right w:val="nil"/>
            </w:tcBorders>
          </w:tcPr>
          <w:p w14:paraId="4B2340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536E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14:paraId="769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Per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increment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FC76A0C"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0.40(0.21,0.78)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D29F746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0.007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BE65251"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0.62(0.30,1.28)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EEEF37D"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0.19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540D10C"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0.62(0.28,1.39)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D64EE46"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0.25</w:t>
            </w:r>
          </w:p>
        </w:tc>
      </w:tr>
      <w:tr w14:paraId="2E4BD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14:paraId="10C4BE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Quartile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</w:tcPr>
          <w:p w14:paraId="075724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7EDD0F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407FA6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582502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</w:tcPr>
          <w:p w14:paraId="2BE9E9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66E661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81C2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14:paraId="551BF5FA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Q1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39B2EAA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5D0A6B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79EAD2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82FF4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7F93F5D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8411F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F400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14:paraId="79A99701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Q2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3C48311"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0.45(0.25,0.80)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26A2FDC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0.006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1392CB1"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0.48(0.27,0.86)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A8D3401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C5F307C"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0.53(0.29,0.97)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AFAD19D">
            <w:pPr>
              <w:rPr>
                <w:rFonts w:hint="default" w:ascii="Times New Roman" w:hAnsi="Times New Roman" w:cs="Times New Roman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</w:tc>
      </w:tr>
      <w:tr w14:paraId="7ED7C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14:paraId="183BDEC0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Q3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EF703CB"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0.48(0.25,0.94)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7656193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20D50FD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0.64(0.33,1.25)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6C20F2C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0.19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6ED00C7">
            <w:pPr>
              <w:rPr>
                <w:rFonts w:hint="default" w:ascii="Times New Roman" w:hAnsi="Times New Roman" w:cs="Times New Roman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0.70(0.33,1.48)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6D14B15">
            <w:pPr>
              <w:rPr>
                <w:rFonts w:hint="default" w:ascii="Times New Roman" w:hAnsi="Times New Roman" w:cs="Times New Roman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0.35</w:t>
            </w:r>
          </w:p>
        </w:tc>
      </w:tr>
      <w:tr w14:paraId="290F9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14:paraId="21184D94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Q4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9EBDA9F"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0.60(0.32,1.13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ADA8A10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0.11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4D5BAAD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0.93(0.49,1.76)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E956D15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0.83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F66EFA">
            <w:pPr>
              <w:rPr>
                <w:rFonts w:hint="default" w:ascii="Times New Roman" w:hAnsi="Times New Roman" w:cs="Times New Roman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0.93(0.33,1.48)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7CF17B2">
            <w:pPr>
              <w:rPr>
                <w:rFonts w:hint="default" w:ascii="Times New Roman" w:hAnsi="Times New Roman" w:cs="Times New Roman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0.86</w:t>
            </w:r>
          </w:p>
        </w:tc>
      </w:tr>
      <w:tr w14:paraId="79D76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14:paraId="070397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Non-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CVD mortality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BB1C9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23CE3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B9A78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76F20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879A8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D1E7B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3F07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14:paraId="66C62A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Per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increment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01A7C2D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0.33(0.24,0.47)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B1F31EC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AE66ED8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0.44(0.31,0.63)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2D060DB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E922E14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0.42(0.29,0.59)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2F34E7">
            <w:pP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&lt;0.001</w:t>
            </w:r>
          </w:p>
        </w:tc>
      </w:tr>
      <w:tr w14:paraId="18E61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14:paraId="28E6816A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Quartile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2F500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97FE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AD813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EF1D3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06BE1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E221F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C4F1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14:paraId="428C4AF9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Q1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CDBD2B9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45E8C6E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4F575B3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F7F5C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57F6C94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60402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AC63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14:paraId="63DB918B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Q2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4D2922B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0.67(0.50,0.91)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58F258B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B3C18D7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0.68(0.50,0.93)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E66DE0C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EFBA571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0.69(0.50,0.95)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808B46D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0.03</w:t>
            </w:r>
          </w:p>
        </w:tc>
      </w:tr>
      <w:tr w14:paraId="41754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14:paraId="25E6CC91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Q3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F9E94A2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0.44(0.29,0.66)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5F1F4C3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5EF3C44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0.51(0.34,0.78)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C732FF1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0.002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C1A6E69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0.48(0.31,0.74)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14D3546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&lt;0.001</w:t>
            </w:r>
          </w:p>
        </w:tc>
      </w:tr>
      <w:tr w14:paraId="142B2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  <w:tcBorders>
              <w:top w:val="nil"/>
              <w:left w:val="nil"/>
              <w:right w:val="nil"/>
            </w:tcBorders>
          </w:tcPr>
          <w:p w14:paraId="29C97C9B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Q4</w:t>
            </w:r>
          </w:p>
        </w:tc>
        <w:tc>
          <w:tcPr>
            <w:tcW w:w="1467" w:type="dxa"/>
            <w:tcBorders>
              <w:top w:val="nil"/>
              <w:left w:val="nil"/>
              <w:right w:val="nil"/>
            </w:tcBorders>
            <w:vAlign w:val="top"/>
          </w:tcPr>
          <w:p w14:paraId="506A5263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0.40(0.26,0.61)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vAlign w:val="top"/>
          </w:tcPr>
          <w:p w14:paraId="0B3809BB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&lt;0.001</w:t>
            </w:r>
          </w:p>
        </w:tc>
        <w:tc>
          <w:tcPr>
            <w:tcW w:w="1388" w:type="dxa"/>
            <w:tcBorders>
              <w:top w:val="nil"/>
              <w:left w:val="nil"/>
              <w:right w:val="nil"/>
            </w:tcBorders>
            <w:vAlign w:val="top"/>
          </w:tcPr>
          <w:p w14:paraId="2D72BE02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0.48(0.31,0.75)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  <w:vAlign w:val="top"/>
          </w:tcPr>
          <w:p w14:paraId="06972F0B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0.001</w:t>
            </w:r>
          </w:p>
        </w:tc>
        <w:tc>
          <w:tcPr>
            <w:tcW w:w="1487" w:type="dxa"/>
            <w:tcBorders>
              <w:top w:val="nil"/>
              <w:left w:val="nil"/>
              <w:right w:val="nil"/>
            </w:tcBorders>
            <w:vAlign w:val="top"/>
          </w:tcPr>
          <w:p w14:paraId="000EEB25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0.46(0.29,0.72)</w:t>
            </w:r>
          </w:p>
        </w:tc>
        <w:tc>
          <w:tcPr>
            <w:tcW w:w="825" w:type="dxa"/>
            <w:tcBorders>
              <w:top w:val="nil"/>
              <w:left w:val="nil"/>
              <w:right w:val="nil"/>
            </w:tcBorders>
            <w:vAlign w:val="top"/>
          </w:tcPr>
          <w:p w14:paraId="60FEA698"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&lt;0.001</w:t>
            </w:r>
          </w:p>
        </w:tc>
      </w:tr>
    </w:tbl>
    <w:p w14:paraId="38319ABD">
      <w:pPr>
        <w:widowControl/>
        <w:jc w:val="left"/>
        <w:rPr>
          <w:rFonts w:ascii="Times New Roman" w:hAnsi="Times New Roman" w:eastAsia="CharisSIL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CharisSIL" w:cs="Times New Roman"/>
          <w:color w:val="000000"/>
          <w:kern w:val="0"/>
          <w:sz w:val="18"/>
          <w:szCs w:val="18"/>
          <w:lang w:bidi="ar"/>
        </w:rPr>
        <w:t>Abbreviations:</w:t>
      </w:r>
      <w:bookmarkStart w:id="0" w:name="_GoBack"/>
      <w:bookmarkEnd w:id="0"/>
      <w:r>
        <w:rPr>
          <w:rFonts w:ascii="Times New Roman" w:hAnsi="Times New Roman" w:eastAsia="CharisSIL" w:cs="Times New Roman"/>
          <w:color w:val="000000"/>
          <w:kern w:val="0"/>
          <w:sz w:val="18"/>
          <w:szCs w:val="18"/>
          <w:lang w:bidi="ar"/>
        </w:rPr>
        <w:t xml:space="preserve"> CVD, cardiovascular disease</w:t>
      </w:r>
      <w:r>
        <w:rPr>
          <w:rFonts w:hint="eastAsia" w:ascii="Times New Roman" w:hAnsi="Times New Roman" w:eastAsia="CharisSIL" w:cs="Times New Roman"/>
          <w:color w:val="000000"/>
          <w:kern w:val="0"/>
          <w:sz w:val="18"/>
          <w:szCs w:val="18"/>
          <w:lang w:bidi="ar"/>
        </w:rPr>
        <w:t xml:space="preserve">; </w:t>
      </w:r>
      <w:r>
        <w:rPr>
          <w:rFonts w:ascii="Times New Roman" w:hAnsi="Times New Roman" w:eastAsia="CharisSIL" w:cs="Times New Roman"/>
          <w:color w:val="000000"/>
          <w:kern w:val="0"/>
          <w:sz w:val="18"/>
          <w:szCs w:val="18"/>
          <w:lang w:bidi="ar"/>
        </w:rPr>
        <w:t>PIR, the ratio of family income to poverty; BMI, body mass index; NHANES, National Health and Nutrition Examination Survey</w:t>
      </w:r>
      <w:r>
        <w:rPr>
          <w:rFonts w:hint="eastAsia" w:ascii="Times New Roman" w:hAnsi="Times New Roman" w:eastAsia="CharisSIL" w:cs="Times New Roman"/>
          <w:color w:val="000000"/>
          <w:kern w:val="0"/>
          <w:sz w:val="18"/>
          <w:szCs w:val="18"/>
          <w:lang w:bidi="ar"/>
        </w:rPr>
        <w:t>; HR, hazard ratio; CI, confidence interval.</w:t>
      </w:r>
    </w:p>
    <w:p w14:paraId="0602E699">
      <w:pPr>
        <w:widowControl/>
        <w:jc w:val="left"/>
        <w:rPr>
          <w:rFonts w:hint="eastAsia" w:ascii="Times New Roman" w:hAnsi="Times New Roman" w:eastAsia="CharisSIL" w:cs="Times New Roman"/>
          <w:color w:val="000000"/>
          <w:kern w:val="0"/>
          <w:sz w:val="18"/>
          <w:szCs w:val="18"/>
          <w:lang w:bidi="ar"/>
        </w:rPr>
      </w:pPr>
      <w:r>
        <w:rPr>
          <w:rFonts w:hint="eastAsia" w:ascii="Times New Roman" w:hAnsi="Times New Roman" w:eastAsia="CharisSIL" w:cs="Times New Roman"/>
          <w:color w:val="000000"/>
          <w:kern w:val="0"/>
          <w:sz w:val="18"/>
          <w:szCs w:val="18"/>
          <w:lang w:bidi="ar"/>
        </w:rPr>
        <w:t xml:space="preserve">Model 1: no adjusted. </w:t>
      </w:r>
    </w:p>
    <w:p w14:paraId="1E4C05EC">
      <w:pPr>
        <w:widowControl/>
        <w:jc w:val="left"/>
        <w:rPr>
          <w:rFonts w:hint="eastAsia" w:ascii="Times New Roman" w:hAnsi="Times New Roman" w:eastAsia="CharisSIL" w:cs="Times New Roman"/>
          <w:color w:val="000000"/>
          <w:kern w:val="0"/>
          <w:sz w:val="18"/>
          <w:szCs w:val="18"/>
          <w:lang w:bidi="ar"/>
        </w:rPr>
      </w:pPr>
      <w:r>
        <w:rPr>
          <w:rFonts w:hint="eastAsia" w:ascii="Times New Roman" w:hAnsi="Times New Roman" w:eastAsia="CharisSIL" w:cs="Times New Roman"/>
          <w:color w:val="000000"/>
          <w:kern w:val="0"/>
          <w:sz w:val="18"/>
          <w:szCs w:val="18"/>
          <w:lang w:bidi="ar"/>
        </w:rPr>
        <w:t xml:space="preserve">Model 2: adjusted for age and </w:t>
      </w:r>
      <w:r>
        <w:rPr>
          <w:rFonts w:hint="eastAsia" w:ascii="Times New Roman" w:hAnsi="Times New Roman" w:eastAsia="CharisSIL" w:cs="Times New Roman"/>
          <w:color w:val="000000"/>
          <w:kern w:val="0"/>
          <w:sz w:val="18"/>
          <w:szCs w:val="18"/>
          <w:lang w:val="en-US" w:eastAsia="zh-CN" w:bidi="ar"/>
        </w:rPr>
        <w:t>gender</w:t>
      </w:r>
      <w:r>
        <w:rPr>
          <w:rFonts w:hint="eastAsia" w:ascii="Times New Roman" w:hAnsi="Times New Roman" w:eastAsia="CharisSIL" w:cs="Times New Roman"/>
          <w:color w:val="000000"/>
          <w:kern w:val="0"/>
          <w:sz w:val="18"/>
          <w:szCs w:val="18"/>
          <w:lang w:bidi="ar"/>
        </w:rPr>
        <w:t xml:space="preserve">. </w:t>
      </w:r>
    </w:p>
    <w:p w14:paraId="5C14B15E">
      <w:pPr>
        <w:widowControl/>
        <w:jc w:val="left"/>
        <w:rPr>
          <w:rFonts w:hint="eastAsia" w:ascii="Times New Roman" w:hAnsi="Times New Roman" w:eastAsia="CharisSIL" w:cs="Times New Roman"/>
          <w:color w:val="000000"/>
          <w:kern w:val="0"/>
          <w:sz w:val="18"/>
          <w:szCs w:val="18"/>
          <w:lang w:bidi="ar"/>
        </w:rPr>
      </w:pPr>
      <w:r>
        <w:rPr>
          <w:rFonts w:hint="eastAsia" w:ascii="Times New Roman" w:hAnsi="Times New Roman" w:eastAsia="CharisSIL" w:cs="Times New Roman"/>
          <w:color w:val="000000"/>
          <w:kern w:val="0"/>
          <w:sz w:val="18"/>
          <w:szCs w:val="18"/>
          <w:lang w:bidi="ar"/>
        </w:rPr>
        <w:t>Model 3: further adjusted for race, education level, marital status, PIR, BMI, smoking status, drinking status,</w:t>
      </w:r>
    </w:p>
    <w:p w14:paraId="4841A8E5">
      <w:pPr>
        <w:widowControl/>
        <w:jc w:val="left"/>
        <w:rPr>
          <w:rFonts w:hint="eastAsia" w:ascii="Times New Roman" w:hAnsi="Times New Roman" w:eastAsia="CharisSIL" w:cs="Times New Roman"/>
          <w:color w:val="000000"/>
          <w:kern w:val="0"/>
          <w:sz w:val="18"/>
          <w:szCs w:val="18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>hypertension</w:t>
      </w:r>
      <w:r>
        <w:rPr>
          <w:rFonts w:hint="eastAsia" w:ascii="Times New Roman" w:hAnsi="Times New Roman" w:eastAsia="CharisSIL" w:cs="Times New Roman"/>
          <w:color w:val="000000"/>
          <w:kern w:val="0"/>
          <w:sz w:val="18"/>
          <w:szCs w:val="18"/>
          <w:lang w:val="en-US" w:eastAsia="zh-CN" w:bidi="ar"/>
        </w:rPr>
        <w:t>, diabetes, cardiovascular disease</w:t>
      </w:r>
      <w:r>
        <w:rPr>
          <w:rFonts w:hint="eastAsia" w:ascii="Times New Roman" w:hAnsi="Times New Roman" w:eastAsia="CharisSIL" w:cs="Times New Roman"/>
          <w:color w:val="000000"/>
          <w:kern w:val="0"/>
          <w:sz w:val="18"/>
          <w:szCs w:val="18"/>
          <w:lang w:bidi="ar"/>
        </w:rPr>
        <w:t>,</w:t>
      </w:r>
      <w:r>
        <w:rPr>
          <w:rFonts w:hint="eastAsia" w:ascii="Times New Roman" w:hAnsi="Times New Roman" w:eastAsia="CharisSIL" w:cs="Times New Roman"/>
          <w:color w:val="000000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eastAsia" w:ascii="Times New Roman" w:hAnsi="Times New Roman" w:eastAsia="CharisSIL" w:cs="Times New Roman"/>
          <w:color w:val="000000"/>
          <w:kern w:val="0"/>
          <w:sz w:val="18"/>
          <w:szCs w:val="18"/>
          <w:lang w:bidi="ar"/>
        </w:rPr>
        <w:t>cancer</w:t>
      </w:r>
      <w:r>
        <w:rPr>
          <w:rFonts w:hint="eastAsia" w:ascii="Times New Roman" w:hAnsi="Times New Roman" w:eastAsia="CharisSIL" w:cs="Times New Roman"/>
          <w:color w:val="000000"/>
          <w:kern w:val="0"/>
          <w:sz w:val="18"/>
          <w:szCs w:val="18"/>
          <w:lang w:val="en-US" w:eastAsia="zh-CN" w:bidi="ar"/>
        </w:rPr>
        <w:t xml:space="preserve"> and a</w:t>
      </w:r>
      <w:r>
        <w:rPr>
          <w:rFonts w:hint="default" w:ascii="Times New Roman" w:hAnsi="Times New Roman" w:eastAsia="CharisSIL" w:cs="Times New Roman"/>
          <w:color w:val="000000"/>
          <w:kern w:val="0"/>
          <w:sz w:val="18"/>
          <w:szCs w:val="18"/>
          <w:lang w:val="en-US" w:eastAsia="zh-CN" w:bidi="ar"/>
        </w:rPr>
        <w:t>nti</w:t>
      </w:r>
      <w:r>
        <w:rPr>
          <w:rFonts w:hint="eastAsia" w:ascii="Times New Roman" w:hAnsi="Times New Roman" w:eastAsia="CharisSIL" w:cs="Times New Roman"/>
          <w:color w:val="000000"/>
          <w:kern w:val="0"/>
          <w:sz w:val="18"/>
          <w:szCs w:val="18"/>
          <w:lang w:val="en-US" w:eastAsia="zh-CN" w:bidi="ar"/>
        </w:rPr>
        <w:t>depressant</w:t>
      </w:r>
      <w:r>
        <w:rPr>
          <w:rFonts w:hint="default" w:ascii="Times New Roman" w:hAnsi="Times New Roman" w:eastAsia="CharisSIL" w:cs="Times New Roman"/>
          <w:color w:val="000000"/>
          <w:kern w:val="0"/>
          <w:sz w:val="18"/>
          <w:szCs w:val="18"/>
          <w:lang w:val="en-US" w:eastAsia="zh-CN" w:bidi="ar"/>
        </w:rPr>
        <w:t xml:space="preserve"> use</w:t>
      </w:r>
      <w:r>
        <w:rPr>
          <w:rFonts w:hint="eastAsia" w:ascii="Times New Roman" w:hAnsi="Times New Roman" w:eastAsia="CharisSIL" w:cs="Times New Roman"/>
          <w:color w:val="000000"/>
          <w:kern w:val="0"/>
          <w:sz w:val="18"/>
          <w:szCs w:val="18"/>
          <w:lang w:bidi="ar"/>
        </w:rPr>
        <w:t xml:space="preserve">. </w:t>
      </w:r>
    </w:p>
    <w:p w14:paraId="53F409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C2655E"/>
    <w:rsid w:val="085843EC"/>
    <w:rsid w:val="13E75014"/>
    <w:rsid w:val="175F3A26"/>
    <w:rsid w:val="27BB5BF3"/>
    <w:rsid w:val="35904A4A"/>
    <w:rsid w:val="469278C1"/>
    <w:rsid w:val="7A7E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1150</Characters>
  <Lines>0</Lines>
  <Paragraphs>0</Paragraphs>
  <TotalTime>3</TotalTime>
  <ScaleCrop>false</ScaleCrop>
  <LinksUpToDate>false</LinksUpToDate>
  <CharactersWithSpaces>1247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2025-02-15T08:38:00Z</dcterms:created>
  <dc:creator>90759</dc:creator>
  <cp:lastModifiedBy>T*Z</cp:lastModifiedBy>
  <dcterms:modified xsi:type="dcterms:W3CDTF">2025-02-26T12:27:31Z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eyJoZGlkIjoiNGU4OTkwYjM5MTAzY2E1NzhiZWE0YmNkOTc5ZmI1Y2UiLCJ1c2VySWQiOiI3MzA0NTM2MDgifQ==</vt:lpwstr>
  </property>
  <property fmtid="{D5CDD505-2E9C-101B-9397-08002B2CF9AE}" pid="4" name="ICV">
    <vt:lpwstr>8D4F4EC3C3834193997A56A770BAB71A_12</vt:lpwstr>
  </property>
</Properties>
</file>