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ED582F9" w14:textId="77777777" w:rsidR="00604113" w:rsidRPr="00C016CE" w:rsidRDefault="00604113" w:rsidP="00604113">
      <w:pPr>
        <w:spacing w:after="0" w:line="240" w:lineRule="auto"/>
        <w:rPr>
          <w:rFonts w:ascii="Times New Roman" w:hAnsi="Times New Roman" w:cs="Times New Roman"/>
        </w:rPr>
      </w:pPr>
      <w:r w:rsidRPr="00C016CE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Table 1- </w:t>
      </w:r>
      <w:r w:rsidRPr="00C016CE">
        <w:rPr>
          <w:rFonts w:ascii="Times New Roman" w:eastAsia="Times New Roman" w:hAnsi="Times New Roman" w:cs="Times New Roman"/>
          <w:color w:val="000000" w:themeColor="text1"/>
        </w:rPr>
        <w:t>Baseline Demographic, Clinical, and Radiographic Characteristics of Patients Undergoing CSF Shunting for Leptomeningeal Disease</w:t>
      </w:r>
    </w:p>
    <w:p w14:paraId="600E8F4E" w14:textId="77777777" w:rsidR="00604113" w:rsidRPr="00C016CE" w:rsidRDefault="00604113" w:rsidP="006041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Style w:val="TableGridLight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ook w:val="04A0" w:firstRow="1" w:lastRow="0" w:firstColumn="1" w:lastColumn="0" w:noHBand="0" w:noVBand="1"/>
      </w:tblPr>
      <w:tblGrid>
        <w:gridCol w:w="4335"/>
        <w:gridCol w:w="1590"/>
      </w:tblGrid>
      <w:tr w:rsidR="00604113" w:rsidRPr="00C016CE" w14:paraId="02D6CF5E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299C7F20" w14:textId="77777777" w:rsidR="00604113" w:rsidRPr="00C016CE" w:rsidRDefault="00604113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3C5B5A7" w14:textId="77777777" w:rsidR="00604113" w:rsidRPr="00C016CE" w:rsidRDefault="00604113" w:rsidP="00EB0EF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N = 51</w:t>
            </w:r>
          </w:p>
        </w:tc>
      </w:tr>
      <w:tr w:rsidR="00604113" w:rsidRPr="00C016CE" w14:paraId="19683020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05DDFAD4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Sex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FEC5AE8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4113" w:rsidRPr="00C016CE" w14:paraId="543044C2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4D0AF02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Female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7ABC84F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36 (70.6%)</w:t>
            </w:r>
          </w:p>
        </w:tc>
      </w:tr>
      <w:tr w:rsidR="00604113" w:rsidRPr="00C016CE" w14:paraId="4B5610C4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5ACA99F2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Male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980C018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15 (29.4%)</w:t>
            </w:r>
          </w:p>
        </w:tc>
      </w:tr>
      <w:tr w:rsidR="00604113" w:rsidRPr="00C016CE" w14:paraId="36C7A4F2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3FCE03F3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Primary Cancer Group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5D7A457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4113" w:rsidRPr="00C016CE" w14:paraId="730EA28C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240FB30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Breast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0953E89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22 (43.1%)</w:t>
            </w:r>
          </w:p>
        </w:tc>
      </w:tr>
      <w:tr w:rsidR="00604113" w:rsidRPr="00C016CE" w14:paraId="676891F5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137ECFD2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Lung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02F7619E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10 (19.6%)</w:t>
            </w:r>
          </w:p>
        </w:tc>
      </w:tr>
      <w:tr w:rsidR="00604113" w:rsidRPr="00C016CE" w14:paraId="2D3BF909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31B4609D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Melanoma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6FEB3422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4 (7.8%)</w:t>
            </w:r>
          </w:p>
        </w:tc>
      </w:tr>
      <w:tr w:rsidR="00604113" w:rsidRPr="00C016CE" w14:paraId="4BAF60D8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70CD8B55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Other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18673D82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15 (29.4%)</w:t>
            </w:r>
          </w:p>
        </w:tc>
      </w:tr>
      <w:tr w:rsidR="00604113" w:rsidRPr="00C016CE" w14:paraId="18D8CADB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22231649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Pre-shunt Performance Status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71AC3DD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4113" w:rsidRPr="00C016CE" w14:paraId="2F9C6BAB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4FEAF7AB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KPS, median (IQR)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042C393C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60 (50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</w:rPr>
              <w:t>70)</w:t>
            </w:r>
          </w:p>
        </w:tc>
      </w:tr>
      <w:tr w:rsidR="00604113" w:rsidRPr="00C016CE" w14:paraId="754A7990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1EDB53CB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ECOG, median (IQR)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5F2A4FF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 (2</w:t>
            </w:r>
            <w:r>
              <w:rPr>
                <w:rFonts w:ascii="Times New Roman" w:eastAsia="Times New Roman" w:hAnsi="Times New Roman" w:cs="Times New Roman"/>
              </w:rPr>
              <w:t>-</w:t>
            </w:r>
            <w:r w:rsidRPr="00C016CE">
              <w:rPr>
                <w:rFonts w:ascii="Times New Roman" w:eastAsia="Times New Roman" w:hAnsi="Times New Roman" w:cs="Times New Roman"/>
              </w:rPr>
              <w:t>3)</w:t>
            </w:r>
          </w:p>
        </w:tc>
      </w:tr>
      <w:tr w:rsidR="00604113" w:rsidRPr="00C016CE" w14:paraId="6D68D012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45268A6A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CSF Cytology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298DD25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4113" w:rsidRPr="00C016CE" w14:paraId="162D0E54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69033780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Positive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B75182B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38 (74.5%)</w:t>
            </w:r>
          </w:p>
        </w:tc>
      </w:tr>
      <w:tr w:rsidR="00604113" w:rsidRPr="00C016CE" w14:paraId="303DEA4F" w14:textId="77777777" w:rsidTr="00EB0EF0">
        <w:trPr>
          <w:trHeight w:val="45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598B64C9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Negative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53A65CAB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8 (15.7%)</w:t>
            </w:r>
          </w:p>
        </w:tc>
      </w:tr>
      <w:tr w:rsidR="00604113" w:rsidRPr="00C016CE" w14:paraId="7417152A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5252988A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Unknown/NA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45B2B6AE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5 (9.8%)</w:t>
            </w:r>
          </w:p>
        </w:tc>
      </w:tr>
      <w:tr w:rsidR="00604113" w:rsidRPr="00C016CE" w14:paraId="103AC61A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3493D1F0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MRI LMD Pattern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5E9AA6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4113" w:rsidRPr="00C016CE" w14:paraId="4360D8BC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39CE8C04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Diffuse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43DE549D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30 (58.8%)</w:t>
            </w:r>
          </w:p>
        </w:tc>
      </w:tr>
      <w:tr w:rsidR="00604113" w:rsidRPr="00C016CE" w14:paraId="6835F333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75678BFF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Nodular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0729E7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17 (33.3%)</w:t>
            </w:r>
          </w:p>
        </w:tc>
      </w:tr>
      <w:tr w:rsidR="00604113" w:rsidRPr="00C016CE" w14:paraId="02CA1961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78BFDFAA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Unknown/NA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3F46B6D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4 (7.8%)</w:t>
            </w:r>
          </w:p>
        </w:tc>
      </w:tr>
      <w:tr w:rsidR="00604113" w:rsidRPr="00C016CE" w14:paraId="35834249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1E3C5D8E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Disease Characteristics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0CDDD6BA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4113" w:rsidRPr="00C016CE" w14:paraId="4C3978E4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0792C483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Spine involvement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4898ED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11 (21.6%)</w:t>
            </w:r>
          </w:p>
        </w:tc>
      </w:tr>
      <w:tr w:rsidR="00604113" w:rsidRPr="00C016CE" w14:paraId="0BC3D3FE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53DF91CD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Cranial nerve involvement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42E9508C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14 (27.5%)</w:t>
            </w:r>
          </w:p>
        </w:tc>
      </w:tr>
      <w:tr w:rsidR="00604113" w:rsidRPr="00C016CE" w14:paraId="1FBBADE2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72A87589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Brain metastases present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43B206CD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33 (60.8%)</w:t>
            </w:r>
          </w:p>
        </w:tc>
      </w:tr>
      <w:tr w:rsidR="00604113" w:rsidRPr="00C016CE" w14:paraId="39B16B5C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7E0A6E8C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No brain metastases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13FDA95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18 (39.2%)</w:t>
            </w:r>
          </w:p>
        </w:tc>
      </w:tr>
      <w:tr w:rsidR="00604113" w:rsidRPr="00C016CE" w14:paraId="269BE428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66706B2E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Single brain metastasis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01CCBDD9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9 (17.6%)</w:t>
            </w:r>
          </w:p>
        </w:tc>
      </w:tr>
      <w:tr w:rsidR="00604113" w:rsidRPr="00C016CE" w14:paraId="4821BA25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458CA07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Multiple brain metastases (≥2)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EF495C0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24 (47.1%)</w:t>
            </w:r>
          </w:p>
        </w:tc>
      </w:tr>
      <w:tr w:rsidR="00604113" w:rsidRPr="00C016CE" w14:paraId="521E051C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50EEFDA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Intracranial tumor volume, cm³, median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B85ABD5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4.56</w:t>
            </w:r>
          </w:p>
        </w:tc>
      </w:tr>
      <w:tr w:rsidR="00604113" w:rsidRPr="00C016CE" w14:paraId="2D13F9B6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64B6F13D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Tumor volume data available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5951AAD8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22 (43.1%)</w:t>
            </w:r>
          </w:p>
        </w:tc>
      </w:tr>
      <w:tr w:rsidR="00604113" w:rsidRPr="00C016CE" w14:paraId="3BD95599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725F7B6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Pre-shunt Symptoms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540E18C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4113" w:rsidRPr="00C016CE" w14:paraId="77D7F8ED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1BB5971D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Headache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07306C8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36 (70.6%)</w:t>
            </w:r>
          </w:p>
        </w:tc>
      </w:tr>
      <w:tr w:rsidR="00604113" w:rsidRPr="00C016CE" w14:paraId="7D5CB178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337586DF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Nausea/Vomiting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EC3ECB5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24 (47.1%)</w:t>
            </w:r>
          </w:p>
        </w:tc>
      </w:tr>
      <w:tr w:rsidR="00604113" w:rsidRPr="00C016CE" w14:paraId="4DC12C49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68114100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Gait disturbance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8F7994E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33 (64.7%)</w:t>
            </w:r>
          </w:p>
        </w:tc>
      </w:tr>
      <w:tr w:rsidR="00604113" w:rsidRPr="00C016CE" w14:paraId="4A8FD2F6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06CCDC64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Cognitive decline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7C2FA312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34 (66.7%)</w:t>
            </w:r>
          </w:p>
        </w:tc>
      </w:tr>
      <w:tr w:rsidR="00604113" w:rsidRPr="00C016CE" w14:paraId="4CDA688F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0A9D171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Vision symptoms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478B7A2A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22 (43.1%)</w:t>
            </w:r>
          </w:p>
        </w:tc>
      </w:tr>
      <w:tr w:rsidR="00604113" w:rsidRPr="00C016CE" w14:paraId="59434FD3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71EA24D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Urinary incontinence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E9445B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5 (9.8%)</w:t>
            </w:r>
          </w:p>
        </w:tc>
      </w:tr>
      <w:tr w:rsidR="00604113" w:rsidRPr="00C016CE" w14:paraId="377CABED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065A436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  <w:b/>
                <w:bCs/>
              </w:rPr>
              <w:t>Prior CNS-Directed Treatments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4FD84931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604113" w:rsidRPr="00C016CE" w14:paraId="3BD81FCF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44DC75BE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CNS treatment naïve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589DE146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24 (47.1%)</w:t>
            </w:r>
          </w:p>
        </w:tc>
      </w:tr>
      <w:tr w:rsidR="00604113" w:rsidRPr="00C016CE" w14:paraId="3E02C840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6D4918D2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Prior tumor resection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84A1B3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11 (21.6%)</w:t>
            </w:r>
          </w:p>
        </w:tc>
      </w:tr>
      <w:tr w:rsidR="00604113" w:rsidRPr="00C016CE" w14:paraId="2605FAFA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0BC90CBB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lastRenderedPageBreak/>
              <w:t>Prior whole-brain radiation therapy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AFA0E5E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9 (17.6%)</w:t>
            </w:r>
          </w:p>
        </w:tc>
      </w:tr>
      <w:tr w:rsidR="00604113" w:rsidRPr="00C016CE" w14:paraId="2FADF3BC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4E79FF98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Prior stereotactic radiosurgery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94F3B9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13 (25.5%)</w:t>
            </w:r>
          </w:p>
        </w:tc>
      </w:tr>
      <w:tr w:rsidR="00604113" w:rsidRPr="00C016CE" w14:paraId="52CDD73F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3F6C5202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Prior intrathecal chemotherapy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3992E0FB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4 (7.8%)</w:t>
            </w:r>
          </w:p>
        </w:tc>
      </w:tr>
      <w:tr w:rsidR="00604113" w:rsidRPr="00C016CE" w14:paraId="50060F53" w14:textId="77777777" w:rsidTr="00EB0EF0">
        <w:trPr>
          <w:trHeight w:val="300"/>
        </w:trPr>
        <w:tc>
          <w:tcPr>
            <w:tcW w:w="4335" w:type="dxa"/>
            <w:tcMar>
              <w:left w:w="105" w:type="dxa"/>
              <w:right w:w="105" w:type="dxa"/>
            </w:tcMar>
          </w:tcPr>
          <w:p w14:paraId="3DC77277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Prior external ventricular drain (EVD)</w:t>
            </w:r>
          </w:p>
        </w:tc>
        <w:tc>
          <w:tcPr>
            <w:tcW w:w="1590" w:type="dxa"/>
            <w:tcMar>
              <w:left w:w="105" w:type="dxa"/>
              <w:right w:w="105" w:type="dxa"/>
            </w:tcMar>
          </w:tcPr>
          <w:p w14:paraId="277F0C42" w14:textId="77777777" w:rsidR="00604113" w:rsidRPr="00C016CE" w:rsidRDefault="00604113" w:rsidP="00EB0EF0">
            <w:pPr>
              <w:rPr>
                <w:rFonts w:ascii="Times New Roman" w:eastAsia="Times New Roman" w:hAnsi="Times New Roman" w:cs="Times New Roman"/>
              </w:rPr>
            </w:pPr>
            <w:r w:rsidRPr="00C016CE">
              <w:rPr>
                <w:rFonts w:ascii="Times New Roman" w:eastAsia="Times New Roman" w:hAnsi="Times New Roman" w:cs="Times New Roman"/>
              </w:rPr>
              <w:t>23 (45.1%)</w:t>
            </w:r>
          </w:p>
        </w:tc>
      </w:tr>
    </w:tbl>
    <w:p w14:paraId="1386CAB5" w14:textId="77777777" w:rsidR="00604113" w:rsidRPr="00C016CE" w:rsidRDefault="00604113" w:rsidP="00604113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</w:rPr>
      </w:pPr>
    </w:p>
    <w:p w14:paraId="351B3648" w14:textId="77777777" w:rsidR="00191028" w:rsidRDefault="00191028"/>
    <w:sectPr w:rsidR="001910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113"/>
    <w:rsid w:val="00191028"/>
    <w:rsid w:val="00494816"/>
    <w:rsid w:val="005E7B8F"/>
    <w:rsid w:val="00604113"/>
    <w:rsid w:val="00685EEB"/>
    <w:rsid w:val="00B213C3"/>
    <w:rsid w:val="00FC3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0C91485"/>
  <w15:chartTrackingRefBased/>
  <w15:docId w15:val="{794F2AE9-53C5-9F47-9825-53BD5D2C7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4113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4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LB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4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L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4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L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4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val="en-LB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4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val="en-LB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4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n-L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4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n-LB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4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n-LB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4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n-L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4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4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4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41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41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41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41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41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41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4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LB"/>
    </w:rPr>
  </w:style>
  <w:style w:type="character" w:customStyle="1" w:styleId="TitleChar">
    <w:name w:val="Title Char"/>
    <w:basedOn w:val="DefaultParagraphFont"/>
    <w:link w:val="Title"/>
    <w:uiPriority w:val="10"/>
    <w:rsid w:val="00604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4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n-LB"/>
    </w:rPr>
  </w:style>
  <w:style w:type="character" w:customStyle="1" w:styleId="SubtitleChar">
    <w:name w:val="Subtitle Char"/>
    <w:basedOn w:val="DefaultParagraphFont"/>
    <w:link w:val="Subtitle"/>
    <w:uiPriority w:val="11"/>
    <w:rsid w:val="00604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4113"/>
    <w:pPr>
      <w:spacing w:before="160"/>
      <w:jc w:val="center"/>
    </w:pPr>
    <w:rPr>
      <w:i/>
      <w:iCs/>
      <w:color w:val="404040" w:themeColor="text1" w:themeTint="BF"/>
      <w:lang w:val="en-LB"/>
    </w:rPr>
  </w:style>
  <w:style w:type="character" w:customStyle="1" w:styleId="QuoteChar">
    <w:name w:val="Quote Char"/>
    <w:basedOn w:val="DefaultParagraphFont"/>
    <w:link w:val="Quote"/>
    <w:uiPriority w:val="29"/>
    <w:rsid w:val="006041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4113"/>
    <w:pPr>
      <w:ind w:left="720"/>
      <w:contextualSpacing/>
    </w:pPr>
    <w:rPr>
      <w:lang w:val="en-LB"/>
    </w:rPr>
  </w:style>
  <w:style w:type="character" w:styleId="IntenseEmphasis">
    <w:name w:val="Intense Emphasis"/>
    <w:basedOn w:val="DefaultParagraphFont"/>
    <w:uiPriority w:val="21"/>
    <w:qFormat/>
    <w:rsid w:val="006041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4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lang w:val="en-L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41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4113"/>
    <w:rPr>
      <w:b/>
      <w:bCs/>
      <w:smallCaps/>
      <w:color w:val="0F4761" w:themeColor="accent1" w:themeShade="BF"/>
      <w:spacing w:val="5"/>
    </w:rPr>
  </w:style>
  <w:style w:type="table" w:styleId="TableGridLight">
    <w:name w:val="Grid Table Light"/>
    <w:basedOn w:val="TableNormal"/>
    <w:uiPriority w:val="40"/>
    <w:rsid w:val="00604113"/>
    <w:pPr>
      <w:spacing w:after="0" w:line="240" w:lineRule="auto"/>
    </w:pPr>
    <w:rPr>
      <w:lang w:val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Ghoche, Maged Talal</dc:creator>
  <cp:keywords/>
  <dc:description/>
  <cp:lastModifiedBy>Ghoche, Maged Talal</cp:lastModifiedBy>
  <cp:revision>1</cp:revision>
  <dcterms:created xsi:type="dcterms:W3CDTF">2026-07-23T23:41:00Z</dcterms:created>
  <dcterms:modified xsi:type="dcterms:W3CDTF">2026-07-23T23:42:00Z</dcterms:modified>
</cp:coreProperties>
</file>