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sz w:val="32"/>
        </w:rPr>
        <w:t>Supplementary Information 1</w:t>
      </w:r>
    </w:p>
    <w:p>
      <w:pPr>
        <w:pStyle w:val="Heading1"/>
      </w:pPr>
      <w:r>
        <w:rPr>
          <w:rFonts w:ascii="Arial" w:hAnsi="Arial" w:eastAsia="Arial"/>
          <w:sz w:val="26"/>
        </w:rPr>
        <w:t>Construct validity and evidence boundaries of a 17-gene transcriptomic proxy for mitoxyperilysis in colorectal aging and cancer</w:t>
      </w:r>
    </w:p>
    <w:p>
      <w:r>
        <w:rPr>
          <w:rFonts w:ascii="Arial" w:hAnsi="Arial" w:eastAsia="Arial"/>
          <w:sz w:val="22"/>
        </w:rPr>
        <w:t>Pan Sun¹, Jinglin Wang¹, Yao Wang¹, Yan Zhang¹, Yao Tang¹, Juan Yang¹*, Zejun Wang²*</w:t>
      </w:r>
    </w:p>
    <w:p>
      <w:pPr>
        <w:pStyle w:val="Heading1"/>
      </w:pPr>
      <w:r>
        <w:rPr>
          <w:rFonts w:ascii="Arial" w:hAnsi="Arial" w:eastAsia="Arial"/>
          <w:sz w:val="26"/>
        </w:rPr>
        <w:t>Contents</w:t>
      </w:r>
    </w:p>
    <w:p>
      <w:r>
        <w:rPr>
          <w:rFonts w:ascii="Arial" w:hAnsi="Arial" w:eastAsia="Arial"/>
          <w:sz w:val="22"/>
        </w:rPr>
        <w:t>1. Supplementary Methods 2. Supplementary Results 3. Supplementary Table legends 4. Supplementary Figure legends 5. Reproducibility and interpretation notes</w:t>
      </w:r>
    </w:p>
    <w:p>
      <w:r>
        <w:rPr>
          <w:rFonts w:ascii="Arial" w:hAnsi="Arial" w:eastAsia="Arial"/>
          <w:sz w:val="22"/>
        </w:rPr>
        <w:t xml:space="preserve">The complete numerical tables are supplied in </w:t>
      </w:r>
      <w:r>
        <w:rPr>
          <w:rFonts w:ascii="Arial" w:hAnsi="Arial" w:eastAsia="Arial"/>
          <w:b/>
          <w:sz w:val="22"/>
        </w:rPr>
        <w:t>Supplementary Data 1</w:t>
      </w:r>
      <w:r>
        <w:rPr>
          <w:rFonts w:ascii="Arial" w:hAnsi="Arial" w:eastAsia="Arial"/>
          <w:sz w:val="22"/>
        </w:rPr>
        <w:t xml:space="preserve">. Figure-source data and the versioned analysis package are supplied in </w:t>
      </w:r>
      <w:r>
        <w:rPr>
          <w:rFonts w:ascii="Arial" w:hAnsi="Arial" w:eastAsia="Arial"/>
          <w:b/>
          <w:sz w:val="22"/>
        </w:rPr>
        <w:t>Supplementary File 1</w:t>
      </w:r>
      <w:r>
        <w:rPr>
          <w:rFonts w:ascii="Arial" w:hAnsi="Arial" w:eastAsia="Arial"/>
          <w:sz w:val="22"/>
        </w:rPr>
        <w:t>. Null results have not been removed.</w:t>
      </w:r>
    </w:p>
    <w:p>
      <w:pPr>
        <w:pStyle w:val="Heading1"/>
      </w:pPr>
      <w:r>
        <w:rPr>
          <w:rFonts w:ascii="Arial" w:hAnsi="Arial" w:eastAsia="Arial"/>
          <w:sz w:val="26"/>
        </w:rPr>
        <w:t>Supplementary Methods</w:t>
      </w:r>
    </w:p>
    <w:p>
      <w:pPr>
        <w:pStyle w:val="Heading2"/>
      </w:pPr>
      <w:r>
        <w:rPr>
          <w:rFonts w:ascii="Arial" w:hAnsi="Arial" w:eastAsia="Arial"/>
          <w:sz w:val="22"/>
        </w:rPr>
        <w:t>Supplementary Method 1. Prespecified analysis sequence and evidence criteria</w:t>
      </w:r>
    </w:p>
    <w:p>
      <w:r>
        <w:rPr>
          <w:rFonts w:ascii="Arial" w:hAnsi="Arial" w:eastAsia="Arial"/>
          <w:sz w:val="22"/>
        </w:rPr>
        <w:t>The reconstruction separated four forms of evidence:</w:t>
      </w:r>
    </w:p>
    <w:p>
      <w:r>
        <w:rPr>
          <w:rFonts w:ascii="Arial" w:hAnsi="Arial" w:eastAsia="Arial"/>
          <w:sz w:val="22"/>
        </w:rPr>
        <w:t xml:space="preserve">1. </w:t>
      </w:r>
      <w:r>
        <w:rPr>
          <w:rFonts w:ascii="Arial" w:hAnsi="Arial" w:eastAsia="Arial"/>
          <w:b/>
          <w:sz w:val="22"/>
        </w:rPr>
        <w:t>Calibration:</w:t>
      </w:r>
      <w:r>
        <w:rPr>
          <w:rFonts w:ascii="Arial" w:hAnsi="Arial" w:eastAsia="Arial"/>
          <w:sz w:val="22"/>
        </w:rPr>
        <w:t xml:space="preserve"> whether individual candidate genes respond in the external perturbation model. 2. </w:t>
      </w:r>
      <w:r>
        <w:rPr>
          <w:rFonts w:ascii="Arial" w:hAnsi="Arial" w:eastAsia="Arial"/>
          <w:b/>
          <w:sz w:val="22"/>
        </w:rPr>
        <w:t>Replication:</w:t>
      </w:r>
      <w:r>
        <w:rPr>
          <w:rFonts w:ascii="Arial" w:hAnsi="Arial" w:eastAsia="Arial"/>
          <w:sz w:val="22"/>
        </w:rPr>
        <w:t xml:space="preserve"> whether a specified expression covariance is reproducible in another cohort or platform. 3. </w:t>
      </w:r>
      <w:r>
        <w:rPr>
          <w:rFonts w:ascii="Arial" w:hAnsi="Arial" w:eastAsia="Arial"/>
          <w:b/>
          <w:sz w:val="22"/>
        </w:rPr>
        <w:t>Orthogonal validation:</w:t>
      </w:r>
      <w:r>
        <w:rPr>
          <w:rFonts w:ascii="Arial" w:hAnsi="Arial" w:eastAsia="Arial"/>
          <w:sz w:val="22"/>
        </w:rPr>
        <w:t xml:space="preserve"> whether the proxy relates to an independently defined construct after removing shared genes and correcting the analysis unit. 4. </w:t>
      </w:r>
      <w:r>
        <w:rPr>
          <w:rFonts w:ascii="Arial" w:hAnsi="Arial" w:eastAsia="Arial"/>
          <w:b/>
          <w:sz w:val="22"/>
        </w:rPr>
        <w:t>Clinical or mechanistic validation:</w:t>
      </w:r>
      <w:r>
        <w:rPr>
          <w:rFonts w:ascii="Arial" w:hAnsi="Arial" w:eastAsia="Arial"/>
          <w:sz w:val="22"/>
        </w:rPr>
        <w:t xml:space="preserve"> whether the proxy is linked to a directly observed phenotype, outcome, genetic anchor, or drug response under prespecified multicomponent criteria.</w:t>
      </w:r>
    </w:p>
    <w:p>
      <w:r>
        <w:rPr>
          <w:rFonts w:ascii="Arial" w:hAnsi="Arial" w:eastAsia="Arial"/>
          <w:sz w:val="22"/>
        </w:rPr>
        <w:t>Replication of two scores calculated from the same expression matrix was treated as descriptive rather than orthogonal validation. Prespecified composite criteria combined multiplicity, full adjustment, leave-one-unit-out stability, and matched-null specificity; a result was considered validated only when all components were satisfied.</w:t>
      </w:r>
    </w:p>
    <w:p>
      <w:pPr>
        <w:pStyle w:val="Heading2"/>
      </w:pPr>
      <w:r>
        <w:rPr>
          <w:rFonts w:ascii="Arial" w:hAnsi="Arial" w:eastAsia="Arial"/>
          <w:sz w:val="22"/>
        </w:rPr>
        <w:t>Supplementary Method 2. Perturbation model details</w:t>
      </w:r>
    </w:p>
    <w:p>
      <w:r>
        <w:rPr>
          <w:rFonts w:ascii="Arial" w:hAnsi="Arial" w:eastAsia="Arial"/>
          <w:sz w:val="22"/>
        </w:rPr>
        <w:t>GSE235046 raw counts were analyzed at gene level. Duplicate gene symbols were summed, protein-coding genes were retained, and edgeR filtering and TMM library-size normalization preceded limma-voom modeling. The no-intercept condition design represented media, LPS, carbon starvation, combined LPS plus carbon starvation, and combined stress plus Torin. Three prespecified contrasts were tested:</w:t>
      </w:r>
    </w:p>
    <w:p>
      <w:r>
        <w:rPr>
          <w:rFonts w:ascii="Arial" w:hAnsi="Arial" w:eastAsia="Arial"/>
          <w:sz w:val="22"/>
        </w:rPr>
        <w:t>- combined stress − media; - combined stress − LPS − carbon starvation + media (formal interaction); - combined stress plus Torin − combined stress.</w:t>
      </w:r>
    </w:p>
    <w:p>
      <w:r>
        <w:rPr>
          <w:rFonts w:ascii="Arial" w:hAnsi="Arial" w:eastAsia="Arial"/>
          <w:sz w:val="22"/>
        </w:rPr>
        <w:t>Robust empirical-Bayes moderation was applied. The 17 candidate genes were retained as a prespecified panel even if an individual gene would otherwise have fallen outside an automated filter. BH correction was performed across 17 genes separately for each contrast. Genome-wide q values are retained in Table S2 for transparency but did not replace the prespecified panel family.</w:t>
      </w:r>
    </w:p>
    <w:p>
      <w:pPr>
        <w:pStyle w:val="Heading2"/>
      </w:pPr>
      <w:r>
        <w:rPr>
          <w:rFonts w:ascii="Arial" w:hAnsi="Arial" w:eastAsia="Arial"/>
          <w:sz w:val="22"/>
        </w:rPr>
        <w:t>Supplementary Method 3. GTEx and GSE44076 preprocessing sensitivities</w:t>
      </w:r>
    </w:p>
    <w:p>
      <w:r>
        <w:rPr>
          <w:rFonts w:ascii="Arial" w:hAnsi="Arial" w:eastAsia="Arial"/>
          <w:sz w:val="22"/>
        </w:rPr>
        <w:t>GTEx age intervals were represented by their midpoints. Scoring was first performed per specimen and then averaged within donor. The number of sampled colon sites was included in donor-aggregated adjusted models to reduce differential-replication bias. Site-specific models did not include that term. Two standardization scopes were deliberately retained: an all-GTEx reference distribution reproducing the original workflow and a colon-only reference distribution testing transportability of the z-score definition.</w:t>
      </w:r>
    </w:p>
    <w:p>
      <w:r>
        <w:rPr>
          <w:rFonts w:ascii="Arial" w:hAnsi="Arial" w:eastAsia="Arial"/>
          <w:sz w:val="22"/>
        </w:rPr>
        <w:t>For GSE44076, every probe-to-gene mapping was processed deterministically. Probes mapping to more than one gene were excluded. Each retained probe was standardized across its eligible samples, and all probes for the same gene were averaged. This rule prevented the order-dependent overwriting of one probe by another. Tumor and adjacent samples were linked by participant identifier. Healthy donors were analyzed as a separate group and were never paired to CRC cases.</w:t>
      </w:r>
    </w:p>
    <w:p>
      <w:pPr>
        <w:pStyle w:val="Heading2"/>
      </w:pPr>
      <w:r>
        <w:rPr>
          <w:rFonts w:ascii="Arial" w:hAnsi="Arial" w:eastAsia="Arial"/>
          <w:sz w:val="22"/>
        </w:rPr>
        <w:t>Supplementary Method 4. Patient-level single-cell profiles and covariates</w:t>
      </w:r>
    </w:p>
    <w:p>
      <w:r>
        <w:rPr>
          <w:rFonts w:ascii="Arial" w:hAnsi="Arial" w:eastAsia="Arial"/>
          <w:sz w:val="22"/>
        </w:rPr>
        <w:t>Cells were grouped into broad epithelial, myeloid, stromal, T-cell, B-cell, and mast-cell compartments from the author-provided annotations. The primary orthogonal analysis included tumor sample-by-compartment profiles with at least 20 cells. For each profile, QC covariates were log1p(number of cells), median total UMI count, and median number of detected genes. Full adjustment added MKI67 logCPM and a mean inflammatory expression covariate based on IL6, CXCL8, IL1A, IL1B, CCL2, SERPINE1, and TGFB1. Partial-rank estimates were obtained by rank transforming the variables, residualizing exposure and outcome against the prespecified covariates, and correlating the residuals.</w:t>
      </w:r>
    </w:p>
    <w:p>
      <w:r>
        <w:rPr>
          <w:rFonts w:ascii="Arial" w:hAnsi="Arial" w:eastAsia="Arial"/>
          <w:sz w:val="22"/>
        </w:rPr>
        <w:t>The legacy reference sensitivity was repeated after excluding cells with fewer than two detected reference genes. This filter was not applied to hUSI or SenePy, which used their version-pinned implementations. Pooled-cell correlations were retained only as descriptive demonstrations of pseudo-replication.</w:t>
      </w:r>
    </w:p>
    <w:p>
      <w:pPr>
        <w:pStyle w:val="Heading2"/>
      </w:pPr>
      <w:r>
        <w:rPr>
          <w:rFonts w:ascii="Arial" w:hAnsi="Arial" w:eastAsia="Arial"/>
          <w:sz w:val="22"/>
        </w:rPr>
        <w:t>Supplementary Method 5. hUSI and SenePy implementation</w:t>
      </w:r>
    </w:p>
    <w:p>
      <w:r>
        <w:rPr>
          <w:rFonts w:ascii="Arial" w:hAnsi="Arial" w:eastAsia="Arial"/>
          <w:sz w:val="22"/>
        </w:rPr>
        <w:t xml:space="preserve">The official hUSI repository was pinned at commit </w:t>
      </w:r>
      <w:r>
        <w:rPr>
          <w:rFonts w:ascii="Courier New" w:hAnsi="Courier New" w:eastAsia="Courier New"/>
          <w:sz w:val="20"/>
        </w:rPr>
        <w:t>300da32f111f8c8603e822eca8e84c9b5a76db48</w:t>
      </w:r>
      <w:r>
        <w:rPr>
          <w:rFonts w:ascii="Arial" w:hAnsi="Arial" w:eastAsia="Arial"/>
          <w:sz w:val="22"/>
        </w:rPr>
        <w:t xml:space="preserve">; the official SenePy repository was pinned at commit </w:t>
      </w:r>
      <w:r>
        <w:rPr>
          <w:rFonts w:ascii="Courier New" w:hAnsi="Courier New" w:eastAsia="Courier New"/>
          <w:sz w:val="20"/>
        </w:rPr>
        <w:t>acb0cc6f3b394f4862add2ee91d5e2af7d8c85b1</w:t>
      </w:r>
      <w:r>
        <w:rPr>
          <w:rFonts w:ascii="Arial" w:hAnsi="Arial" w:eastAsia="Arial"/>
          <w:sz w:val="22"/>
        </w:rPr>
        <w:t>. All 17 panel genes were removed from every external construct before the first association was calculated.</w:t>
      </w:r>
    </w:p>
    <w:p>
      <w:r>
        <w:rPr>
          <w:rFonts w:ascii="Arial" w:hAnsi="Arial" w:eastAsia="Arial"/>
          <w:sz w:val="22"/>
        </w:rPr>
        <w:t>hUSI was evaluated as the Spearman similarity between the official OCLR feature weights and log-normalized pseudobulk expression. After disjointing and detection filtering, 12,896 features remained. SenePy was applied at cell level using its supplied matched-background, binary-detection, and hub-weight logic and then averaged within sample-by-compartment profiles. The prespecified SenePy mappings were human intestine/epithelial cell and human intestine/macrophage. The primary family included five hUSI compartments and two SenePy compartments. Mast cells were excluded because only 187 mast cells were available in total.</w:t>
      </w:r>
    </w:p>
    <w:p>
      <w:r>
        <w:rPr>
          <w:rFonts w:ascii="Arial" w:hAnsi="Arial" w:eastAsia="Arial"/>
          <w:sz w:val="22"/>
        </w:rPr>
        <w:t>For matched-panel calibration, 1,000 random 17-gene sets were matched to the candidate panel on expression and detection characteristics. For each set, the association pipeline was repeated. Empirical P values were calculated from the position of the observed absolute statistic within the null distribution and then BH corrected across the primary family. Leave-one-patient-out sign consistency was the proportion of deletions retaining the full-data direction.</w:t>
      </w:r>
    </w:p>
    <w:p>
      <w:pPr>
        <w:pStyle w:val="Heading2"/>
      </w:pPr>
      <w:r>
        <w:rPr>
          <w:rFonts w:ascii="Arial" w:hAnsi="Arial" w:eastAsia="Arial"/>
          <w:sz w:val="22"/>
        </w:rPr>
        <w:t>Supplementary Method 6. CRC target-gene projection</w:t>
      </w:r>
    </w:p>
    <w:p>
      <w:r>
        <w:rPr>
          <w:rFonts w:ascii="Arial" w:hAnsi="Arial" w:eastAsia="Arial"/>
          <w:sz w:val="22"/>
        </w:rPr>
        <w:t xml:space="preserve">The Law et al. workbook </w:t>
      </w:r>
      <w:r>
        <w:rPr>
          <w:rFonts w:ascii="Courier New" w:hAnsi="Courier New" w:eastAsia="Courier New"/>
          <w:sz w:val="20"/>
        </w:rPr>
        <w:t>41588_2024_1900_MOESM4_ESM.xlsx</w:t>
      </w:r>
      <w:r>
        <w:rPr>
          <w:rFonts w:ascii="Arial" w:hAnsi="Arial" w:eastAsia="Arial"/>
          <w:sz w:val="22"/>
        </w:rPr>
        <w:t xml:space="preserve"> had SHA-256 </w:t>
      </w:r>
      <w:r>
        <w:rPr>
          <w:rFonts w:ascii="Courier New" w:hAnsi="Courier New" w:eastAsia="Courier New"/>
          <w:sz w:val="20"/>
        </w:rPr>
        <w:t>47517ECE44BCB4C055E07716D3DB323935A22F75420B495ED44BB7F37C6A2602</w:t>
      </w:r>
      <w:r>
        <w:rPr>
          <w:rFonts w:ascii="Arial" w:hAnsi="Arial" w:eastAsia="Arial"/>
          <w:sz w:val="22"/>
        </w:rPr>
        <w:t>. Supplementary Table 6 was the authoritative definition. Putative-gene and weak-prediction entries were split, upper-cased, and deduplicated. The raw workbook used POU2AF3 in one table and the approved alias COLCA2 in another; the single documented mapping COLCA2→POU2AF3 reconciled the two tables. The full target set contained 208 genes, including 117 high-confidence putative genes and 91 weak-only genes.</w:t>
      </w:r>
    </w:p>
    <w:p>
      <w:r>
        <w:rPr>
          <w:rFonts w:ascii="Arial" w:hAnsi="Arial" w:eastAsia="Arial"/>
          <w:sz w:val="22"/>
        </w:rPr>
        <w:t>The full and high-confidence expression projections were computed after removal of any 17-panel overlap. Five tumor compartments by two target sets defined ten primary tests. QC, full adjustment, bootstrap, leave-one-patient-out, and 1,000 matched-gene-set procedures followed the orthogonal-senescence framework. No signed allelic weights were available; therefore, these quantities were not called PRS or genetic risk scores.</w:t>
      </w:r>
    </w:p>
    <w:p>
      <w:pPr>
        <w:pStyle w:val="Heading2"/>
      </w:pPr>
      <w:r>
        <w:rPr>
          <w:rFonts w:ascii="Arial" w:hAnsi="Arial" w:eastAsia="Arial"/>
          <w:sz w:val="22"/>
        </w:rPr>
        <w:t>Supplementary Method 7. Survival models and dependent-score audit</w:t>
      </w:r>
    </w:p>
    <w:p>
      <w:r>
        <w:rPr>
          <w:rFonts w:ascii="Arial" w:hAnsi="Arial" w:eastAsia="Arial"/>
          <w:sz w:val="22"/>
        </w:rPr>
        <w:t>Survival analyses used continuous scores standardized within cohort. No median split or optimized cutoff entered the primary analysis. GSE39582 adjusted models used the prespecified available age, sex, stage, and proliferation terms. TCGA models used the corresponding available clinical variables and one primary tumor per patient. Hazard ratios are reported per one-standard-deviation increase.</w:t>
      </w:r>
    </w:p>
    <w:p>
      <w:r>
        <w:rPr>
          <w:rFonts w:ascii="Arial" w:hAnsi="Arial" w:eastAsia="Arial"/>
          <w:sz w:val="22"/>
        </w:rPr>
        <w:t>The three legacy compartment-weight vectors were assembled into a genes-by-contrasts matrix. Column sums, singular values, matrix rank, pairwise correlations, and sample-level score sums were computed. Exact gene-wise zero-sum structure and rank two made any three-axis interpretation mathematically impossible. The scores were retained only to explain why an earlier survival result could not support independent epithelial, myeloid, and stromal programs.</w:t>
      </w:r>
    </w:p>
    <w:p>
      <w:pPr>
        <w:pStyle w:val="Heading2"/>
      </w:pPr>
      <w:r>
        <w:rPr>
          <w:rFonts w:ascii="Arial" w:hAnsi="Arial" w:eastAsia="Arial"/>
          <w:sz w:val="22"/>
        </w:rPr>
        <w:t>Supplementary Method 8. GDSC2 and oncoPredict analyses</w:t>
      </w:r>
    </w:p>
    <w:p>
      <w:r>
        <w:rPr>
          <w:rFonts w:ascii="Arial" w:hAnsi="Arial" w:eastAsia="Arial"/>
          <w:sz w:val="22"/>
        </w:rPr>
        <w:t xml:space="preserve">For the oncoPredict evaluation, the observed association analyses retained official ln(IC50), whereas cross-validation and TCGA prediction used exponentiated raw IC50 with oncoPredict's internal power transformation and inverse transformation. The official oncoPredict repository was pinned at commit </w:t>
      </w:r>
      <w:r>
        <w:rPr>
          <w:rFonts w:ascii="Courier New" w:hAnsi="Courier New" w:eastAsia="Courier New"/>
          <w:sz w:val="20"/>
        </w:rPr>
        <w:t>c16c1ffaffdd855f4ada4c83a3948e5c16b618c5</w:t>
      </w:r>
      <w:r>
        <w:rPr>
          <w:rFonts w:ascii="Arial" w:hAnsi="Arial" w:eastAsia="Arial"/>
          <w:sz w:val="22"/>
        </w:rPr>
        <w:t xml:space="preserve">. The OSF </w:t>
      </w:r>
      <w:r>
        <w:rPr>
          <w:rFonts w:ascii="Courier New" w:hAnsi="Courier New" w:eastAsia="Courier New"/>
          <w:sz w:val="20"/>
        </w:rPr>
        <w:t>DataFiles.zip</w:t>
      </w:r>
      <w:r>
        <w:rPr>
          <w:rFonts w:ascii="Arial" w:hAnsi="Arial" w:eastAsia="Arial"/>
          <w:sz w:val="22"/>
        </w:rPr>
        <w:t xml:space="preserve"> archive had SHA-256 </w:t>
      </w:r>
      <w:r>
        <w:rPr>
          <w:rFonts w:ascii="Courier New" w:hAnsi="Courier New" w:eastAsia="Courier New"/>
          <w:sz w:val="20"/>
        </w:rPr>
        <w:t>2F31A2E8713A50E4276BEDAEA71D8CFCD43D5DBE50E659555C34CDBE6195528E</w:t>
      </w:r>
      <w:r>
        <w:rPr>
          <w:rFonts w:ascii="Arial" w:hAnsi="Arial" w:eastAsia="Arial"/>
          <w:sz w:val="22"/>
        </w:rPr>
        <w:t>. GDSC2 expression contained 17,419 genes for 805 cell lines, and the response matrix contained 805 lines by 198 drugs. Forty-six lines were annotated as CRC. Drugs with fewer than 20 observed CRC responses were excluded from the all-drug screen, leaving 185.</w:t>
      </w:r>
    </w:p>
    <w:p>
      <w:r>
        <w:rPr>
          <w:rFonts w:ascii="Arial" w:hAnsi="Arial" w:eastAsia="Arial"/>
          <w:sz w:val="22"/>
        </w:rPr>
        <w:t>Observed response was ln(IC50); a positive proxy–response rho therefore indicates that a higher proxy accompanies higher IC50 (relative resistance) in the cell-line screen. The full partial-rank model controlled for expression PC1, MKI67, and the across-drug general-response score. These covariates were prespecified before the focus-drug results were inspected.</w:t>
      </w:r>
    </w:p>
    <w:p>
      <w:r>
        <w:rPr>
          <w:rFonts w:ascii="Arial" w:hAnsi="Arial" w:eastAsia="Arial"/>
          <w:sz w:val="22"/>
        </w:rPr>
        <w:t>Ten-fold oncoPredict assessment generated out-of-fold predictions for every eligible GDSC2 line. All feature homogenization and phenotype transformation steps were fitted within the relevant training fold. The prespecified rank criterion was rho ≥ 0.30 with BH q &lt; 0.05 across eight focus drugs. Normalized RMSE and out-of-fold R2 were reported to distinguish rank discrimination from absolute calibration. TCGA predictions used 380 primary COAD/READ tumors and 16,349 overlapping genes. A TCGA association met the complete criterion only when prediction performance, observed CRC-line association, direction, multiplicity, and full adjustment were concordant.</w:t>
      </w:r>
    </w:p>
    <w:p>
      <w:pPr>
        <w:pStyle w:val="Heading2"/>
      </w:pPr>
      <w:r>
        <w:rPr>
          <w:rFonts w:ascii="Arial" w:hAnsi="Arial" w:eastAsia="Arial"/>
          <w:sz w:val="22"/>
        </w:rPr>
        <w:t>Supplementary Method 9. Estimand and validation audit for analyses not performed</w:t>
      </w:r>
    </w:p>
    <w:p>
      <w:r>
        <w:rPr>
          <w:rFonts w:ascii="Arial" w:hAnsi="Arial" w:eastAsia="Arial"/>
          <w:sz w:val="22"/>
        </w:rPr>
        <w:t>Each proposed extension was evaluated by specifying its exposure, outcome, inferential unit, identifying assumptions, and independent validation target before considering implementation. A transcriptomic aging clock would require age-labelled training data, an external calibration set, and a definition of age acceleration that is separable from malignant state. GSE132465 includes only 23 patients, limited age information, and substantial disease-state confounding, so these requirements were not met.</w:t>
      </w:r>
    </w:p>
    <w:p>
      <w:r>
        <w:rPr>
          <w:rFonts w:ascii="Arial" w:hAnsi="Arial" w:eastAsia="Arial"/>
          <w:sz w:val="22"/>
        </w:rPr>
        <w:t>Mendelian randomization of the composite proxy would require a reproducible genetic instrument for that exact score or a suitable exposure GWAS. Neither was available, and the panel had no direct overlap with the 208 prioritized CRC effector genes. A future causal analysis should therefore begin at gene level with relevant cis-eQTL or cis-pQTL instruments, colocalization in colon or an appropriate cell type, instrument-strength assessment, and pleiotropy diagnostics.</w:t>
      </w:r>
    </w:p>
    <w:p>
      <w:r>
        <w:rPr>
          <w:rFonts w:ascii="Arial" w:hAnsi="Arial" w:eastAsia="Arial"/>
          <w:sz w:val="22"/>
        </w:rPr>
        <w:t>The earlier PC1 ordering did not define pseudotime because the ordering and tested scores shared genes, the axis direction was aligned to the senescence score, and no independent root, temporal observation, lineage direction, or spliced/unspliced information was available. Virtual perturbation was not performed because observational expression profiles provided neither intervention labels nor held-out perturbational ground truth; model complexity cannot substitute for identifiable intervention effects or external benchmarking [26,29]. Spatial-domain analysis was also inapplicable without coordinates or imaging data [25]. Even with spatial transcriptomics, mechanistic validation would require an anchor to mitochondria–plasma-membrane proximity, localized lipid oxidation, permeability or rupture, and perturbation/rescue.</w:t>
      </w:r>
    </w:p>
    <w:p>
      <w:pPr>
        <w:pStyle w:val="Heading2"/>
      </w:pPr>
      <w:r>
        <w:rPr>
          <w:rFonts w:ascii="Arial" w:hAnsi="Arial" w:eastAsia="Arial"/>
          <w:sz w:val="22"/>
        </w:rPr>
        <w:t>Supplementary Method 10. Composition, meta-analytic, panel-robustness, and independent-platform checks</w:t>
      </w:r>
    </w:p>
    <w:p>
      <w:r>
        <w:rPr>
          <w:rFonts w:ascii="Arial" w:hAnsi="Arial" w:eastAsia="Arial"/>
          <w:sz w:val="22"/>
        </w:rPr>
        <w:t>Cell-composition deconvolution used the EPIC method with its built-in reference profile (immune, CAF, endothelial, and other cells) [36]. For TCGA-COAD/READ, Xena HiSeqV2 values (log2 RSEM) were transformed to the linear scale before deconvolution; for GSE39582, GPL570 probe-level expression was collapsed to genes using hgu133plus2.db, removing multi-gene probes and averaging within-gene probe values, and the linearized gene matrix was deconvolved. Partial-rank models adjusted the proxy–senescence covariance for MKI67, EPIC immune fraction, EPIC fibroblast fraction, and the EPIC other-cell fraction as a purity proxy.</w:t>
      </w:r>
    </w:p>
    <w:p>
      <w:r>
        <w:rPr>
          <w:rFonts w:ascii="Arial" w:hAnsi="Arial" w:eastAsia="Arial"/>
          <w:sz w:val="22"/>
        </w:rPr>
        <w:t>Cross-cohort synthesis of the four non-nested bulk CRC cohorts (TCGA-COAD, TCGA-READ, GSE39582, GSE44076 tumors) used Fisher-z-transformed Spearman estimates with fixed- and random-effects (DerSimonian–Laird) meta-analysis; the nested combined COADREAD cohort was excluded from the primary meta-analysis. Leave-one-gene-out re-scoring recomputed the uniform proxy after deleting each of the 17 panel genes in turn and repeated the TCGA covariance.</w:t>
      </w:r>
    </w:p>
    <w:p>
      <w:r>
        <w:rPr>
          <w:rFonts w:ascii="Arial" w:hAnsi="Arial" w:eastAsia="Arial"/>
          <w:sz w:val="22"/>
        </w:rPr>
        <w:t>Protein-level validation used the CPTAC-2 prospective colon cohort (cBioPortal coad_cptac_2019) with sample-level Spearman tests of per-gene mRNA–protein concordance and of proxy–senescence covariance at the mRNA and protein layers [37]. CRISPR dependency was assessed in DepMap 24Q2 (CRISPRGeneEffect) with CERES &lt; -0.5 defined as dependency, restricted to CRC cell lines and compared with the full-lineage background [38]. Human Protein Atlas JSON summaries provided protein evidence and RNA tissue distribution for the 17 panel genes [39].</w:t>
      </w:r>
    </w:p>
    <w:p>
      <w:pPr>
        <w:pStyle w:val="Heading1"/>
      </w:pPr>
      <w:r>
        <w:rPr>
          <w:rFonts w:ascii="Arial" w:hAnsi="Arial" w:eastAsia="Arial"/>
          <w:sz w:val="26"/>
        </w:rPr>
        <w:t>Supplementary Results</w:t>
      </w:r>
    </w:p>
    <w:p>
      <w:pPr>
        <w:pStyle w:val="Heading2"/>
      </w:pPr>
      <w:r>
        <w:rPr>
          <w:rFonts w:ascii="Arial" w:hAnsi="Arial" w:eastAsia="Arial"/>
          <w:sz w:val="22"/>
        </w:rPr>
        <w:t>Supplementary Result 1. Independent P0 reproducibility audit</w:t>
      </w:r>
    </w:p>
    <w:p>
      <w:r>
        <w:rPr>
          <w:rFonts w:ascii="Arial" w:hAnsi="Arial" w:eastAsia="Arial"/>
          <w:sz w:val="22"/>
        </w:rPr>
        <w:t>Two independently organized P0 reanalysis directories contained 41 overlapping CSV or JSON outputs. SHA-256 values agreed exactly for all 41 files. This agreement verifies deterministic reproduction of the overlapping result tables; it does not independently validate the biological assumptions of the analysis.</w:t>
      </w:r>
    </w:p>
    <w:p>
      <w:pPr>
        <w:pStyle w:val="Heading2"/>
      </w:pPr>
      <w:r>
        <w:rPr>
          <w:rFonts w:ascii="Arial" w:hAnsi="Arial" w:eastAsia="Arial"/>
          <w:sz w:val="22"/>
        </w:rPr>
        <w:t>Supplementary Result 2. The formal interaction is real but heterogeneous</w:t>
      </w:r>
    </w:p>
    <w:p>
      <w:r>
        <w:rPr>
          <w:rFonts w:ascii="Arial" w:hAnsi="Arial" w:eastAsia="Arial"/>
          <w:sz w:val="22"/>
        </w:rPr>
        <w:t>The correction of the old “combined minus maximum single stimulus” statistic did not eliminate interaction evidence. Fifteen of 17 formal factorial interactions were supported at panel-level q &lt; 0.05. Their directions were mixed, however, and the result therefore cannot justify a one-direction signature. In the Torin contrast, exactly eight genes increased and eight decreased, with NINJ1 null. This is why the revised manuscript says that the candidate genes are perturbation responsive but not coherently induced and rescued.</w:t>
      </w:r>
    </w:p>
    <w:p>
      <w:pPr>
        <w:pStyle w:val="Heading2"/>
      </w:pPr>
      <w:r>
        <w:rPr>
          <w:rFonts w:ascii="Arial" w:hAnsi="Arial" w:eastAsia="Arial"/>
          <w:sz w:val="22"/>
        </w:rPr>
        <w:t>Supplementary Result 3. GTEx site conclusions depend on the z-score reference</w:t>
      </w:r>
    </w:p>
    <w:p>
      <w:r>
        <w:rPr>
          <w:rFonts w:ascii="Arial" w:hAnsi="Arial" w:eastAsia="Arial"/>
          <w:sz w:val="22"/>
        </w:rPr>
        <w:t>All-GTEx standardization yielded a large positive transverse estimate and null sigmoid estimate. Colon-only standardization moved both estimates in the positive direction and retained a larger transverse value. The adjusted proxy–age estimate was small and non-significant, whereas the legacy reference retained an age association. These results prohibit both a strictly transverse-only claim and an aging-clock claim.</w:t>
      </w:r>
    </w:p>
    <w:p>
      <w:pPr>
        <w:pStyle w:val="Heading2"/>
      </w:pPr>
      <w:r>
        <w:rPr>
          <w:rFonts w:ascii="Arial" w:hAnsi="Arial" w:eastAsia="Arial"/>
          <w:sz w:val="22"/>
        </w:rPr>
        <w:t>Supplementary Result 4. Probe correction reveals a healthy–tumor sign difference without paired proxy elevation</w:t>
      </w:r>
    </w:p>
    <w:p>
      <w:r>
        <w:rPr>
          <w:rFonts w:ascii="Arial" w:hAnsi="Arial" w:eastAsia="Arial"/>
          <w:sz w:val="22"/>
        </w:rPr>
        <w:t>Twenty-three of 30 genes used across the two GSE44076 scores had multiple eligible probes. Correct averaging produced a negative healthy estimate and positive tumor estimate. The healthy-versus-tumor correlation difference survived correction, but the uniform proxy did not increase within matched tumor–adjacent pairs. The observations are compatible with changed covariance or composition; they do not define a temporal transition.</w:t>
      </w:r>
    </w:p>
    <w:p>
      <w:pPr>
        <w:pStyle w:val="Heading2"/>
      </w:pPr>
      <w:r>
        <w:rPr>
          <w:rFonts w:ascii="Arial" w:hAnsi="Arial" w:eastAsia="Arial"/>
          <w:sz w:val="22"/>
        </w:rPr>
        <w:t>Supplementary Result 5. Orthogonal senescence tests do not meet the complete validation criterion</w:t>
      </w:r>
    </w:p>
    <w:p>
      <w:r>
        <w:rPr>
          <w:rFonts w:ascii="Arial" w:hAnsi="Arial" w:eastAsia="Arial"/>
          <w:sz w:val="22"/>
        </w:rPr>
        <w:t>The epithelial hUSI raw association was nominal but did not retain support after BH correction, full adjustment, or matched-panel calibration. The epithelial SenePy direction changed between raw and full models, and neither estimate was supported. No remaining hUSI or SenePy compartment met the criterion. The nominal epithelial estimate is retained to show the effect of the successive validation layers rather than imply that every component statistic was null.</w:t>
      </w:r>
    </w:p>
    <w:p>
      <w:pPr>
        <w:pStyle w:val="Heading2"/>
      </w:pPr>
      <w:r>
        <w:rPr>
          <w:rFonts w:ascii="Arial" w:hAnsi="Arial" w:eastAsia="Arial"/>
          <w:sz w:val="22"/>
        </w:rPr>
        <w:t>Supplementary Result 6. Genetic projection is not robust to target confidence and matched nulls</w:t>
      </w:r>
    </w:p>
    <w:p>
      <w:r>
        <w:rPr>
          <w:rFonts w:ascii="Arial" w:hAnsi="Arial" w:eastAsia="Arial"/>
          <w:sz w:val="22"/>
        </w:rPr>
        <w:t>The full 208-gene T-cell projection was the only test to satisfy the individual full gate. When the analysis was restricted to the 117 high-confidence target genes, the ordinary T-cell association remained positive but fell within the distribution of matched random sets. This discrepancy suggests sensitivity to the composition and transcriptional breadth of the larger target set. No panel-level causal interpretation is justified.</w:t>
      </w:r>
    </w:p>
    <w:p>
      <w:pPr>
        <w:pStyle w:val="Heading2"/>
      </w:pPr>
      <w:r>
        <w:rPr>
          <w:rFonts w:ascii="Arial" w:hAnsi="Arial" w:eastAsia="Arial"/>
          <w:sz w:val="22"/>
        </w:rPr>
        <w:t>Supplementary Result 7. Survival findings are model sensitive and non-replicating</w:t>
      </w:r>
    </w:p>
    <w:p>
      <w:r>
        <w:rPr>
          <w:rFonts w:ascii="Arial" w:hAnsi="Arial" w:eastAsia="Arial"/>
          <w:sz w:val="22"/>
        </w:rPr>
        <w:t>The uniform proxy was null in adjusted TCGA-COAD and GSE39582 models. TCGA-READ had only 17 OS events and a non-null proportional-hazards diagnostic, limiting interpretation. The earlier GSE39582 epithelial contrast was supported only before routine clinical/proliferation adjustment and did not replicate for RFS or TCGA. Together with the exact zero-sum algebra, this excludes a prognostic-compartment narrative.</w:t>
      </w:r>
    </w:p>
    <w:p>
      <w:pPr>
        <w:pStyle w:val="Heading2"/>
      </w:pPr>
      <w:r>
        <w:rPr>
          <w:rFonts w:ascii="Arial" w:hAnsi="Arial" w:eastAsia="Arial"/>
          <w:sz w:val="22"/>
        </w:rPr>
        <w:t>Supplementary Result 8. Virtual drug associations fail observed-response anchoring</w:t>
      </w:r>
    </w:p>
    <w:p>
      <w:r>
        <w:rPr>
          <w:rFonts w:ascii="Arial" w:hAnsi="Arial" w:eastAsia="Arial"/>
          <w:sz w:val="22"/>
        </w:rPr>
        <w:t>Seven of eight focus-drug models passed the prespecified oncoPredict rank gate, but normalized RMSE remained close to one outcome standard deviation and out-of-fold R2 was small. This is a warning that good rank correlation does not ensure calibrated patient-scale prediction. More importantly, none of the focus-drug associations with observed response in 46 CRC lines passed full adjustment and multiplicity. The same was true across all 185 drugs. Strong TCGA predicted-response correlations therefore remained compatible with common expression input and were not promoted.</w:t>
      </w:r>
    </w:p>
    <w:p>
      <w:pPr>
        <w:pStyle w:val="Heading2"/>
      </w:pPr>
      <w:r>
        <w:rPr>
          <w:rFonts w:ascii="Arial" w:hAnsi="Arial" w:eastAsia="Arial"/>
          <w:sz w:val="22"/>
        </w:rPr>
        <w:t>Supplementary Result 9. Replication persists with substantial heterogeneity and composition adjustment</w:t>
      </w:r>
    </w:p>
    <w:p>
      <w:r>
        <w:rPr>
          <w:rFonts w:ascii="Arial" w:hAnsi="Arial" w:eastAsia="Arial"/>
          <w:sz w:val="22"/>
        </w:rPr>
        <w:t>Across TCGA-COAD, TCGA-READ, GSE39582, and GSE44076 tumors, the random-effects pooled proxy–legacy-reference correlation was rho = 0.339 (95% CI 0.172–0.486), with substantial heterogeneity (I² = 85.1%; Q = 20.17, df = 3, P = 0.0002). EPIC-based adjustment for immune fraction, fibroblast fraction, and a purity proxy attenuated the TCGA estimates but did not eliminate them (COAD rho = 0.260, P = 1.0 × 10⁻⁵; READ rho = 0.263, P = 0.012); the GSE39582 estimate was unchanged (rho = 0.161, P = 9.3 × 10⁻⁵). Thus, composition contributed to the covariance in a cohort-dependent manner but did not fully account for it.</w:t>
      </w:r>
    </w:p>
    <w:p>
      <w:pPr>
        <w:pStyle w:val="Heading2"/>
      </w:pPr>
      <w:r>
        <w:rPr>
          <w:rFonts w:ascii="Arial" w:hAnsi="Arial" w:eastAsia="Arial"/>
          <w:sz w:val="22"/>
        </w:rPr>
        <w:t>Supplementary Result 10. Leave-one-gene-out analysis excludes single-gene dominance</w:t>
      </w:r>
    </w:p>
    <w:p>
      <w:r>
        <w:rPr>
          <w:rFonts w:ascii="Arial" w:hAnsi="Arial" w:eastAsia="Arial"/>
          <w:sz w:val="22"/>
        </w:rPr>
        <w:t>Deleting each panel gene in turn left all TCGA estimates positive. The COAD range was rho = 0.400–0.450 (maximum absolute change 0.027), and the READ range was 0.394–0.486 (maximum absolute change 0.047). The same-expression covariance is therefore not attributable to one panel gene, although this robustness does not establish construct specificity.</w:t>
      </w:r>
    </w:p>
    <w:p>
      <w:pPr>
        <w:pStyle w:val="Heading2"/>
      </w:pPr>
      <w:r>
        <w:rPr>
          <w:rFonts w:ascii="Arial" w:hAnsi="Arial" w:eastAsia="Arial"/>
          <w:sz w:val="22"/>
        </w:rPr>
        <w:t>Supplementary Result 11. Reduced-feature protein-layer covariance without CRC-specific dependency</w:t>
      </w:r>
    </w:p>
    <w:p>
      <w:r>
        <w:rPr>
          <w:rFonts w:ascii="Arial" w:hAnsi="Arial" w:eastAsia="Arial"/>
          <w:sz w:val="22"/>
        </w:rPr>
        <w:t>In CPTAC-2 colon, proxy–senescence covariance was reproduced at the protein level (n = 97; rho = 0.292, P = 0.0037) and was similar at the mRNA level (n = 106; rho = 0.318, P = 0.0009). Per-gene mRNA–protein concordance varied widely and was near zero for MTOR, RICTOR, and RPTOR. DepMap 24Q2 showed no CRC-selective dependency among the 17 genes; dependence was concentrated in mTORC nodes at frequencies similar to the pan-lineage background. Fifteen panel genes had Human Protein Atlas protein-level evidence, while NLRP3 remained supported only at the transcript level. Because only 10/17 proxy genes and 8/12 reference genes were measurable at the protein layer, with heterogeneous missingness and gene-specific paired sample sizes, these results are an exploratory modality check and do not establish protein-level construct validity or a CRC-specific functional program.</w:t>
      </w:r>
    </w:p>
    <w:p>
      <w:pPr>
        <w:pStyle w:val="Heading2"/>
      </w:pPr>
      <w:r>
        <w:rPr>
          <w:rFonts w:ascii="Arial" w:hAnsi="Arial" w:eastAsia="Arial"/>
          <w:sz w:val="22"/>
        </w:rPr>
        <w:t>Supplementary Result 12. Patient-level single-cell estimates depend on the scoring implementation</w:t>
      </w:r>
    </w:p>
    <w:p>
      <w:r>
        <w:rPr>
          <w:rFonts w:ascii="Arial" w:hAnsi="Arial" w:eastAsia="Arial"/>
          <w:sz w:val="22"/>
        </w:rPr>
        <w:t>Within GSE132465 tumor sample-by-cell-type profiles, correlations between the proxy and senescence scores differed across mean gene-wise z scoring, UCell AUC, and log-mean expression. The epithelial estimate ranged from −0.244 to 0.033, the T-cell estimate changed from −0.207 to 0.399, and stromal and B-cell estimates differed by approximately 0.4–0.6. This sensitivity analysis was not a replacement for the prespecified, covariate-adjusted, matched-null validation; it shows that patient-level claims depend materially on score construction.</w:t>
      </w:r>
    </w:p>
    <w:p>
      <w:pPr>
        <w:pStyle w:val="Heading1"/>
      </w:pPr>
      <w:r>
        <w:rPr>
          <w:rFonts w:ascii="Arial" w:hAnsi="Arial" w:eastAsia="Arial"/>
          <w:sz w:val="26"/>
        </w:rPr>
        <w:t>Supplementary Table legends</w:t>
      </w:r>
    </w:p>
    <w:p>
      <w:r>
        <w:rPr>
          <w:rFonts w:ascii="Arial" w:hAnsi="Arial" w:eastAsia="Arial"/>
          <w:b/>
          <w:sz w:val="22"/>
        </w:rPr>
        <w:t>Table S1. Dataset and evidence-role matrix.</w:t>
      </w:r>
      <w:r>
        <w:rPr>
          <w:rFonts w:ascii="Arial" w:hAnsi="Arial" w:eastAsia="Arial"/>
          <w:sz w:val="22"/>
        </w:rPr>
        <w:t xml:space="preserve"> Population/platform, independent unit, prespecified principal role, and claim ceiling for each data source.</w:t>
      </w:r>
    </w:p>
    <w:p>
      <w:r>
        <w:rPr>
          <w:rFonts w:ascii="Arial" w:hAnsi="Arial" w:eastAsia="Arial"/>
          <w:b/>
          <w:sz w:val="22"/>
        </w:rPr>
        <w:t>Table S2. GSE235046 perturbational estimates.</w:t>
      </w:r>
      <w:r>
        <w:rPr>
          <w:rFonts w:ascii="Arial" w:hAnsi="Arial" w:eastAsia="Arial"/>
          <w:sz w:val="22"/>
        </w:rPr>
        <w:t xml:space="preserve"> Gene-wise log2 fold changes, standard errors, 95% confidence intervals, raw P values, panel-level BH q values, and genome-wide q values for all three prespecified contrasts.</w:t>
      </w:r>
    </w:p>
    <w:p>
      <w:r>
        <w:rPr>
          <w:rFonts w:ascii="Arial" w:hAnsi="Arial" w:eastAsia="Arial"/>
          <w:b/>
          <w:sz w:val="22"/>
        </w:rPr>
        <w:t>Table S3A. GTEx site and standardization-scope analysis.</w:t>
      </w:r>
      <w:r>
        <w:rPr>
          <w:rFonts w:ascii="Arial" w:hAnsi="Arial" w:eastAsia="Arial"/>
          <w:sz w:val="22"/>
        </w:rPr>
        <w:t xml:space="preserve"> Donor-level raw and covariate-adjusted proxy–reference estimates in sigmoid and transverse colon under all-GTEx and colon-only standardization. </w:t>
      </w:r>
      <w:r>
        <w:rPr>
          <w:rFonts w:ascii="Arial" w:hAnsi="Arial" w:eastAsia="Arial"/>
          <w:b/>
          <w:sz w:val="22"/>
        </w:rPr>
        <w:t>Table S3B. GTEx age analysis.</w:t>
      </w:r>
      <w:r>
        <w:rPr>
          <w:rFonts w:ascii="Arial" w:hAnsi="Arial" w:eastAsia="Arial"/>
          <w:sz w:val="22"/>
        </w:rPr>
        <w:t xml:space="preserve"> Raw and adjusted proxy/reference associations with chronological age.</w:t>
      </w:r>
    </w:p>
    <w:p>
      <w:r>
        <w:rPr>
          <w:rFonts w:ascii="Arial" w:hAnsi="Arial" w:eastAsia="Arial"/>
          <w:b/>
          <w:sz w:val="22"/>
        </w:rPr>
        <w:t>Table S4A. GSE44076 group-specific covariance.</w:t>
      </w:r>
      <w:r>
        <w:rPr>
          <w:rFonts w:ascii="Arial" w:hAnsi="Arial" w:eastAsia="Arial"/>
          <w:sz w:val="22"/>
        </w:rPr>
        <w:t xml:space="preserve"> Corrected raw and adjusted estimates in healthy, adjacent, and tumor mucosa. </w:t>
      </w:r>
      <w:r>
        <w:rPr>
          <w:rFonts w:ascii="Arial" w:hAnsi="Arial" w:eastAsia="Arial"/>
          <w:b/>
          <w:sz w:val="22"/>
        </w:rPr>
        <w:t>Table S4B. Correlation differences.</w:t>
      </w:r>
      <w:r>
        <w:rPr>
          <w:rFonts w:ascii="Arial" w:hAnsi="Arial" w:eastAsia="Arial"/>
          <w:sz w:val="22"/>
        </w:rPr>
        <w:t xml:space="preserve"> Fisher-z comparisons between tissue contexts. </w:t>
      </w:r>
      <w:r>
        <w:rPr>
          <w:rFonts w:ascii="Arial" w:hAnsi="Arial" w:eastAsia="Arial"/>
          <w:b/>
          <w:sz w:val="22"/>
        </w:rPr>
        <w:t>Table S4C. Paired tumor–adjacent changes.</w:t>
      </w:r>
      <w:r>
        <w:rPr>
          <w:rFonts w:ascii="Arial" w:hAnsi="Arial" w:eastAsia="Arial"/>
          <w:sz w:val="22"/>
        </w:rPr>
        <w:t xml:space="preserve"> Median paired changes, confidence intervals, standardized paired effects, P values, and q values.</w:t>
      </w:r>
    </w:p>
    <w:p>
      <w:r>
        <w:rPr>
          <w:rFonts w:ascii="Arial" w:hAnsi="Arial" w:eastAsia="Arial"/>
          <w:b/>
          <w:sz w:val="22"/>
        </w:rPr>
        <w:t>Table S5A. GSE63577 strain-specific slopes.</w:t>
      </w:r>
      <w:r>
        <w:rPr>
          <w:rFonts w:ascii="Arial" w:hAnsi="Arial" w:eastAsia="Arial"/>
          <w:sz w:val="22"/>
        </w:rPr>
        <w:t xml:space="preserve"> Within-strain correlations and slopes against population doubling. </w:t>
      </w:r>
      <w:r>
        <w:rPr>
          <w:rFonts w:ascii="Arial" w:hAnsi="Arial" w:eastAsia="Arial"/>
          <w:b/>
          <w:sz w:val="22"/>
        </w:rPr>
        <w:t>Table S5B. GSE63577 independence-aware tests.</w:t>
      </w:r>
      <w:r>
        <w:rPr>
          <w:rFonts w:ascii="Arial" w:hAnsi="Arial" w:eastAsia="Arial"/>
          <w:sz w:val="22"/>
        </w:rPr>
        <w:t xml:space="preserve"> Pooled and stratified permutation results for the proxy and reference.</w:t>
      </w:r>
    </w:p>
    <w:p>
      <w:r>
        <w:rPr>
          <w:rFonts w:ascii="Arial" w:hAnsi="Arial" w:eastAsia="Arial"/>
          <w:b/>
          <w:sz w:val="22"/>
        </w:rPr>
        <w:t>Table S6A. GSE132465 experimental-unit sensitivity.</w:t>
      </w:r>
      <w:r>
        <w:rPr>
          <w:rFonts w:ascii="Arial" w:hAnsi="Arial" w:eastAsia="Arial"/>
          <w:sz w:val="22"/>
        </w:rPr>
        <w:t xml:space="preserve"> Pooled-cell, filtered-cell, patient-pseudobulk, filtered-pseudobulk, and within-patient estimates. </w:t>
      </w:r>
      <w:r>
        <w:rPr>
          <w:rFonts w:ascii="Arial" w:hAnsi="Arial" w:eastAsia="Arial"/>
          <w:b/>
          <w:sz w:val="22"/>
        </w:rPr>
        <w:t>Table S6B. Tumor-only pseudobulk covariance.</w:t>
      </w:r>
      <w:r>
        <w:rPr>
          <w:rFonts w:ascii="Arial" w:hAnsi="Arial" w:eastAsia="Arial"/>
          <w:sz w:val="22"/>
        </w:rPr>
        <w:t xml:space="preserve"> Broad-compartment sample-level estimates and multiplicity results.</w:t>
      </w:r>
    </w:p>
    <w:p>
      <w:r>
        <w:rPr>
          <w:rFonts w:ascii="Arial" w:hAnsi="Arial" w:eastAsia="Arial"/>
          <w:b/>
          <w:sz w:val="22"/>
        </w:rPr>
        <w:t>Table S7A. Orthogonal senescence associations.</w:t>
      </w:r>
      <w:r>
        <w:rPr>
          <w:rFonts w:ascii="Arial" w:hAnsi="Arial" w:eastAsia="Arial"/>
          <w:sz w:val="22"/>
        </w:rPr>
        <w:t xml:space="preserve"> hUSI and SenePy raw, QC-adjusted, and fully adjusted estimates with bootstrap and leave-one-patient-out results. </w:t>
      </w:r>
      <w:r>
        <w:rPr>
          <w:rFonts w:ascii="Arial" w:hAnsi="Arial" w:eastAsia="Arial"/>
          <w:b/>
          <w:sz w:val="22"/>
        </w:rPr>
        <w:t>Table S7B. Orthogonal validation gates.</w:t>
      </w:r>
      <w:r>
        <w:rPr>
          <w:rFonts w:ascii="Arial" w:hAnsi="Arial" w:eastAsia="Arial"/>
          <w:sz w:val="22"/>
        </w:rPr>
        <w:t xml:space="preserve"> BH, robustness, empirical-null, and final specificity fields.</w:t>
      </w:r>
    </w:p>
    <w:p>
      <w:r>
        <w:rPr>
          <w:rFonts w:ascii="Arial" w:hAnsi="Arial" w:eastAsia="Arial"/>
          <w:b/>
          <w:sz w:val="22"/>
        </w:rPr>
        <w:t>Table S8. Survival models.</w:t>
      </w:r>
      <w:r>
        <w:rPr>
          <w:rFonts w:ascii="Arial" w:hAnsi="Arial" w:eastAsia="Arial"/>
          <w:sz w:val="22"/>
        </w:rPr>
        <w:t xml:space="preserve"> Cohort, endpoint, score, adjustment set, sample/event counts, HR per SD, 95% CI, P, q, and model diagnostics used in Fig. 5a.</w:t>
      </w:r>
    </w:p>
    <w:p>
      <w:r>
        <w:rPr>
          <w:rFonts w:ascii="Arial" w:hAnsi="Arial" w:eastAsia="Arial"/>
          <w:b/>
          <w:sz w:val="22"/>
        </w:rPr>
        <w:t>Table S9A. Official CRC target genes.</w:t>
      </w:r>
      <w:r>
        <w:rPr>
          <w:rFonts w:ascii="Arial" w:hAnsi="Arial" w:eastAsia="Arial"/>
          <w:sz w:val="22"/>
        </w:rPr>
        <w:t xml:space="preserve"> Full and high-confidence target membership after alias reconciliation. </w:t>
      </w:r>
      <w:r>
        <w:rPr>
          <w:rFonts w:ascii="Arial" w:hAnsi="Arial" w:eastAsia="Arial"/>
          <w:b/>
          <w:sz w:val="22"/>
        </w:rPr>
        <w:t>Table S9B. CRC target-expression projections.</w:t>
      </w:r>
      <w:r>
        <w:rPr>
          <w:rFonts w:ascii="Arial" w:hAnsi="Arial" w:eastAsia="Arial"/>
          <w:sz w:val="22"/>
        </w:rPr>
        <w:t xml:space="preserve"> Raw and adjusted patient-level estimates. </w:t>
      </w:r>
      <w:r>
        <w:rPr>
          <w:rFonts w:ascii="Arial" w:hAnsi="Arial" w:eastAsia="Arial"/>
          <w:b/>
          <w:sz w:val="22"/>
        </w:rPr>
        <w:t>Table S9C. Genetic-specificity gates.</w:t>
      </w:r>
      <w:r>
        <w:rPr>
          <w:rFonts w:ascii="Arial" w:hAnsi="Arial" w:eastAsia="Arial"/>
          <w:sz w:val="22"/>
        </w:rPr>
        <w:t xml:space="preserve"> Empirical matched-null and final eligibility fields.</w:t>
      </w:r>
    </w:p>
    <w:p>
      <w:r>
        <w:rPr>
          <w:rFonts w:ascii="Arial" w:hAnsi="Arial" w:eastAsia="Arial"/>
          <w:b/>
          <w:sz w:val="22"/>
        </w:rPr>
        <w:t>Table S10A. Observed GDSC2 focus-drug associations.</w:t>
      </w:r>
      <w:r>
        <w:rPr>
          <w:rFonts w:ascii="Arial" w:hAnsi="Arial" w:eastAsia="Arial"/>
          <w:sz w:val="22"/>
        </w:rPr>
        <w:t xml:space="preserve"> Raw and adjusted estimates for two proxies and eight prespecified drugs. </w:t>
      </w:r>
      <w:r>
        <w:rPr>
          <w:rFonts w:ascii="Arial" w:hAnsi="Arial" w:eastAsia="Arial"/>
          <w:b/>
          <w:sz w:val="22"/>
        </w:rPr>
        <w:t>Table S10B. Complete observed-response screen.</w:t>
      </w:r>
      <w:r>
        <w:rPr>
          <w:rFonts w:ascii="Arial" w:hAnsi="Arial" w:eastAsia="Arial"/>
          <w:sz w:val="22"/>
        </w:rPr>
        <w:t xml:space="preserve"> Corresponding results for 185 evaluable drugs. </w:t>
      </w:r>
      <w:r>
        <w:rPr>
          <w:rFonts w:ascii="Arial" w:hAnsi="Arial" w:eastAsia="Arial"/>
          <w:b/>
          <w:sz w:val="22"/>
        </w:rPr>
        <w:t>Table S10C. Stability analysis.</w:t>
      </w:r>
      <w:r>
        <w:rPr>
          <w:rFonts w:ascii="Arial" w:hAnsi="Arial" w:eastAsia="Arial"/>
          <w:sz w:val="22"/>
        </w:rPr>
        <w:t xml:space="preserve"> Bootstrap and leave-one-line-out focus-drug results.</w:t>
      </w:r>
    </w:p>
    <w:p>
      <w:r>
        <w:rPr>
          <w:rFonts w:ascii="Arial" w:hAnsi="Arial" w:eastAsia="Arial"/>
          <w:b/>
          <w:sz w:val="22"/>
        </w:rPr>
        <w:t>Table S11A. oncoPredict ten-fold performance.</w:t>
      </w:r>
      <w:r>
        <w:rPr>
          <w:rFonts w:ascii="Arial" w:hAnsi="Arial" w:eastAsia="Arial"/>
          <w:sz w:val="22"/>
        </w:rPr>
        <w:t xml:space="preserve"> Out-of-fold rho, uncertainty, normalized RMSE, R2, multiplicity, and rank-gate result. </w:t>
      </w:r>
      <w:r>
        <w:rPr>
          <w:rFonts w:ascii="Arial" w:hAnsi="Arial" w:eastAsia="Arial"/>
          <w:b/>
          <w:sz w:val="22"/>
        </w:rPr>
        <w:t>Table S11B. Integrated drug evidence gates.</w:t>
      </w:r>
      <w:r>
        <w:rPr>
          <w:rFonts w:ascii="Arial" w:hAnsi="Arial" w:eastAsia="Arial"/>
          <w:sz w:val="22"/>
        </w:rPr>
        <w:t xml:space="preserve"> Observed-response, TCGA prediction, adjustment, direction, and final claim status for all 16 proxy-by-drug combinations.</w:t>
      </w:r>
    </w:p>
    <w:p>
      <w:r>
        <w:rPr>
          <w:rFonts w:ascii="Arial" w:hAnsi="Arial" w:eastAsia="Arial"/>
          <w:b/>
          <w:sz w:val="22"/>
        </w:rPr>
        <w:t>Table S12. Compartment-score zero-sum audit.</w:t>
      </w:r>
      <w:r>
        <w:rPr>
          <w:rFonts w:ascii="Arial" w:hAnsi="Arial" w:eastAsia="Arial"/>
          <w:sz w:val="22"/>
        </w:rPr>
        <w:t xml:space="preserve"> Numerical verification that the three legacy contrasts are linearly dependent and sum to zero at sample level.</w:t>
      </w:r>
    </w:p>
    <w:p>
      <w:r>
        <w:rPr>
          <w:rFonts w:ascii="Arial" w:hAnsi="Arial" w:eastAsia="Arial"/>
          <w:b/>
          <w:sz w:val="22"/>
        </w:rPr>
        <w:t>Table S13. Reproducibility manifest.</w:t>
      </w:r>
      <w:r>
        <w:rPr>
          <w:rFonts w:ascii="Arial" w:hAnsi="Arial" w:eastAsia="Arial"/>
          <w:sz w:val="22"/>
        </w:rPr>
        <w:t xml:space="preserve"> Flattened version, input-hash, run, and method metadata; authoritative JSON and session files are retained in the reproducibility package.</w:t>
      </w:r>
    </w:p>
    <w:p>
      <w:r>
        <w:rPr>
          <w:rFonts w:ascii="Arial" w:hAnsi="Arial" w:eastAsia="Arial"/>
          <w:b/>
          <w:sz w:val="22"/>
        </w:rPr>
        <w:t>Table S14. Composition-adjusted and panel-robustness results (v7).</w:t>
      </w:r>
      <w:r>
        <w:rPr>
          <w:rFonts w:ascii="Arial" w:hAnsi="Arial" w:eastAsia="Arial"/>
          <w:sz w:val="22"/>
        </w:rPr>
        <w:t xml:space="preserve"> EPIC-derived immune/fibroblast/purity-adjusted partial-rank covariance estimates for TCGA-COAD, TCGA-READ, and GSE39582; Fisher-z fixed/random-effects meta-analysis of the four non-nested bulk CRC cohorts (I², Q, P); leave-one-gene-out TCGA covariance ranges; CPTAC-2 mRNA and protein proxy–senescence covariance and per-gene mRNA–protein concordance; DepMap CRC CRISPR dependency counts; and HPA protein-evidence status for the 17 panel genes.</w:t>
      </w:r>
    </w:p>
    <w:p>
      <w:pPr>
        <w:pStyle w:val="Heading1"/>
      </w:pPr>
      <w:r>
        <w:rPr>
          <w:rFonts w:ascii="Arial" w:hAnsi="Arial" w:eastAsia="Arial"/>
          <w:sz w:val="26"/>
        </w:rPr>
        <w:t>Supplementary Figure legends</w:t>
      </w:r>
    </w:p>
    <w:p>
      <w:r>
        <w:rPr>
          <w:rFonts w:ascii="Arial" w:hAnsi="Arial" w:eastAsia="Arial"/>
          <w:b/>
          <w:sz w:val="22"/>
        </w:rPr>
        <w:t>Supplementary Fig. S1. Algebraic dependence of the legacy compartment contrasts.</w:t>
      </w:r>
      <w:r>
        <w:rPr>
          <w:rFonts w:ascii="Arial" w:hAnsi="Arial" w:eastAsia="Arial"/>
          <w:sz w:val="22"/>
        </w:rPr>
        <w:t xml:space="preserve"> Pairwise score dependence, numerical zero-sum verification, and rank/interpretation audit.</w:t>
      </w:r>
    </w:p>
    <w:p>
      <w:r>
        <w:rPr>
          <w:rFonts w:ascii="Arial" w:hAnsi="Arial" w:eastAsia="Arial"/>
          <w:b/>
          <w:sz w:val="22"/>
        </w:rPr>
        <w:t>Supplementary Fig. S2. GSE63577 stratified validation.</w:t>
      </w:r>
      <w:r>
        <w:rPr>
          <w:rFonts w:ascii="Arial" w:hAnsi="Arial" w:eastAsia="Arial"/>
          <w:sz w:val="22"/>
        </w:rPr>
        <w:t xml:space="preserve"> Within-fibroblast-strain slopes and pooled versus strain-aware tests.</w:t>
      </w:r>
    </w:p>
    <w:p>
      <w:r>
        <w:rPr>
          <w:rFonts w:ascii="Arial" w:hAnsi="Arial" w:eastAsia="Arial"/>
          <w:b/>
          <w:sz w:val="22"/>
        </w:rPr>
        <w:t>Supplementary Fig. S3. Single-cell experimental-unit sensitivity.</w:t>
      </w:r>
      <w:r>
        <w:rPr>
          <w:rFonts w:ascii="Arial" w:hAnsi="Arial" w:eastAsia="Arial"/>
          <w:sz w:val="22"/>
        </w:rPr>
        <w:t xml:space="preserve"> Cell-level, filtered-cell, patient-pseudobulk, and tumor sample-by-compartment analyses.</w:t>
      </w:r>
    </w:p>
    <w:p>
      <w:r>
        <w:rPr>
          <w:rFonts w:ascii="Arial" w:hAnsi="Arial" w:eastAsia="Arial"/>
          <w:b/>
          <w:sz w:val="22"/>
        </w:rPr>
        <w:t>Supplementary Fig. S4. Survival sensitivity.</w:t>
      </w:r>
      <w:r>
        <w:rPr>
          <w:rFonts w:ascii="Arial" w:hAnsi="Arial" w:eastAsia="Arial"/>
          <w:sz w:val="22"/>
        </w:rPr>
        <w:t xml:space="preserve"> GSE39582 overall-survival/relapse-free-survival and TCGA continuous-score models before and after adjustment.</w:t>
      </w:r>
    </w:p>
    <w:p>
      <w:r>
        <w:rPr>
          <w:rFonts w:ascii="Arial" w:hAnsi="Arial" w:eastAsia="Arial"/>
          <w:b/>
          <w:sz w:val="22"/>
        </w:rPr>
        <w:t>Supplementary Fig. S5. Genetics matched-null specificity.</w:t>
      </w:r>
      <w:r>
        <w:rPr>
          <w:rFonts w:ascii="Arial" w:hAnsi="Arial" w:eastAsia="Arial"/>
          <w:sz w:val="22"/>
        </w:rPr>
        <w:t xml:space="preserve"> Observed target-projection estimates against expression/detection-matched random-gene-set distributions.</w:t>
      </w:r>
    </w:p>
    <w:p>
      <w:r>
        <w:rPr>
          <w:rFonts w:ascii="Arial" w:hAnsi="Arial" w:eastAsia="Arial"/>
          <w:b/>
          <w:sz w:val="22"/>
        </w:rPr>
        <w:t>Supplementary Fig. S6. Complete observed GDSC2 analysis.</w:t>
      </w:r>
      <w:r>
        <w:rPr>
          <w:rFonts w:ascii="Arial" w:hAnsi="Arial" w:eastAsia="Arial"/>
          <w:sz w:val="22"/>
        </w:rPr>
        <w:t xml:space="preserve"> All-drug raw/adjusted associations and focus-drug bootstrap/leave-one-cell-line-out stability.</w:t>
      </w:r>
    </w:p>
    <w:p>
      <w:r>
        <w:rPr>
          <w:rFonts w:ascii="Arial" w:hAnsi="Arial" w:eastAsia="Arial"/>
          <w:b/>
          <w:sz w:val="22"/>
        </w:rPr>
        <w:t>Supplementary Fig. S7. oncoPredict cross-validation and patient-prediction diagnostics.</w:t>
      </w:r>
      <w:r>
        <w:rPr>
          <w:rFonts w:ascii="Arial" w:hAnsi="Arial" w:eastAsia="Arial"/>
          <w:sz w:val="22"/>
        </w:rPr>
        <w:t xml:space="preserve"> Out-of-fold rank, calibration, observed-versus-predicted, and shared-input diagnostics for eight prespecified drugs.</w:t>
      </w:r>
    </w:p>
    <w:p>
      <w:r>
        <w:rPr>
          <w:rFonts w:ascii="Arial" w:hAnsi="Arial" w:eastAsia="Arial"/>
          <w:b/>
          <w:sz w:val="22"/>
        </w:rPr>
        <w:t>Supplementary Fig. S8. Random-effects meta-analysis of bulk CRC covariance.</w:t>
      </w:r>
      <w:r>
        <w:rPr>
          <w:rFonts w:ascii="Arial" w:hAnsi="Arial" w:eastAsia="Arial"/>
          <w:sz w:val="22"/>
        </w:rPr>
        <w:t xml:space="preserve"> Four non-nested bulk CRC cohorts with fixed- and random-effects pooled estimates and heterogeneity statistics.</w:t>
      </w:r>
    </w:p>
    <w:p>
      <w:r>
        <w:rPr>
          <w:rFonts w:ascii="Arial" w:hAnsi="Arial" w:eastAsia="Arial"/>
          <w:b/>
          <w:sz w:val="22"/>
        </w:rPr>
        <w:t>Supplementary Fig. S9. EPIC-based cell-composition adjustment.</w:t>
      </w:r>
      <w:r>
        <w:rPr>
          <w:rFonts w:ascii="Arial" w:hAnsi="Arial" w:eastAsia="Arial"/>
          <w:sz w:val="22"/>
        </w:rPr>
        <w:t xml:space="preserve"> Partial Spearman estimates before and after additional immune, fibroblast, and purity-proxy adjustment in three cohorts.</w:t>
      </w:r>
    </w:p>
    <w:p>
      <w:r>
        <w:rPr>
          <w:rFonts w:ascii="Arial" w:hAnsi="Arial" w:eastAsia="Arial"/>
          <w:b/>
          <w:sz w:val="22"/>
        </w:rPr>
        <w:t>Supplementary Fig. S10. Leave-one-gene-out robustness in TCGA.</w:t>
      </w:r>
      <w:r>
        <w:rPr>
          <w:rFonts w:ascii="Arial" w:hAnsi="Arial" w:eastAsia="Arial"/>
          <w:sz w:val="22"/>
        </w:rPr>
        <w:t xml:space="preserve"> (a) Recomputed proxy–senescence estimates after deleting each of the 17 panel genes in TCGA-COAD. (b) The corresponding analysis in TCGA-READ.</w:t>
      </w:r>
    </w:p>
    <w:p>
      <w:r>
        <w:rPr>
          <w:rFonts w:ascii="Arial" w:hAnsi="Arial" w:eastAsia="Arial"/>
          <w:b/>
          <w:sz w:val="22"/>
        </w:rPr>
        <w:t>Supplementary Fig. S11. CPTAC-2 reduced-feature protein-layer evaluation.</w:t>
      </w:r>
      <w:r>
        <w:rPr>
          <w:rFonts w:ascii="Arial" w:hAnsi="Arial" w:eastAsia="Arial"/>
          <w:sz w:val="22"/>
        </w:rPr>
        <w:t xml:space="preserve"> (a) mRNA- and protein-layer covariance in CPTAC-2 colon. (b) Per-gene mRNA–protein concordance.</w:t>
      </w:r>
    </w:p>
    <w:p>
      <w:r>
        <w:rPr>
          <w:rFonts w:ascii="Arial" w:hAnsi="Arial" w:eastAsia="Arial"/>
          <w:b/>
          <w:sz w:val="22"/>
        </w:rPr>
        <w:t>Supplementary Fig. S12. Single-cell scoring-method sensitivity.</w:t>
      </w:r>
      <w:r>
        <w:rPr>
          <w:rFonts w:ascii="Arial" w:hAnsi="Arial" w:eastAsia="Arial"/>
          <w:sz w:val="22"/>
        </w:rPr>
        <w:t xml:space="preserve"> Patient-level correlations under mean z, UCell AUC, and log-mean scoring.</w:t>
      </w:r>
    </w:p>
    <w:p>
      <w:pPr>
        <w:pStyle w:val="Heading1"/>
      </w:pPr>
      <w:r>
        <w:rPr>
          <w:rFonts w:ascii="Arial" w:hAnsi="Arial" w:eastAsia="Arial"/>
          <w:sz w:val="26"/>
        </w:rPr>
        <w:t>Reproducibility and interpretation notes</w:t>
      </w:r>
    </w:p>
    <w:p>
      <w:r>
        <w:rPr>
          <w:rFonts w:ascii="Arial" w:hAnsi="Arial" w:eastAsia="Arial"/>
          <w:sz w:val="22"/>
        </w:rPr>
        <w:t xml:space="preserve">- </w:t>
      </w:r>
      <w:r>
        <w:rPr>
          <w:rFonts w:ascii="Courier New" w:hAnsi="Courier New" w:eastAsia="Courier New"/>
          <w:sz w:val="20"/>
        </w:rPr>
        <w:t>rho</w:t>
      </w:r>
      <w:r>
        <w:rPr>
          <w:rFonts w:ascii="Arial" w:hAnsi="Arial" w:eastAsia="Arial"/>
          <w:sz w:val="22"/>
        </w:rPr>
        <w:t xml:space="preserve"> denotes Spearman correlation unless otherwise specified. - </w:t>
      </w:r>
      <w:r>
        <w:rPr>
          <w:rFonts w:ascii="Courier New" w:hAnsi="Courier New" w:eastAsia="Courier New"/>
          <w:sz w:val="20"/>
        </w:rPr>
        <w:t>partial_rho</w:t>
      </w:r>
      <w:r>
        <w:rPr>
          <w:rFonts w:ascii="Arial" w:hAnsi="Arial" w:eastAsia="Arial"/>
          <w:sz w:val="22"/>
        </w:rPr>
        <w:t xml:space="preserve"> denotes rank-residualized partial Spearman correlation under the named covariates. - </w:t>
      </w:r>
      <w:r>
        <w:rPr>
          <w:rFonts w:ascii="Courier New" w:hAnsi="Courier New" w:eastAsia="Courier New"/>
          <w:sz w:val="20"/>
        </w:rPr>
        <w:t>P</w:t>
      </w:r>
      <w:r>
        <w:rPr>
          <w:rFonts w:ascii="Arial" w:hAnsi="Arial" w:eastAsia="Arial"/>
          <w:sz w:val="22"/>
        </w:rPr>
        <w:t xml:space="preserve"> values are two sided. - </w:t>
      </w:r>
      <w:r>
        <w:rPr>
          <w:rFonts w:ascii="Courier New" w:hAnsi="Courier New" w:eastAsia="Courier New"/>
          <w:sz w:val="20"/>
        </w:rPr>
        <w:t>q</w:t>
      </w:r>
      <w:r>
        <w:rPr>
          <w:rFonts w:ascii="Arial" w:hAnsi="Arial" w:eastAsia="Arial"/>
          <w:sz w:val="22"/>
        </w:rPr>
        <w:t xml:space="preserve"> denotes BH-adjusted P within the prespecified family named in each table. - Missing values indicate that an estimate was not available or not eligible; they are not assumed to be zero. - “Did not meet the complete criterion” means that at least one prespecified component was not satisfied; it does not imply that every component statistic was null. - The terms “proxy,” “reference,” “projection,” and “prediction” are intentionally distinct and should not be interchanged during copyediting.</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sz w:val="20"/>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0"/>
    </w:pPr>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eastAsia="Arial"/>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eastAsia="Arial"/>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80" w:line="240" w:lineRule="auto" w:before="200"/>
      <w:contextualSpacing/>
    </w:pPr>
    <w:rPr>
      <w:rFonts w:asciiTheme="majorHAnsi" w:eastAsiaTheme="majorEastAsia" w:hAnsiTheme="majorHAnsi" w:cstheme="majorBidi" w:ascii="Arial" w:hAnsi="Arial" w:eastAsia="Arial"/>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keepLines/>
      <w:spacing w:line="276" w:lineRule="auto"/>
    </w:pPr>
    <w:rPr>
      <w:rFonts w:ascii="Arial" w:hAnsi="Arial" w:eastAsia="Arial"/>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 validity and evidence boundaries of a 17-gene transcriptomic proxy for mitoxyperilysis in colorectal aging and cancer</dc:title>
  <dc:subject>Discover Oncology Analysis submission</dc:subject>
  <dc:creator>Pan Sun et al.</dc:creator>
  <cp:keywords>mitoxyperilysis; colorectal cancer; construct validity</cp:keywords>
  <dc:description>generated by python-docx</dc:description>
  <cp:lastModifiedBy/>
  <cp:revision>1</cp:revision>
  <dcterms:created xsi:type="dcterms:W3CDTF">2013-12-23T23:15:00Z</dcterms:created>
  <dcterms:modified xsi:type="dcterms:W3CDTF">2013-12-23T23:15:00Z</dcterms:modified>
  <cp:category/>
</cp:coreProperties>
</file>