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supplementary-tables"/>
    <w:p>
      <w:pPr>
        <w:pStyle w:val="Heading1"/>
        <w:spacing w:line="480" w:lineRule="auto"/>
      </w:pPr>
      <w:r>
        <w:t xml:space="preserve">Supplementary Tables</w:t>
      </w:r>
    </w:p>
    <w:p>
      <w:pPr>
        <w:pStyle w:val="FirstParagraph"/>
        <w:spacing w:line="480" w:lineRule="auto"/>
      </w:pPr>
      <w:r>
        <w:t xml:space="preserve">All fusion experiments reported here were performed with the same text normalization pipeline and reference transcripts used in the main paper (Whisper English normalizer; figshare-OSCE reference with injected apostrophes per Methods). Source scripts and per-file results are available in the project repository under</w:t>
      </w:r>
      <w:r>
        <w:t xml:space="preserve"> </w:t>
      </w:r>
      <w:r>
        <w:rPr>
          <w:rStyle w:val="VerbatimChar"/>
        </w:rPr>
        <w:t xml:space="preserve">fusion_depth/</w:t>
      </w:r>
      <w:r>
        <w:t xml:space="preserve"> </w:t>
      </w:r>
      <w:r>
        <w:t xml:space="preserve">(depth-study) and</w:t>
      </w:r>
      <w:r>
        <w:t xml:space="preserve"> </w:t>
      </w:r>
      <w:r>
        <w:rPr>
          <w:rStyle w:val="VerbatimChar"/>
        </w:rPr>
        <w:t xml:space="preserve">scripts/round_robin_fusion.py</w:t>
      </w:r>
      <w:r>
        <w:t xml:space="preserve"> </w:t>
      </w:r>
      <w:r>
        <w:t xml:space="preserve">(round-robin).</w:t>
      </w:r>
    </w:p>
    <w:bookmarkStart w:id="9" w:name="Xa4d0a8c7b567c8b60b17c7d4b662be5fce6f478"/>
    <w:p>
      <w:pPr>
        <w:pStyle w:val="Heading2"/>
        <w:spacing w:line="480" w:lineRule="auto"/>
      </w:pPr>
      <w:r>
        <w:t xml:space="preserve">Table S1. Fusion algorithm comparison on the pairing of the two best solo on-device models.</w:t>
      </w:r>
    </w:p>
    <w:p>
      <w:pPr>
        <w:pStyle w:val="FirstParagraph"/>
        <w:spacing w:line="480" w:lineRule="auto"/>
      </w:pPr>
      <w:r>
        <w:t xml:space="preserve">PriMock57 (57 files), parakeet-tdt-0.6b-v2 + whisper-distil-v3.5. Δ is against the best solo model (parakeet-tdt-0.6b-v2, 13.76% WER). Note: the solo baseline WER here (13.76%) differs by 0.09 pp from the value reported in Table 1 of the main paper (13.85%). Both are whisper-normalizer + jiwer word error rates over the same 57 PriMock57 files; the 0.09 pp drift reflects minor alignment-bookkeeping differences between the depth-study implementation and the main-benchmark implementation and does not affect the ordering of fusion methods or the conclusion that no method exceeded naive ROVER by more than ~0.4 pp. </w:t>
      </w:r>
      <w:r>
        <w:t xml:space="preserve">“Uses token log-probs”</w:t>
      </w:r>
      <w:r>
        <w:t xml:space="preserve"> </w:t>
      </w:r>
      <w:r>
        <w:t xml:space="preserve">indicates whether the method consumes per-token probability information from the ASR decoder, as exposed by the API proposed in sherpa-onnx PR #2897. Oracle is the lowest WER achievable by any word-picking voting scheme given the two hypotheses. CNC = Confusion Network Combination (Mangu et al., 2000); epsilon parameters control the cost of null arcs for handling insertions and deletions.</w:t>
      </w:r>
    </w:p>
    <w:p>
      <w:pPr>
        <w:pStyle w:val="BodyText"/>
        <w:spacing w:line="480" w:lineRule="auto"/>
      </w:pPr>
      <w:r>
        <w:t xml:space="preserve">Data:</w:t>
      </w:r>
      <w:r>
        <w:t xml:space="preserve"> </w:t>
      </w:r>
      <w:r>
        <w:rPr>
          <w:rStyle w:val="VerbatimChar"/>
        </w:rPr>
        <w:t xml:space="preserve">supplementary_table_S1_fusion_methods.csv</w:t>
      </w:r>
      <w:r>
        <w:t xml:space="preserve">.</w:t>
      </w:r>
    </w:p>
    <w:tbl>
      <w:tblPr>
        <w:tblStyle w:val="Table"/>
        <w:tblW w:type="dxa" w:w="9358"/>
        <w:tblLayout w:type="fixed"/>
        <w:tblLook w:firstRow="1" w:lastRow="0" w:firstColumn="0" w:lastColumn="0" w:noHBand="0" w:noVBand="0" w:val="0020"/>
      </w:tblPr>
      <w:tblGrid>
        <w:gridCol w:w="4872"/>
        <w:gridCol w:w="897"/>
        <w:gridCol w:w="1025"/>
        <w:gridCol w:w="2564"/>
      </w:tblGrid>
      <w:tr>
        <w:trPr>
          <w:tblHeader w:val="on"/>
          <w:cantSplit/>
        </w:trPr>
        <w:tc>
          <w:tcPr>
            <w:tcW w:type="dxa" w:w="4872"/>
          </w:tcPr>
          <w:p>
            <w:pPr>
              <w:pStyle w:val="Compact"/>
              <w:spacing w:line="240" w:lineRule="auto" w:before="20" w:after="20"/>
            </w:pPr>
            <w:r>
              <w:rPr>
                <w:sz w:val="18"/>
              </w:rPr>
              <w:t xml:space="preserve">Method</w:t>
            </w:r>
          </w:p>
        </w:tc>
        <w:tc>
          <w:tcPr>
            <w:tcW w:type="dxa" w:w="897"/>
          </w:tcPr>
          <w:p>
            <w:pPr>
              <w:pStyle w:val="Compact"/>
              <w:spacing w:line="240" w:lineRule="auto" w:before="20" w:after="20"/>
              <w:jc w:val="right"/>
            </w:pPr>
            <w:r>
              <w:rPr>
                <w:sz w:val="18"/>
              </w:rPr>
              <w:t xml:space="preserve">WER (%)</w:t>
            </w:r>
          </w:p>
        </w:tc>
        <w:tc>
          <w:tcPr>
            <w:tcW w:type="dxa" w:w="1025"/>
          </w:tcPr>
          <w:p>
            <w:pPr>
              <w:pStyle w:val="Compact"/>
              <w:spacing w:line="240" w:lineRule="auto" w:before="20" w:after="20"/>
              <w:jc w:val="right"/>
            </w:pPr>
            <w:r>
              <w:rPr>
                <w:sz w:val="18"/>
              </w:rPr>
              <w:t xml:space="preserve">Δ (pp)</w:t>
            </w:r>
          </w:p>
        </w:tc>
        <w:tc>
          <w:tcPr>
            <w:tcW w:type="dxa" w:w="2564"/>
          </w:tcPr>
          <w:p>
            <w:pPr>
              <w:pStyle w:val="Compact"/>
              <w:spacing w:line="240" w:lineRule="auto" w:before="20" w:after="20"/>
              <w:jc w:val="center"/>
            </w:pPr>
            <w:r>
              <w:rPr>
                <w:sz w:val="18"/>
              </w:rPr>
              <w:t xml:space="preserve">Uses token log-probs</w:t>
            </w:r>
          </w:p>
        </w:tc>
      </w:tr>
      <w:tr>
        <w:trPr>
          <w:cantSplit/>
        </w:trPr>
        <w:tc>
          <w:tcPr>
            <w:tcW w:type="dxa" w:w="4872"/>
          </w:tcPr>
          <w:p>
            <w:pPr>
              <w:pStyle w:val="Compact"/>
              <w:spacing w:line="240" w:lineRule="auto" w:before="20" w:after="20"/>
            </w:pPr>
            <w:r>
              <w:rPr>
                <w:sz w:val="18"/>
              </w:rPr>
              <w:t xml:space="preserve">parakeet-tdt-0.6b-v2 (solo)</w:t>
            </w:r>
          </w:p>
        </w:tc>
        <w:tc>
          <w:tcPr>
            <w:tcW w:type="dxa" w:w="897"/>
          </w:tcPr>
          <w:p>
            <w:pPr>
              <w:pStyle w:val="Compact"/>
              <w:spacing w:line="240" w:lineRule="auto" w:before="20" w:after="20"/>
              <w:jc w:val="right"/>
            </w:pPr>
            <w:r>
              <w:rPr>
                <w:sz w:val="18"/>
              </w:rPr>
              <w:t xml:space="preserve">13.76</w:t>
            </w:r>
          </w:p>
        </w:tc>
        <w:tc>
          <w:tcPr>
            <w:tcW w:type="dxa" w:w="1025"/>
          </w:tcPr>
          <w:p>
            <w:pPr>
              <w:pStyle w:val="Compact"/>
              <w:spacing w:line="240" w:lineRule="auto" w:before="20" w:after="20"/>
              <w:jc w:val="right"/>
            </w:pPr>
            <w:r>
              <w:rPr>
                <w:sz w:val="18"/>
              </w:rPr>
              <w:t xml:space="preserve">baseline</w:t>
            </w:r>
          </w:p>
        </w:tc>
        <w:tc>
          <w:tcPr>
            <w:tcW w:type="dxa" w:w="2564"/>
          </w:tcPr>
          <w:p>
            <w:pPr>
              <w:pStyle w:val="Compact"/>
              <w:spacing w:line="240" w:lineRule="auto" w:before="20" w:after="20"/>
              <w:jc w:val="center"/>
            </w:pPr>
            <w:r>
              <w:rPr>
                <w:sz w:val="18"/>
              </w:rPr>
              <w:t xml:space="preserve">no</w:t>
            </w:r>
          </w:p>
        </w:tc>
      </w:tr>
      <w:tr>
        <w:trPr>
          <w:cantSplit/>
        </w:trPr>
        <w:tc>
          <w:tcPr>
            <w:tcW w:type="dxa" w:w="4872"/>
          </w:tcPr>
          <w:p>
            <w:pPr>
              <w:pStyle w:val="Compact"/>
              <w:spacing w:line="240" w:lineRule="auto" w:before="20" w:after="20"/>
            </w:pPr>
            <w:r>
              <w:rPr>
                <w:sz w:val="18"/>
              </w:rPr>
              <w:t xml:space="preserve">whisper-distil-v3.5 (solo)</w:t>
            </w:r>
          </w:p>
        </w:tc>
        <w:tc>
          <w:tcPr>
            <w:tcW w:type="dxa" w:w="897"/>
          </w:tcPr>
          <w:p>
            <w:pPr>
              <w:pStyle w:val="Compact"/>
              <w:spacing w:line="240" w:lineRule="auto" w:before="20" w:after="20"/>
              <w:jc w:val="right"/>
            </w:pPr>
            <w:r>
              <w:rPr>
                <w:sz w:val="18"/>
              </w:rPr>
              <w:t xml:space="preserve">15.27</w:t>
            </w:r>
          </w:p>
        </w:tc>
        <w:tc>
          <w:tcPr>
            <w:tcW w:type="dxa" w:w="1025"/>
          </w:tcPr>
          <w:p>
            <w:pPr>
              <w:pStyle w:val="Compact"/>
              <w:spacing w:line="240" w:lineRule="auto" w:before="20" w:after="20"/>
              <w:jc w:val="right"/>
            </w:pPr>
            <w:r>
              <w:rPr>
                <w:sz w:val="18"/>
              </w:rPr>
              <w:t xml:space="preserve">+1.51</w:t>
            </w:r>
          </w:p>
        </w:tc>
        <w:tc>
          <w:tcPr>
            <w:tcW w:type="dxa" w:w="2564"/>
          </w:tcPr>
          <w:p>
            <w:pPr>
              <w:pStyle w:val="Compact"/>
              <w:spacing w:line="240" w:lineRule="auto" w:before="20" w:after="20"/>
              <w:jc w:val="center"/>
            </w:pPr>
            <w:r>
              <w:rPr>
                <w:sz w:val="18"/>
              </w:rPr>
              <w:t xml:space="preserve">no</w:t>
            </w:r>
          </w:p>
        </w:tc>
      </w:tr>
      <w:tr>
        <w:trPr>
          <w:cantSplit/>
        </w:trPr>
        <w:tc>
          <w:tcPr>
            <w:tcW w:type="dxa" w:w="4872"/>
          </w:tcPr>
          <w:p>
            <w:pPr>
              <w:pStyle w:val="Compact"/>
              <w:spacing w:line="240" w:lineRule="auto" w:before="20" w:after="20"/>
            </w:pPr>
            <w:r>
              <w:rPr>
                <w:sz w:val="18"/>
              </w:rPr>
              <w:t xml:space="preserve">Naive ROVER (Fiscus 1997)</w:t>
            </w:r>
          </w:p>
        </w:tc>
        <w:tc>
          <w:tcPr>
            <w:tcW w:type="dxa" w:w="897"/>
          </w:tcPr>
          <w:p>
            <w:pPr>
              <w:pStyle w:val="Compact"/>
              <w:spacing w:line="240" w:lineRule="auto" w:before="20" w:after="20"/>
              <w:jc w:val="right"/>
            </w:pPr>
            <w:r>
              <w:rPr>
                <w:sz w:val="18"/>
              </w:rPr>
              <w:t xml:space="preserve">13.41</w:t>
            </w:r>
          </w:p>
        </w:tc>
        <w:tc>
          <w:tcPr>
            <w:tcW w:type="dxa" w:w="1025"/>
          </w:tcPr>
          <w:p>
            <w:pPr>
              <w:pStyle w:val="Compact"/>
              <w:spacing w:line="240" w:lineRule="auto" w:before="20" w:after="20"/>
              <w:jc w:val="right"/>
            </w:pPr>
            <w:r>
              <w:rPr>
                <w:sz w:val="18"/>
              </w:rPr>
              <w:t xml:space="preserve">−0.35</w:t>
            </w:r>
          </w:p>
        </w:tc>
        <w:tc>
          <w:tcPr>
            <w:tcW w:type="dxa" w:w="2564"/>
          </w:tcPr>
          <w:p>
            <w:pPr>
              <w:pStyle w:val="Compact"/>
              <w:spacing w:line="240" w:lineRule="auto" w:before="20" w:after="20"/>
              <w:jc w:val="center"/>
            </w:pPr>
            <w:r>
              <w:rPr>
                <w:sz w:val="18"/>
              </w:rPr>
              <w:t xml:space="preserve">no</w:t>
            </w:r>
          </w:p>
        </w:tc>
      </w:tr>
      <w:tr>
        <w:trPr>
          <w:cantSplit/>
        </w:trPr>
        <w:tc>
          <w:tcPr>
            <w:tcW w:type="dxa" w:w="4872"/>
          </w:tcPr>
          <w:p>
            <w:pPr>
              <w:pStyle w:val="Compact"/>
              <w:spacing w:line="240" w:lineRule="auto" w:before="20" w:after="20"/>
            </w:pPr>
            <w:r>
              <w:rPr>
                <w:sz w:val="18"/>
              </w:rPr>
              <w:t xml:space="preserve">Confidence-weighted ROVER</w:t>
            </w:r>
          </w:p>
        </w:tc>
        <w:tc>
          <w:tcPr>
            <w:tcW w:type="dxa" w:w="897"/>
          </w:tcPr>
          <w:p>
            <w:pPr>
              <w:pStyle w:val="Compact"/>
              <w:spacing w:line="240" w:lineRule="auto" w:before="20" w:after="20"/>
              <w:jc w:val="right"/>
            </w:pPr>
            <w:r>
              <w:rPr>
                <w:sz w:val="18"/>
              </w:rPr>
              <w:t xml:space="preserve">13.36</w:t>
            </w:r>
          </w:p>
        </w:tc>
        <w:tc>
          <w:tcPr>
            <w:tcW w:type="dxa" w:w="1025"/>
          </w:tcPr>
          <w:p>
            <w:pPr>
              <w:pStyle w:val="Compact"/>
              <w:spacing w:line="240" w:lineRule="auto" w:before="20" w:after="20"/>
              <w:jc w:val="right"/>
            </w:pPr>
            <w:r>
              <w:rPr>
                <w:sz w:val="18"/>
              </w:rPr>
              <w:t xml:space="preserve">−0.40</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Shannon entropy-weighted</w:t>
            </w:r>
          </w:p>
        </w:tc>
        <w:tc>
          <w:tcPr>
            <w:tcW w:type="dxa" w:w="897"/>
          </w:tcPr>
          <w:p>
            <w:pPr>
              <w:pStyle w:val="Compact"/>
              <w:spacing w:line="240" w:lineRule="auto" w:before="20" w:after="20"/>
              <w:jc w:val="right"/>
            </w:pPr>
            <w:r>
              <w:rPr>
                <w:sz w:val="18"/>
              </w:rPr>
              <w:t xml:space="preserve">13.30</w:t>
            </w:r>
          </w:p>
        </w:tc>
        <w:tc>
          <w:tcPr>
            <w:tcW w:type="dxa" w:w="1025"/>
          </w:tcPr>
          <w:p>
            <w:pPr>
              <w:pStyle w:val="Compact"/>
              <w:spacing w:line="240" w:lineRule="auto" w:before="20" w:after="20"/>
              <w:jc w:val="right"/>
            </w:pPr>
            <w:r>
              <w:rPr>
                <w:sz w:val="18"/>
              </w:rPr>
              <w:t xml:space="preserve">−0.46</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Tsallis entropy-weighted</w:t>
            </w:r>
          </w:p>
        </w:tc>
        <w:tc>
          <w:tcPr>
            <w:tcW w:type="dxa" w:w="897"/>
          </w:tcPr>
          <w:p>
            <w:pPr>
              <w:pStyle w:val="Compact"/>
              <w:spacing w:line="240" w:lineRule="auto" w:before="20" w:after="20"/>
              <w:jc w:val="right"/>
            </w:pPr>
            <w:r>
              <w:rPr>
                <w:sz w:val="18"/>
              </w:rPr>
              <w:t xml:space="preserve">13.41</w:t>
            </w:r>
          </w:p>
        </w:tc>
        <w:tc>
          <w:tcPr>
            <w:tcW w:type="dxa" w:w="1025"/>
          </w:tcPr>
          <w:p>
            <w:pPr>
              <w:pStyle w:val="Compact"/>
              <w:spacing w:line="240" w:lineRule="auto" w:before="20" w:after="20"/>
              <w:jc w:val="right"/>
            </w:pPr>
            <w:r>
              <w:rPr>
                <w:sz w:val="18"/>
              </w:rPr>
              <w:t xml:space="preserve">−0.35</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Margin-weighted</w:t>
            </w:r>
          </w:p>
        </w:tc>
        <w:tc>
          <w:tcPr>
            <w:tcW w:type="dxa" w:w="897"/>
          </w:tcPr>
          <w:p>
            <w:pPr>
              <w:pStyle w:val="Compact"/>
              <w:spacing w:line="240" w:lineRule="auto" w:before="20" w:after="20"/>
              <w:jc w:val="right"/>
            </w:pPr>
            <w:r>
              <w:rPr>
                <w:sz w:val="18"/>
              </w:rPr>
              <w:t xml:space="preserve">13.39</w:t>
            </w:r>
          </w:p>
        </w:tc>
        <w:tc>
          <w:tcPr>
            <w:tcW w:type="dxa" w:w="1025"/>
          </w:tcPr>
          <w:p>
            <w:pPr>
              <w:pStyle w:val="Compact"/>
              <w:spacing w:line="240" w:lineRule="auto" w:before="20" w:after="20"/>
              <w:jc w:val="right"/>
            </w:pPr>
            <w:r>
              <w:rPr>
                <w:sz w:val="18"/>
              </w:rPr>
              <w:t xml:space="preserve">−0.37</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Asymmetric defaulting</w:t>
            </w:r>
          </w:p>
        </w:tc>
        <w:tc>
          <w:tcPr>
            <w:tcW w:type="dxa" w:w="897"/>
          </w:tcPr>
          <w:p>
            <w:pPr>
              <w:pStyle w:val="Compact"/>
              <w:spacing w:line="240" w:lineRule="auto" w:before="20" w:after="20"/>
              <w:jc w:val="right"/>
            </w:pPr>
            <w:r>
              <w:rPr>
                <w:sz w:val="18"/>
              </w:rPr>
              <w:t xml:space="preserve">14.02</w:t>
            </w:r>
          </w:p>
        </w:tc>
        <w:tc>
          <w:tcPr>
            <w:tcW w:type="dxa" w:w="1025"/>
          </w:tcPr>
          <w:p>
            <w:pPr>
              <w:pStyle w:val="Compact"/>
              <w:spacing w:line="240" w:lineRule="auto" w:before="20" w:after="20"/>
              <w:jc w:val="right"/>
            </w:pPr>
            <w:r>
              <w:rPr>
                <w:sz w:val="18"/>
              </w:rPr>
              <w:t xml:space="preserve">+0.26</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CNC default (Mangu 2000)</w:t>
            </w:r>
          </w:p>
        </w:tc>
        <w:tc>
          <w:tcPr>
            <w:tcW w:type="dxa" w:w="897"/>
          </w:tcPr>
          <w:p>
            <w:pPr>
              <w:pStyle w:val="Compact"/>
              <w:spacing w:line="240" w:lineRule="auto" w:before="20" w:after="20"/>
              <w:jc w:val="right"/>
            </w:pPr>
            <w:r>
              <w:rPr>
                <w:sz w:val="18"/>
              </w:rPr>
              <w:t xml:space="preserve">13.80</w:t>
            </w:r>
          </w:p>
        </w:tc>
        <w:tc>
          <w:tcPr>
            <w:tcW w:type="dxa" w:w="1025"/>
          </w:tcPr>
          <w:p>
            <w:pPr>
              <w:pStyle w:val="Compact"/>
              <w:spacing w:line="240" w:lineRule="auto" w:before="20" w:after="20"/>
              <w:jc w:val="right"/>
            </w:pPr>
            <w:r>
              <w:rPr>
                <w:sz w:val="18"/>
              </w:rPr>
              <w:t xml:space="preserve">+0.04</w:t>
            </w:r>
          </w:p>
        </w:tc>
        <w:tc>
          <w:tcPr>
            <w:tcW w:type="dxa" w:w="2564"/>
          </w:tcPr>
          <w:p>
            <w:pPr>
              <w:pStyle w:val="Compact"/>
              <w:spacing w:line="240" w:lineRule="auto" w:before="20" w:after="20"/>
              <w:jc w:val="center"/>
            </w:pPr>
            <w:r>
              <w:rPr>
                <w:sz w:val="18"/>
              </w:rPr>
              <w:t xml:space="preserve">no</w:t>
            </w:r>
          </w:p>
        </w:tc>
      </w:tr>
      <w:tr>
        <w:trPr>
          <w:cantSplit/>
        </w:trPr>
        <w:tc>
          <w:tcPr>
            <w:tcW w:type="dxa" w:w="4872"/>
          </w:tcPr>
          <w:p>
            <w:pPr>
              <w:pStyle w:val="Compact"/>
              <w:spacing w:line="240" w:lineRule="auto" w:before="20" w:after="20"/>
            </w:pPr>
            <w:r>
              <w:rPr>
                <w:b/>
                <w:bCs/>
                <w:sz w:val="18"/>
              </w:rPr>
              <w:t xml:space="preserve">CNC epsilon-tuned (del 0.6 / ins 0.7)</w:t>
            </w:r>
          </w:p>
        </w:tc>
        <w:tc>
          <w:tcPr>
            <w:tcW w:type="dxa" w:w="897"/>
          </w:tcPr>
          <w:p>
            <w:pPr>
              <w:pStyle w:val="Compact"/>
              <w:spacing w:line="240" w:lineRule="auto" w:before="20" w:after="20"/>
              <w:jc w:val="right"/>
            </w:pPr>
            <w:r>
              <w:rPr>
                <w:b/>
                <w:bCs/>
                <w:sz w:val="18"/>
              </w:rPr>
              <w:t xml:space="preserve">13.05</w:t>
            </w:r>
          </w:p>
        </w:tc>
        <w:tc>
          <w:tcPr>
            <w:tcW w:type="dxa" w:w="1025"/>
          </w:tcPr>
          <w:p>
            <w:pPr>
              <w:pStyle w:val="Compact"/>
              <w:spacing w:line="240" w:lineRule="auto" w:before="20" w:after="20"/>
              <w:jc w:val="right"/>
            </w:pPr>
            <w:r>
              <w:rPr>
                <w:b/>
                <w:bCs/>
                <w:sz w:val="18"/>
              </w:rPr>
              <w:t xml:space="preserve">−0.71</w:t>
            </w:r>
          </w:p>
        </w:tc>
        <w:tc>
          <w:tcPr>
            <w:tcW w:type="dxa" w:w="2564"/>
          </w:tcPr>
          <w:p>
            <w:pPr>
              <w:pStyle w:val="Compact"/>
              <w:spacing w:line="240" w:lineRule="auto" w:before="20" w:after="20"/>
              <w:jc w:val="center"/>
            </w:pPr>
            <w:r>
              <w:rPr>
                <w:b/>
                <w:bCs/>
                <w:sz w:val="18"/>
              </w:rPr>
              <w:t xml:space="preserve">no</w:t>
            </w:r>
          </w:p>
        </w:tc>
      </w:tr>
      <w:tr>
        <w:trPr>
          <w:cantSplit/>
        </w:trPr>
        <w:tc>
          <w:tcPr>
            <w:tcW w:type="dxa" w:w="4872"/>
          </w:tcPr>
          <w:p>
            <w:pPr>
              <w:pStyle w:val="Compact"/>
              <w:spacing w:line="240" w:lineRule="auto" w:before="20" w:after="20"/>
            </w:pPr>
            <w:r>
              <w:rPr>
                <w:sz w:val="18"/>
              </w:rPr>
              <w:t xml:space="preserve">CNC 3-model (+ sensevoice-no-itn)</w:t>
            </w:r>
          </w:p>
        </w:tc>
        <w:tc>
          <w:tcPr>
            <w:tcW w:type="dxa" w:w="897"/>
          </w:tcPr>
          <w:p>
            <w:pPr>
              <w:pStyle w:val="Compact"/>
              <w:spacing w:line="240" w:lineRule="auto" w:before="20" w:after="20"/>
              <w:jc w:val="right"/>
            </w:pPr>
            <w:r>
              <w:rPr>
                <w:sz w:val="18"/>
              </w:rPr>
              <w:t xml:space="preserve">15.54</w:t>
            </w:r>
          </w:p>
        </w:tc>
        <w:tc>
          <w:tcPr>
            <w:tcW w:type="dxa" w:w="1025"/>
          </w:tcPr>
          <w:p>
            <w:pPr>
              <w:pStyle w:val="Compact"/>
              <w:spacing w:line="240" w:lineRule="auto" w:before="20" w:after="20"/>
              <w:jc w:val="right"/>
            </w:pPr>
            <w:r>
              <w:rPr>
                <w:sz w:val="18"/>
              </w:rPr>
              <w:t xml:space="preserve">+1.78</w:t>
            </w:r>
          </w:p>
        </w:tc>
        <w:tc>
          <w:tcPr>
            <w:tcW w:type="dxa" w:w="2564"/>
          </w:tcPr>
          <w:p>
            <w:pPr>
              <w:pStyle w:val="Compact"/>
              <w:spacing w:line="240" w:lineRule="auto" w:before="20" w:after="20"/>
              <w:jc w:val="center"/>
            </w:pPr>
            <w:r>
              <w:rPr>
                <w:sz w:val="18"/>
              </w:rPr>
              <w:t xml:space="preserve">no</w:t>
            </w:r>
          </w:p>
        </w:tc>
      </w:tr>
      <w:tr>
        <w:trPr>
          <w:cantSplit/>
        </w:trPr>
        <w:tc>
          <w:tcPr>
            <w:tcW w:type="dxa" w:w="4872"/>
          </w:tcPr>
          <w:p>
            <w:pPr>
              <w:pStyle w:val="Compact"/>
              <w:spacing w:line="240" w:lineRule="auto" w:before="20" w:after="20"/>
            </w:pPr>
            <w:r>
              <w:rPr>
                <w:sz w:val="18"/>
              </w:rPr>
              <w:t xml:space="preserve">Learned per-word GBM (5-fold group CV)</w:t>
            </w:r>
          </w:p>
        </w:tc>
        <w:tc>
          <w:tcPr>
            <w:tcW w:type="dxa" w:w="897"/>
          </w:tcPr>
          <w:p>
            <w:pPr>
              <w:pStyle w:val="Compact"/>
              <w:spacing w:line="240" w:lineRule="auto" w:before="20" w:after="20"/>
              <w:jc w:val="right"/>
            </w:pPr>
            <w:r>
              <w:rPr>
                <w:sz w:val="18"/>
              </w:rPr>
              <w:t xml:space="preserve">13.14</w:t>
            </w:r>
          </w:p>
        </w:tc>
        <w:tc>
          <w:tcPr>
            <w:tcW w:type="dxa" w:w="1025"/>
          </w:tcPr>
          <w:p>
            <w:pPr>
              <w:pStyle w:val="Compact"/>
              <w:spacing w:line="240" w:lineRule="auto" w:before="20" w:after="20"/>
              <w:jc w:val="right"/>
            </w:pPr>
            <w:r>
              <w:rPr>
                <w:sz w:val="18"/>
              </w:rPr>
              <w:t xml:space="preserve">−0.62</w:t>
            </w:r>
          </w:p>
        </w:tc>
        <w:tc>
          <w:tcPr>
            <w:tcW w:type="dxa" w:w="2564"/>
          </w:tcPr>
          <w:p>
            <w:pPr>
              <w:pStyle w:val="Compact"/>
              <w:spacing w:line="240" w:lineRule="auto" w:before="20" w:after="20"/>
              <w:jc w:val="center"/>
            </w:pPr>
            <w:r>
              <w:rPr>
                <w:sz w:val="18"/>
              </w:rPr>
              <w:t xml:space="preserve">yes</w:t>
            </w:r>
          </w:p>
        </w:tc>
      </w:tr>
      <w:tr>
        <w:trPr>
          <w:cantSplit/>
        </w:trPr>
        <w:tc>
          <w:tcPr>
            <w:tcW w:type="dxa" w:w="4872"/>
          </w:tcPr>
          <w:p>
            <w:pPr>
              <w:pStyle w:val="Compact"/>
              <w:spacing w:line="240" w:lineRule="auto" w:before="20" w:after="20"/>
            </w:pPr>
            <w:r>
              <w:rPr>
                <w:sz w:val="18"/>
              </w:rPr>
              <w:t xml:space="preserve">Oracle upper bound</w:t>
            </w:r>
          </w:p>
        </w:tc>
        <w:tc>
          <w:tcPr>
            <w:tcW w:type="dxa" w:w="897"/>
          </w:tcPr>
          <w:p>
            <w:pPr>
              <w:pStyle w:val="Compact"/>
              <w:spacing w:line="240" w:lineRule="auto" w:before="20" w:after="20"/>
              <w:jc w:val="right"/>
            </w:pPr>
            <w:r>
              <w:rPr>
                <w:sz w:val="18"/>
              </w:rPr>
              <w:t xml:space="preserve">9.07</w:t>
            </w:r>
          </w:p>
        </w:tc>
        <w:tc>
          <w:tcPr>
            <w:tcW w:type="dxa" w:w="1025"/>
          </w:tcPr>
          <w:p>
            <w:pPr>
              <w:pStyle w:val="Compact"/>
              <w:spacing w:line="240" w:lineRule="auto" w:before="20" w:after="20"/>
              <w:jc w:val="right"/>
            </w:pPr>
            <w:r>
              <w:rPr>
                <w:sz w:val="18"/>
              </w:rPr>
              <w:t xml:space="preserve">−4.69</w:t>
            </w:r>
          </w:p>
        </w:tc>
        <w:tc>
          <w:tcPr>
            <w:tcW w:type="dxa" w:w="2564"/>
          </w:tcPr>
          <w:p>
            <w:pPr>
              <w:pStyle w:val="Compact"/>
              <w:spacing w:line="240" w:lineRule="auto" w:before="20" w:after="20"/>
              <w:jc w:val="center"/>
            </w:pPr>
            <w:r>
              <w:rPr>
                <w:sz w:val="18"/>
              </w:rPr>
              <w:t xml:space="preserve">n/a</w:t>
            </w:r>
          </w:p>
        </w:tc>
      </w:tr>
    </w:tbl>
    <w:bookmarkEnd w:id="9"/>
    <w:bookmarkStart w:id="10" w:name="X7925665db42ce70d357040e95d284b3e11dcc53"/>
    <w:p>
      <w:pPr>
        <w:pStyle w:val="Heading2"/>
        <w:spacing w:line="480" w:lineRule="auto"/>
      </w:pPr>
      <w:r>
        <w:t xml:space="preserve">Table S2. Round-robin pairwise ROVER WER, all 36 pairs × 2 datasets.</w:t>
      </w:r>
    </w:p>
    <w:p>
      <w:pPr>
        <w:pStyle w:val="FirstParagraph"/>
        <w:spacing w:line="480" w:lineRule="auto"/>
      </w:pPr>
      <w:r>
        <w:t xml:space="preserve">Naive equal-weight ROVER on the 9-model on-device pool. Rows sorted by dataset then WER ascending. The pool’s fastconformer entry is the full-precision NeMo FastConformer build rather than the int8 build reported in main-text Table 1: the fusion experiments predate the manuscript’s consolidation to int8-quantized builds, and they were not re-run because FastConformer is a bottom-of-pool model (solo WER exceeding 30% on PriMock57 in both builds, full-precision 34.9% and int8 32.3%) that appears in no best-performing pair or triple; the substitution therefore cannot affect any reported result. figshare-OSCE is not included because its 272-file size made exhaustive search infeasible in our pure-Python implementation; the targeted parakeet-tdt-0.6b-v2 + sensevoice fusion on figshare-OSCE (11.01% WER, vs. 11.23% for the best solo on-device model) is reported in the main text Results section.</w:t>
      </w:r>
    </w:p>
    <w:p>
      <w:pPr>
        <w:pStyle w:val="BodyText"/>
        <w:spacing w:line="480" w:lineRule="auto"/>
      </w:pPr>
      <w:r>
        <w:t xml:space="preserve">Data:</w:t>
      </w:r>
      <w:r>
        <w:t xml:space="preserve"> </w:t>
      </w:r>
      <w:r>
        <w:rPr>
          <w:rStyle w:val="VerbatimChar"/>
        </w:rPr>
        <w:t xml:space="preserve">supplementary_table_S2_rover_pairs.csv</w:t>
      </w:r>
      <w:r>
        <w:t xml:space="preserve"> </w:t>
      </w:r>
      <w:r>
        <w:t xml:space="preserve">(72 rows).</w:t>
      </w:r>
    </w:p>
    <w:bookmarkEnd w:id="10"/>
    <w:bookmarkStart w:id="11" w:name="X5ec94d5340df67229e5044fbbafdcc167edac8e"/>
    <w:p>
      <w:pPr>
        <w:pStyle w:val="Heading2"/>
        <w:spacing w:line="480" w:lineRule="auto"/>
      </w:pPr>
      <w:r>
        <w:t xml:space="preserve">Table S3. Round-robin three-model ROVER WER on PriMock57.</w:t>
      </w:r>
    </w:p>
    <w:p>
      <w:pPr>
        <w:pStyle w:val="FirstParagraph"/>
        <w:spacing w:line="480" w:lineRule="auto"/>
      </w:pPr>
      <w:r>
        <w:t xml:space="preserve">Naive equal-weight progressive pairwise ROVER across all 84 three-model combinations from the 9-model pool on PriMock57 (n = 57 files). The three-model search on the Kazi et al. psychiatric dataset and on figshare-OSCE was not feasible in our pure-Python implementation due to the O(n²) per-file alignment cost; the PriMock57 data is sufficient to establish that triples consistently underperform the best pair.</w:t>
      </w:r>
    </w:p>
    <w:p>
      <w:pPr>
        <w:pStyle w:val="BodyText"/>
        <w:spacing w:line="480" w:lineRule="auto"/>
      </w:pPr>
      <w:r>
        <w:t xml:space="preserve">Data:</w:t>
      </w:r>
      <w:r>
        <w:t xml:space="preserve"> </w:t>
      </w:r>
      <w:r>
        <w:rPr>
          <w:rStyle w:val="VerbatimChar"/>
        </w:rPr>
        <w:t xml:space="preserve">supplementary_table_S3_rover_triples.csv</w:t>
      </w:r>
      <w:r>
        <w:t xml:space="preserve"> </w:t>
      </w:r>
      <w:r>
        <w:t xml:space="preserve">(84 rows).</w:t>
      </w:r>
    </w:p>
    <w:bookmarkEnd w:id="11"/>
    <w:bookmarkStart w:id="12" w:name="X9d1c5c8c1d6dca772867af4b635821c2fff6b91"/>
    <w:p>
      <w:pPr>
        <w:pStyle w:val="Heading2"/>
        <w:spacing w:line="480" w:lineRule="auto"/>
      </w:pPr>
      <w:r>
        <w:t xml:space="preserve">Table S4. Per-model error rates for the highest-error medications.</w:t>
      </w:r>
    </w:p>
    <w:p>
      <w:pPr>
        <w:pStyle w:val="FirstParagraph"/>
        <w:spacing w:line="480" w:lineRule="auto"/>
      </w:pPr>
      <w:r>
        <w:t xml:space="preserve">Alignment-based error rates (the same normalization and jiwer substitute/delete scoring as the main clinical term recall analysis) for the six highest-error drug-dataset pairs named in the main text, computed over exactly the paper’s 12 on-device and 5 cloud configurations (including AWS on OSCE) by</w:t>
      </w:r>
      <w:r>
        <w:t xml:space="preserve"> </w:t>
      </w:r>
      <w:r>
        <w:rPr>
          <w:rStyle w:val="VerbatimChar"/>
        </w:rPr>
        <w:t xml:space="preserve">scripts/recompute_paper_drug_rates.py</w:t>
      </w:r>
      <w:r>
        <w:t xml:space="preserve">. Cells show errors/reference occurrences (error rate); the pooled rows sum errors and occurrences across the models in each mode (a micro-average, not a mean of per-model rates). Per-model denominators are small for the PriMock57 and OSCE drugs (5 to 29 occurrences), so individual cells carry wide uncertainty while the pooled rows are stable. The per-model rows show the mode split is not an artifact of weak models in the on-device pool: the three best-WER on-device models (Parakeet-TDT-0.6b-v2, Whisper distil-v3.5, Whisper turbo) erred on 50% to 100% of these drug occurrences, above every cloud service on every drug, while the lowest on-device rates on some drugs belong to MedASR, whose overall WER makes it unusable as a sole transcription model. Category-level context: drug names were the highest-error UMLS category in 43 of 50 model-dataset evaluations; the exceptions are AWS on the psychiatric dataset (anatomy, marginally), MedASR on PriMock57 (findings), and Zipformer plus four cloud services on OSCE (procedures, symptoms, or conditions), where absolute cloud drug error rates are low.</w:t>
      </w:r>
    </w:p>
    <w:p>
      <w:pPr>
        <w:pStyle w:val="BodyText"/>
        <w:spacing w:line="480" w:lineRule="auto"/>
      </w:pPr>
      <w:r>
        <w:t xml:space="preserve">Data:</w:t>
      </w:r>
      <w:r>
        <w:t xml:space="preserve"> </w:t>
      </w:r>
      <w:r>
        <w:rPr>
          <w:rStyle w:val="VerbatimChar"/>
        </w:rPr>
        <w:t xml:space="preserve">supplementary_table_S4_drug_rates.csv</w:t>
      </w:r>
      <w:r>
        <w:t xml:space="preserve">.</w:t>
      </w:r>
    </w:p>
    <w:bookmarkEnd w:id="12"/>
    <w:bookmarkStart w:id="13" w:name="table-s2-data"/>
    <w:p>
      <w:pPr>
        <w:pStyle w:val="Heading2"/>
        <w:spacing w:line="480" w:lineRule="auto"/>
      </w:pPr>
      <w:r>
        <w:t xml:space="preserve">Table S2 data</w:t>
      </w:r>
    </w:p>
    <w:tbl>
      <w:tblPr>
        <w:tblStyle w:val="Table"/>
        <w:tblW w:type="dxa" w:w="9357"/>
        <w:tblLayout w:type="fixed"/>
        <w:tblLook w:firstRow="1" w:lastRow="0" w:firstColumn="0" w:lastColumn="0" w:noHBand="0" w:noVBand="0" w:val="0020"/>
      </w:tblPr>
      <w:tblGrid>
        <w:gridCol w:w="1318"/>
        <w:gridCol w:w="5273"/>
        <w:gridCol w:w="922"/>
        <w:gridCol w:w="922"/>
        <w:gridCol w:w="922"/>
      </w:tblGrid>
      <w:tr>
        <w:trPr>
          <w:tblHeader w:val="on"/>
          <w:cantSplit/>
        </w:trPr>
        <w:tc>
          <w:tcPr>
            <w:tcW w:type="dxa" w:w="1318"/>
          </w:tcPr>
          <w:p>
            <w:pPr>
              <w:pStyle w:val="Compact"/>
              <w:spacing w:line="240" w:lineRule="auto" w:before="20" w:after="20"/>
            </w:pPr>
            <w:r>
              <w:rPr>
                <w:sz w:val="18"/>
              </w:rPr>
              <w:t xml:space="preserve">dataset</w:t>
            </w:r>
          </w:p>
        </w:tc>
        <w:tc>
          <w:tcPr>
            <w:tcW w:type="dxa" w:w="5273"/>
          </w:tcPr>
          <w:p>
            <w:pPr>
              <w:pStyle w:val="Compact"/>
              <w:spacing w:line="240" w:lineRule="auto" w:before="20" w:after="20"/>
            </w:pPr>
            <w:r>
              <w:rPr>
                <w:sz w:val="18"/>
              </w:rPr>
              <w:t xml:space="preserve">models</w:t>
            </w:r>
          </w:p>
        </w:tc>
        <w:tc>
          <w:tcPr>
            <w:tcW w:type="dxa" w:w="922"/>
          </w:tcPr>
          <w:p>
            <w:pPr>
              <w:pStyle w:val="Compact"/>
              <w:spacing w:line="240" w:lineRule="auto" w:before="20" w:after="20"/>
            </w:pPr>
            <w:r>
              <w:rPr>
                <w:sz w:val="18"/>
              </w:rPr>
              <w:t xml:space="preserve">n_files</w:t>
            </w:r>
          </w:p>
        </w:tc>
        <w:tc>
          <w:tcPr>
            <w:tcW w:type="dxa" w:w="922"/>
          </w:tcPr>
          <w:p>
            <w:pPr>
              <w:pStyle w:val="Compact"/>
              <w:spacing w:line="240" w:lineRule="auto" w:before="20" w:after="20"/>
            </w:pPr>
            <w:r>
              <w:rPr>
                <w:sz w:val="18"/>
              </w:rPr>
              <w:t xml:space="preserve">wer_pct</w:t>
            </w:r>
          </w:p>
        </w:tc>
        <w:tc>
          <w:tcPr>
            <w:tcW w:type="dxa" w:w="922"/>
          </w:tcPr>
          <w:p>
            <w:pPr>
              <w:pStyle w:val="Compact"/>
              <w:spacing w:line="240" w:lineRule="auto" w:before="20" w:after="20"/>
            </w:pPr>
            <w:r>
              <w:rPr>
                <w:sz w:val="18"/>
              </w:rPr>
              <w:t xml:space="preserve">n_words</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parakeet-tdt-0.6b-v2+sensevoice</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7.1502</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parakeet-tdt-0.6b-v2+sensevoice-no-itn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7.1557</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whisper-turbo+sensevoice</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7.1676</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whisper-turbo+sensevoice-no-itn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7.1699</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parakeet-tdt-0.6b-v2+whisper-turbo</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7.2923</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7.3680</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whisper-distil-v3.5+sensevoice</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7.3880</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parakeet-tdt-0.6b-v2+whisper-base-en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7.3916</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7.3935</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whisper-distil-v3.5+sensevoice-no-itn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7.3938</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7.4193</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7.4254</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whisper-base-en+sensevoice-no-itn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7.4254</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whisper-base-en+sensevoice</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7.4270</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7.4377</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parakeet-tdt-0.6b-v2+whisper-distil-v3.5</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7.4489</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7.4547</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whisper-turbo+whisper-base-en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7.4650</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whisper-distil-v3.5+whisper-turbo</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7.5189</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7.6020</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whisper-distil-v3.5+whisper-base-en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7.6052</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7.6236</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qwen3-asr+nemo-fastconformer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7.6471</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whisper-base-en+nemo-fastconformer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7.6597</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whisper-distil-v3.5+paraformer-en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7.6645</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sensevoice-no-itn+nemo-fastconformer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7.6674</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whisper-base-en+qwen3-asr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7.6739</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sensevoice+sensevoice-no-itn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7.6887</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whisper-base-en+paraformer-en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7.6919</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7.7164</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qwen3-asr+paraformer-en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7.7412</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sensevoice-no-itn+qwen3-asr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7.7586</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sensevoice+qwen3-asr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7.7876</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sensevoice-no-itn+paraformer-en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7.8862</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sensevoice+paraformer-en</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7.9304</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nazmulkazi</w:t>
            </w:r>
          </w:p>
        </w:tc>
        <w:tc>
          <w:tcPr>
            <w:tcW w:type="dxa" w:w="5273"/>
          </w:tcPr>
          <w:p>
            <w:pPr>
              <w:pStyle w:val="Compact"/>
              <w:spacing w:line="240" w:lineRule="auto" w:before="20" w:after="20"/>
            </w:pPr>
            <w:r>
              <w:rPr>
                <w:sz w:val="18"/>
              </w:rPr>
              <w:t xml:space="preserve">paraformer-en+nemo-fastconformer</w:t>
            </w:r>
          </w:p>
        </w:tc>
        <w:tc>
          <w:tcPr>
            <w:tcW w:type="dxa" w:w="922"/>
          </w:tcPr>
          <w:p>
            <w:pPr>
              <w:pStyle w:val="Compact"/>
              <w:spacing w:line="240" w:lineRule="auto" w:before="20" w:after="20"/>
            </w:pPr>
            <w:r>
              <w:rPr>
                <w:sz w:val="18"/>
              </w:rPr>
              <w:t xml:space="preserve">71</w:t>
            </w:r>
          </w:p>
        </w:tc>
        <w:tc>
          <w:tcPr>
            <w:tcW w:type="dxa" w:w="922"/>
          </w:tcPr>
          <w:p>
            <w:pPr>
              <w:pStyle w:val="Compact"/>
              <w:spacing w:line="240" w:lineRule="auto" w:before="20" w:after="20"/>
            </w:pPr>
            <w:r>
              <w:rPr>
                <w:sz w:val="18"/>
              </w:rPr>
              <w:t xml:space="preserve">9.0692</w:t>
            </w:r>
          </w:p>
        </w:tc>
        <w:tc>
          <w:tcPr>
            <w:tcW w:type="dxa" w:w="922"/>
          </w:tcPr>
          <w:p>
            <w:pPr>
              <w:pStyle w:val="Compact"/>
              <w:spacing w:line="240" w:lineRule="auto" w:before="20" w:after="20"/>
            </w:pPr>
            <w:r>
              <w:rPr>
                <w:sz w:val="18"/>
              </w:rPr>
              <w:t xml:space="preserve">310313</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13.0269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13.3331</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parakeet-tdt-0.6b-v2+sensevoice-no-itn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13.4058</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parakeet-tdt-0.6b-v2+sensevoice</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13.4739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parakeet-tdt-0.6b-v2+whisper-distil-v3.5</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13.4950</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parakeet-tdt-0.6b-v2+whisper-turbo</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13.5666</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13.8012</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14.0311</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whisper-turbo+sensevoice-no-itn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14.1015</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whisper-distil-v3.5+sensevoice-no-itn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14.1754</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whisper-distil-v3.5+sensevoice</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14.1907</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whisper-turbo+sensevoice</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14.2646</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whisper-distil-v3.5+whisper-turbo</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14.2974</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14.3784</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14.4312</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qwen3-asr+nemo-fastconformer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14.5673</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parakeet-tdt-0.6b-v2+whisper-base-en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14.6189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15.0119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15.1128</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whisper-distil-v3.5+whisper-base-en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15.1832</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qwen3-asr+paraformer-en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15.2876</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15.5023</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whisper-turbo+whisper-base-en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15.6759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sensevoice-no-itn+qwen3-asr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16.5969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16.6285</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whisper-base-en+qwen3-asr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17.2550</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whisper-base-en+sensevoice-no-itn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18.3379</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whisper-base-en+sensevoice</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18.5408</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sensevoice-no-itn+nemo-fastconformer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19.1872</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whisper-base-en+nemo-fastconformer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19.4160</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whisper-base-en+paraformer-en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19.8008</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sensevoice+sensevoice-no-itn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19.8864</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19.9627</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sensevoice-no-itn+paraformer-en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20.0061</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sensevoice+paraformer-en</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20.5927</w:t>
            </w:r>
          </w:p>
        </w:tc>
        <w:tc>
          <w:tcPr>
            <w:tcW w:type="dxa" w:w="922"/>
          </w:tcPr>
          <w:p>
            <w:pPr>
              <w:pStyle w:val="Compact"/>
              <w:spacing w:line="240" w:lineRule="auto" w:before="20" w:after="20"/>
            </w:pPr>
            <w:r>
              <w:rPr>
                <w:sz w:val="18"/>
              </w:rPr>
              <w:t xml:space="preserve">85239</w:t>
            </w:r>
          </w:p>
        </w:tc>
      </w:tr>
      <w:tr>
        <w:trPr>
          <w:cantSplit/>
        </w:trPr>
        <w:tc>
          <w:tcPr>
            <w:tcW w:type="dxa" w:w="1318"/>
          </w:tcPr>
          <w:p>
            <w:pPr>
              <w:pStyle w:val="Compact"/>
              <w:spacing w:line="240" w:lineRule="auto" w:before="20" w:after="20"/>
            </w:pPr>
            <w:r>
              <w:rPr>
                <w:sz w:val="18"/>
              </w:rPr>
              <w:t xml:space="preserve">primock57</w:t>
            </w:r>
          </w:p>
        </w:tc>
        <w:tc>
          <w:tcPr>
            <w:tcW w:type="dxa" w:w="5273"/>
          </w:tcPr>
          <w:p>
            <w:pPr>
              <w:pStyle w:val="Compact"/>
              <w:spacing w:line="240" w:lineRule="auto" w:before="20" w:after="20"/>
            </w:pPr>
            <w:r>
              <w:rPr>
                <w:sz w:val="18"/>
              </w:rPr>
              <w:t xml:space="preserve">paraformer-en+nemo-fastconformer</w:t>
            </w:r>
          </w:p>
        </w:tc>
        <w:tc>
          <w:tcPr>
            <w:tcW w:type="dxa" w:w="922"/>
          </w:tcPr>
          <w:p>
            <w:pPr>
              <w:pStyle w:val="Compact"/>
              <w:spacing w:line="240" w:lineRule="auto" w:before="20" w:after="20"/>
            </w:pPr>
            <w:r>
              <w:rPr>
                <w:sz w:val="18"/>
              </w:rPr>
              <w:t xml:space="preserve">57</w:t>
            </w:r>
          </w:p>
        </w:tc>
        <w:tc>
          <w:tcPr>
            <w:tcW w:type="dxa" w:w="922"/>
          </w:tcPr>
          <w:p>
            <w:pPr>
              <w:pStyle w:val="Compact"/>
              <w:spacing w:line="240" w:lineRule="auto" w:before="20" w:after="20"/>
            </w:pPr>
            <w:r>
              <w:rPr>
                <w:sz w:val="18"/>
              </w:rPr>
              <w:t xml:space="preserve">27.4816</w:t>
            </w:r>
          </w:p>
        </w:tc>
        <w:tc>
          <w:tcPr>
            <w:tcW w:type="dxa" w:w="922"/>
          </w:tcPr>
          <w:p>
            <w:pPr>
              <w:pStyle w:val="Compact"/>
              <w:spacing w:line="240" w:lineRule="auto" w:before="20" w:after="20"/>
            </w:pPr>
            <w:r>
              <w:rPr>
                <w:sz w:val="18"/>
              </w:rPr>
              <w:t xml:space="preserve">85239</w:t>
            </w:r>
          </w:p>
        </w:tc>
      </w:tr>
    </w:tbl>
    <w:bookmarkEnd w:id="13"/>
    <w:bookmarkStart w:id="14" w:name="table-s3-data"/>
    <w:p>
      <w:pPr>
        <w:pStyle w:val="Heading2"/>
        <w:spacing w:line="480" w:lineRule="auto"/>
      </w:pPr>
      <w:r>
        <w:t xml:space="preserve">Table S3 data</w:t>
      </w:r>
    </w:p>
    <w:tbl>
      <w:tblPr>
        <w:tblStyle w:val="Table"/>
        <w:tblW w:type="dxa" w:w="9358"/>
        <w:tblLayout w:type="fixed"/>
        <w:tblLook w:firstRow="1" w:lastRow="0" w:firstColumn="0" w:lastColumn="0" w:noHBand="0" w:noVBand="0" w:val="0020"/>
      </w:tblPr>
      <w:tblGrid>
        <w:gridCol w:w="946"/>
        <w:gridCol w:w="6204"/>
        <w:gridCol w:w="736"/>
        <w:gridCol w:w="736"/>
        <w:gridCol w:w="736"/>
      </w:tblGrid>
      <w:tr>
        <w:trPr>
          <w:tblHeader w:val="on"/>
          <w:cantSplit/>
        </w:trPr>
        <w:tc>
          <w:tcPr>
            <w:tcW w:type="dxa" w:w="946"/>
          </w:tcPr>
          <w:p>
            <w:pPr>
              <w:pStyle w:val="Compact"/>
              <w:spacing w:line="240" w:lineRule="auto" w:before="20" w:after="20"/>
            </w:pPr>
            <w:r>
              <w:rPr>
                <w:sz w:val="18"/>
              </w:rPr>
              <w:t xml:space="preserve">dataset</w:t>
            </w:r>
          </w:p>
        </w:tc>
        <w:tc>
          <w:tcPr>
            <w:tcW w:type="dxa" w:w="6204"/>
          </w:tcPr>
          <w:p>
            <w:pPr>
              <w:pStyle w:val="Compact"/>
              <w:spacing w:line="240" w:lineRule="auto" w:before="20" w:after="20"/>
            </w:pPr>
            <w:r>
              <w:rPr>
                <w:sz w:val="18"/>
              </w:rPr>
              <w:t xml:space="preserve">models</w:t>
            </w:r>
          </w:p>
        </w:tc>
        <w:tc>
          <w:tcPr>
            <w:tcW w:type="dxa" w:w="736"/>
          </w:tcPr>
          <w:p>
            <w:pPr>
              <w:pStyle w:val="Compact"/>
              <w:spacing w:line="240" w:lineRule="auto" w:before="20" w:after="20"/>
            </w:pPr>
            <w:r>
              <w:rPr>
                <w:sz w:val="18"/>
              </w:rPr>
              <w:t xml:space="preserve">n_files</w:t>
            </w:r>
          </w:p>
        </w:tc>
        <w:tc>
          <w:tcPr>
            <w:tcW w:type="dxa" w:w="736"/>
          </w:tcPr>
          <w:p>
            <w:pPr>
              <w:pStyle w:val="Compact"/>
              <w:spacing w:line="240" w:lineRule="auto" w:before="20" w:after="20"/>
            </w:pPr>
            <w:r>
              <w:rPr>
                <w:sz w:val="18"/>
              </w:rPr>
              <w:t xml:space="preserve">wer_pct</w:t>
            </w:r>
          </w:p>
        </w:tc>
        <w:tc>
          <w:tcPr>
            <w:tcW w:type="dxa" w:w="736"/>
          </w:tcPr>
          <w:p>
            <w:pPr>
              <w:pStyle w:val="Compact"/>
              <w:spacing w:line="240" w:lineRule="auto" w:before="20" w:after="20"/>
            </w:pPr>
            <w:r>
              <w:rPr>
                <w:sz w:val="18"/>
              </w:rPr>
              <w:t xml:space="preserve">n_words</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13.1161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13.1442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13.1700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parakeet-tdt-0.6b-v2+sensevoice-no-itn+qwen3-asr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13.2404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13.2768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13.2932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13.4176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parakeet-tdt-0.6b-v2+sensevoice-no-itn+nemo-fastconformer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13.4446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13.4586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13.4692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13.4715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13.4821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13.4844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13.4962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parakeet-tdt-0.6b-v2+whisper-distil-v3.5+whisper-turbo</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13.5361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13.5654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13.5759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whisper-turbo+sensevoice-no-itn+qwen3-asr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13.6170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13.9314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parakeet-tdt-0.6b-v2+whisper-base-en+qwen3-asr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14.0605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14.1062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whisper-turbo+sensevoice-no-itn+nemo-fastconformer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14.1250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14.1508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parakeet-tdt-0.6b-v2+sensevoice-no-itn+paraformer-en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14.1860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14.1930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14.2001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14.2036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14.2142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14.2212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14.2259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14.2447</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14.2458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whisper-distil-v3.5+sensevoice-no-itn+qwen3-asr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14.2611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parakeet-tdt-0.6b-v2+sensevoice+paraformer-en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14.2693</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parakeet-tdt-0.6b-v2+whisper-base-en+sensevoice-no-itn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14.2834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14.2939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whisper-distil-v3.5+sensevoice-no-itn+nemo-fastconformer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14.3045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14.3197</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parakeet-tdt-0.6b-v2+whisper-base-en+sensevoice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14.3209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14.3362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parakeet-tdt-0.6b-v2+whisper-turbo+whisper-base-en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14.3538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parakeet-tdt-0.6b-v2+whisper-distil-v3.5+whisper-base-en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14.3585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14.4676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parakeet-tdt-0.6b-v2+whisper-base-en+nemo-fastconformer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14.5028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whisper-turbo+whisper-base-en+qwen3-asr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14.5168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whisper-turbo+sensevoice-no-itn+paraformer-en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14.8840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14.9403</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whisper-turbo+whisper-base-en+sensevoice-no-itn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14.9662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whisper-distil-v3.5+whisper-base-en+qwen3-asr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14.9755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whisper-distil-v3.5+sensevoice-no-itn+paraformer-en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15.0225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whisper-turbo+sensevoice+paraformer-en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15.0236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whisper-distil-v3.5+whisper-base-en+sensevoice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15.0483</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whisper-distil-v3.5+whisper-base-en+sensevoice-no-itn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15.0494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15.0741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whisper-distil-v3.5+sensevoice+paraformer-en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15.0800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whisper-turbo+whisper-base-en+sensevoice</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15.0800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whisper-distil-v3.5+whisper-turbo+whisper-base-en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15.1128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parakeet-tdt-0.6b-v2+whisper-base-en+paraformer-en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15.1175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whisper-distil-v3.5+whisper-base-en+nemo-fastconformer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15.1984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15.2113</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qwen3-asr+paraformer-en+nemo-fastconformer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15.3216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whisper-turbo+whisper-base-en+nemo-fastconformer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15.3897</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15.4706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whisper-distil-v3.5+whisper-base-en+paraformer-en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15.8390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whisper-turbo+whisper-base-en+paraformer-en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15.9915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sensevoice-no-itn+qwen3-asr+nemo-fastconformer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16.6602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16.6802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sensevoice+sensevoice-no-itn+qwen3-asr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16.8209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whisper-base-en+qwen3-asr+nemo-fastconformer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17.3195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17.4380</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sensevoice-no-itn+qwen3-asr+paraformer-en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17.4615</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whisper-base-en+sensevoice-no-itn+qwen3-asr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17.4932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17.5108</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whisper-base-en+qwen3-asr+paraformer-en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18.0481</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whisper-base-en+sensevoice-no-itn+nemo-fastconformer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18.2722</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whisper-base-en+sensevoice+sensevoice-no-itn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18.3273</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18.4434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whisper-base-en+sensevoice-no-itn+paraformer-en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18.9209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whisper-base-en+sensevoice+paraformer-en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19.1016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sensevoice+sensevoice-no-itn+nemo-fastconformer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19.1966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whisper-base-en+paraformer-en+nemo-fastconformer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19.6976</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sensevoice-no-itn+paraformer-en+nemo-fastconformer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19.7809</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sensevoice+sensevoice-no-itn+paraformer-en</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20.0554</w:t>
            </w:r>
          </w:p>
        </w:tc>
        <w:tc>
          <w:tcPr>
            <w:tcW w:type="dxa" w:w="736"/>
          </w:tcPr>
          <w:p>
            <w:pPr>
              <w:pStyle w:val="Compact"/>
              <w:spacing w:line="240" w:lineRule="auto" w:before="20" w:after="20"/>
            </w:pPr>
            <w:r>
              <w:rPr>
                <w:sz w:val="18"/>
              </w:rPr>
              <w:t xml:space="preserve">85239</w:t>
            </w:r>
          </w:p>
        </w:tc>
      </w:tr>
      <w:tr>
        <w:trPr>
          <w:cantSplit/>
        </w:trPr>
        <w:tc>
          <w:tcPr>
            <w:tcW w:type="dxa" w:w="946"/>
          </w:tcPr>
          <w:p>
            <w:pPr>
              <w:pStyle w:val="Compact"/>
              <w:spacing w:line="240" w:lineRule="auto" w:before="20" w:after="20"/>
            </w:pPr>
            <w:r>
              <w:rPr>
                <w:sz w:val="18"/>
              </w:rPr>
              <w:t xml:space="preserve">primock57</w:t>
            </w:r>
          </w:p>
        </w:tc>
        <w:tc>
          <w:tcPr>
            <w:tcW w:type="dxa" w:w="6204"/>
          </w:tcPr>
          <w:p>
            <w:pPr>
              <w:pStyle w:val="Compact"/>
              <w:spacing w:line="240" w:lineRule="auto" w:before="20" w:after="20"/>
            </w:pPr>
            <w:r>
              <w:rPr>
                <w:sz w:val="18"/>
              </w:rPr>
              <w:t xml:space="preserve">sensevoice+paraformer-en+nemo-fastconformer</w:t>
            </w:r>
          </w:p>
        </w:tc>
        <w:tc>
          <w:tcPr>
            <w:tcW w:type="dxa" w:w="736"/>
          </w:tcPr>
          <w:p>
            <w:pPr>
              <w:pStyle w:val="Compact"/>
              <w:spacing w:line="240" w:lineRule="auto" w:before="20" w:after="20"/>
            </w:pPr>
            <w:r>
              <w:rPr>
                <w:sz w:val="18"/>
              </w:rPr>
              <w:t xml:space="preserve">57</w:t>
            </w:r>
          </w:p>
        </w:tc>
        <w:tc>
          <w:tcPr>
            <w:tcW w:type="dxa" w:w="736"/>
          </w:tcPr>
          <w:p>
            <w:pPr>
              <w:pStyle w:val="Compact"/>
              <w:spacing w:line="240" w:lineRule="auto" w:before="20" w:after="20"/>
            </w:pPr>
            <w:r>
              <w:rPr>
                <w:sz w:val="18"/>
              </w:rPr>
              <w:t xml:space="preserve">20.3135</w:t>
            </w:r>
          </w:p>
        </w:tc>
        <w:tc>
          <w:tcPr>
            <w:tcW w:type="dxa" w:w="736"/>
          </w:tcPr>
          <w:p>
            <w:pPr>
              <w:pStyle w:val="Compact"/>
              <w:spacing w:line="240" w:lineRule="auto" w:before="20" w:after="20"/>
            </w:pPr>
            <w:r>
              <w:rPr>
                <w:sz w:val="18"/>
              </w:rPr>
              <w:t xml:space="preserve">85239</w:t>
            </w:r>
          </w:p>
        </w:tc>
      </w:tr>
    </w:tbl>
    <w:bookmarkEnd w:id="14"/>
    <w:bookmarkStart w:id="15" w:name="table-s4-data"/>
    <w:p>
      <w:pPr>
        <w:pStyle w:val="Heading2"/>
        <w:spacing w:line="480" w:lineRule="auto"/>
      </w:pPr>
      <w:r>
        <w:t xml:space="preserve">Table S4 data</w:t>
      </w:r>
    </w:p>
    <w:tbl>
      <w:tblPr>
        <w:tblStyle w:val="Table"/>
        <w:tblW w:type="dxa" w:w="9360"/>
        <w:tblLayout w:type="fixed"/>
        <w:tblLook w:firstRow="1" w:lastRow="0" w:firstColumn="0" w:lastColumn="0" w:noHBand="0" w:noVBand="0" w:val="0020"/>
      </w:tblPr>
      <w:tblGrid>
        <w:gridCol w:w="1684"/>
        <w:gridCol w:w="842"/>
        <w:gridCol w:w="1139"/>
        <w:gridCol w:w="1139"/>
        <w:gridCol w:w="1139"/>
        <w:gridCol w:w="1139"/>
        <w:gridCol w:w="1139"/>
        <w:gridCol w:w="1139"/>
      </w:tblGrid>
      <w:tr>
        <w:trPr>
          <w:tblHeader w:val="on"/>
          <w:cantSplit/>
        </w:trPr>
        <w:tc>
          <w:tcPr>
            <w:tcW w:type="dxa" w:w="1684"/>
          </w:tcPr>
          <w:p>
            <w:pPr>
              <w:pStyle w:val="Compact"/>
              <w:spacing w:line="240" w:lineRule="auto" w:before="20" w:after="20"/>
            </w:pPr>
            <w:r>
              <w:rPr>
                <w:sz w:val="16"/>
              </w:rPr>
              <w:t xml:space="preserve">Model</w:t>
            </w:r>
          </w:p>
        </w:tc>
        <w:tc>
          <w:tcPr>
            <w:tcW w:type="dxa" w:w="842"/>
          </w:tcPr>
          <w:p>
            <w:pPr>
              <w:pStyle w:val="Compact"/>
              <w:spacing w:line="240" w:lineRule="auto" w:before="20" w:after="20"/>
            </w:pPr>
            <w:r>
              <w:rPr>
                <w:sz w:val="16"/>
              </w:rPr>
              <w:t xml:space="preserve">Type</w:t>
            </w:r>
          </w:p>
        </w:tc>
        <w:tc>
          <w:tcPr>
            <w:tcW w:type="dxa" w:w="1139"/>
          </w:tcPr>
          <w:p>
            <w:pPr>
              <w:pStyle w:val="Compact"/>
              <w:spacing w:line="240" w:lineRule="auto" w:before="20" w:after="20"/>
            </w:pPr>
            <w:r>
              <w:rPr>
                <w:sz w:val="16"/>
              </w:rPr>
              <w:t xml:space="preserve">Wellbutrin (Psych)</w:t>
            </w:r>
          </w:p>
        </w:tc>
        <w:tc>
          <w:tcPr>
            <w:tcW w:type="dxa" w:w="1139"/>
          </w:tcPr>
          <w:p>
            <w:pPr>
              <w:pStyle w:val="Compact"/>
              <w:spacing w:line="240" w:lineRule="auto" w:before="20" w:after="20"/>
            </w:pPr>
            <w:r>
              <w:rPr>
                <w:sz w:val="16"/>
              </w:rPr>
              <w:t xml:space="preserve">Lisinopril (PriMock57)</w:t>
            </w:r>
          </w:p>
        </w:tc>
        <w:tc>
          <w:tcPr>
            <w:tcW w:type="dxa" w:w="1139"/>
          </w:tcPr>
          <w:p>
            <w:pPr>
              <w:pStyle w:val="Compact"/>
              <w:spacing w:line="240" w:lineRule="auto" w:before="20" w:after="20"/>
            </w:pPr>
            <w:r>
              <w:rPr>
                <w:sz w:val="16"/>
              </w:rPr>
              <w:t xml:space="preserve">Amoxicillin (PriMock57)</w:t>
            </w:r>
          </w:p>
        </w:tc>
        <w:tc>
          <w:tcPr>
            <w:tcW w:type="dxa" w:w="1139"/>
          </w:tcPr>
          <w:p>
            <w:pPr>
              <w:pStyle w:val="Compact"/>
              <w:spacing w:line="240" w:lineRule="auto" w:before="20" w:after="20"/>
            </w:pPr>
            <w:r>
              <w:rPr>
                <w:sz w:val="16"/>
              </w:rPr>
              <w:t xml:space="preserve">Ramipril (OSCE)</w:t>
            </w:r>
          </w:p>
        </w:tc>
        <w:tc>
          <w:tcPr>
            <w:tcW w:type="dxa" w:w="1139"/>
          </w:tcPr>
          <w:p>
            <w:pPr>
              <w:pStyle w:val="Compact"/>
              <w:spacing w:line="240" w:lineRule="auto" w:before="20" w:after="20"/>
            </w:pPr>
            <w:r>
              <w:rPr>
                <w:sz w:val="16"/>
              </w:rPr>
              <w:t xml:space="preserve">Rosuvastatin (OSCE)</w:t>
            </w:r>
          </w:p>
        </w:tc>
        <w:tc>
          <w:tcPr>
            <w:tcW w:type="dxa" w:w="1139"/>
          </w:tcPr>
          <w:p>
            <w:pPr>
              <w:pStyle w:val="Compact"/>
              <w:spacing w:line="240" w:lineRule="auto" w:before="20" w:after="20"/>
            </w:pPr>
            <w:r>
              <w:rPr>
                <w:sz w:val="16"/>
              </w:rPr>
              <w:t xml:space="preserve">Lisinopril (OSCE)</w:t>
            </w:r>
          </w:p>
        </w:tc>
      </w:tr>
      <w:tr>
        <w:trPr>
          <w:cantSplit/>
        </w:trPr>
        <w:tc>
          <w:tcPr>
            <w:tcW w:type="dxa" w:w="1684"/>
          </w:tcPr>
          <w:p>
            <w:pPr>
              <w:pStyle w:val="Compact"/>
              <w:spacing w:line="240" w:lineRule="auto" w:before="20" w:after="20"/>
            </w:pPr>
            <w:r>
              <w:rPr>
                <w:sz w:val="16"/>
              </w:rPr>
              <w:t xml:space="preserve">Whisper distil-v3.5</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12/19 (63%)</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8/9 (89%)</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Whisper turbo</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13/19 (68%)</w:t>
            </w:r>
          </w:p>
        </w:tc>
        <w:tc>
          <w:tcPr>
            <w:tcW w:type="dxa" w:w="1139"/>
          </w:tcPr>
          <w:p>
            <w:pPr>
              <w:pStyle w:val="Compact"/>
              <w:spacing w:line="240" w:lineRule="auto" w:before="20" w:after="20"/>
            </w:pPr>
            <w:r>
              <w:rPr>
                <w:sz w:val="16"/>
              </w:rPr>
              <w:t xml:space="preserve">4/6 (67%)</w:t>
            </w:r>
          </w:p>
        </w:tc>
        <w:tc>
          <w:tcPr>
            <w:tcW w:type="dxa" w:w="1139"/>
          </w:tcPr>
          <w:p>
            <w:pPr>
              <w:pStyle w:val="Compact"/>
              <w:spacing w:line="240" w:lineRule="auto" w:before="20" w:after="20"/>
            </w:pPr>
            <w:r>
              <w:rPr>
                <w:sz w:val="16"/>
              </w:rPr>
              <w:t xml:space="preserve">3/6 (50%)</w:t>
            </w:r>
          </w:p>
        </w:tc>
        <w:tc>
          <w:tcPr>
            <w:tcW w:type="dxa" w:w="1139"/>
          </w:tcPr>
          <w:p>
            <w:pPr>
              <w:pStyle w:val="Compact"/>
              <w:spacing w:line="240" w:lineRule="auto" w:before="20" w:after="20"/>
            </w:pPr>
            <w:r>
              <w:rPr>
                <w:sz w:val="16"/>
              </w:rPr>
              <w:t xml:space="preserve">21/29 (72%)</w:t>
            </w:r>
          </w:p>
        </w:tc>
        <w:tc>
          <w:tcPr>
            <w:tcW w:type="dxa" w:w="1139"/>
          </w:tcPr>
          <w:p>
            <w:pPr>
              <w:pStyle w:val="Compact"/>
              <w:spacing w:line="240" w:lineRule="auto" w:before="20" w:after="20"/>
            </w:pPr>
            <w:r>
              <w:rPr>
                <w:sz w:val="16"/>
              </w:rPr>
              <w:t xml:space="preserve">7/9 (78%)</w:t>
            </w:r>
          </w:p>
        </w:tc>
        <w:tc>
          <w:tcPr>
            <w:tcW w:type="dxa" w:w="1139"/>
          </w:tcPr>
          <w:p>
            <w:pPr>
              <w:pStyle w:val="Compact"/>
              <w:spacing w:line="240" w:lineRule="auto" w:before="20" w:after="20"/>
            </w:pPr>
            <w:r>
              <w:rPr>
                <w:sz w:val="16"/>
              </w:rPr>
              <w:t xml:space="preserve">3/5 (60%)</w:t>
            </w:r>
          </w:p>
        </w:tc>
      </w:tr>
      <w:tr>
        <w:trPr>
          <w:cantSplit/>
        </w:trPr>
        <w:tc>
          <w:tcPr>
            <w:tcW w:type="dxa" w:w="1684"/>
          </w:tcPr>
          <w:p>
            <w:pPr>
              <w:pStyle w:val="Compact"/>
              <w:spacing w:line="240" w:lineRule="auto" w:before="20" w:after="20"/>
            </w:pPr>
            <w:r>
              <w:rPr>
                <w:sz w:val="16"/>
              </w:rPr>
              <w:t xml:space="preserve">Whisper base.en</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Qwen3-ASR</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18/19 (95%)</w:t>
            </w:r>
          </w:p>
        </w:tc>
        <w:tc>
          <w:tcPr>
            <w:tcW w:type="dxa" w:w="1139"/>
          </w:tcPr>
          <w:p>
            <w:pPr>
              <w:pStyle w:val="Compact"/>
              <w:spacing w:line="240" w:lineRule="auto" w:before="20" w:after="20"/>
            </w:pPr>
            <w:r>
              <w:rPr>
                <w:sz w:val="16"/>
              </w:rPr>
              <w:t xml:space="preserve">3/6 (50%)</w:t>
            </w:r>
          </w:p>
        </w:tc>
        <w:tc>
          <w:tcPr>
            <w:tcW w:type="dxa" w:w="1139"/>
          </w:tcPr>
          <w:p>
            <w:pPr>
              <w:pStyle w:val="Compact"/>
              <w:spacing w:line="240" w:lineRule="auto" w:before="20" w:after="20"/>
            </w:pPr>
            <w:r>
              <w:rPr>
                <w:sz w:val="16"/>
              </w:rPr>
              <w:t xml:space="preserve">5/6 (83%)</w:t>
            </w:r>
          </w:p>
        </w:tc>
        <w:tc>
          <w:tcPr>
            <w:tcW w:type="dxa" w:w="1139"/>
          </w:tcPr>
          <w:p>
            <w:pPr>
              <w:pStyle w:val="Compact"/>
              <w:spacing w:line="240" w:lineRule="auto" w:before="20" w:after="20"/>
            </w:pPr>
            <w:r>
              <w:rPr>
                <w:sz w:val="16"/>
              </w:rPr>
              <w:t xml:space="preserve">9/29 (31%)</w:t>
            </w:r>
          </w:p>
        </w:tc>
        <w:tc>
          <w:tcPr>
            <w:tcW w:type="dxa" w:w="1139"/>
          </w:tcPr>
          <w:p>
            <w:pPr>
              <w:pStyle w:val="Compact"/>
              <w:spacing w:line="240" w:lineRule="auto" w:before="20" w:after="20"/>
            </w:pPr>
            <w:r>
              <w:rPr>
                <w:sz w:val="16"/>
              </w:rPr>
              <w:t xml:space="preserve">7/9 (78%)</w:t>
            </w:r>
          </w:p>
        </w:tc>
        <w:tc>
          <w:tcPr>
            <w:tcW w:type="dxa" w:w="1139"/>
          </w:tcPr>
          <w:p>
            <w:pPr>
              <w:pStyle w:val="Compact"/>
              <w:spacing w:line="240" w:lineRule="auto" w:before="20" w:after="20"/>
            </w:pPr>
            <w:r>
              <w:rPr>
                <w:sz w:val="16"/>
              </w:rPr>
              <w:t xml:space="preserve">1/5 (20%)</w:t>
            </w:r>
          </w:p>
        </w:tc>
      </w:tr>
      <w:tr>
        <w:trPr>
          <w:cantSplit/>
        </w:trPr>
        <w:tc>
          <w:tcPr>
            <w:tcW w:type="dxa" w:w="1684"/>
          </w:tcPr>
          <w:p>
            <w:pPr>
              <w:pStyle w:val="Compact"/>
              <w:spacing w:line="240" w:lineRule="auto" w:before="20" w:after="20"/>
            </w:pPr>
            <w:r>
              <w:rPr>
                <w:sz w:val="16"/>
              </w:rPr>
              <w:t xml:space="preserve">Parakeet-TDT-0.6b-v2</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18/19 (95%)</w:t>
            </w:r>
          </w:p>
        </w:tc>
        <w:tc>
          <w:tcPr>
            <w:tcW w:type="dxa" w:w="1139"/>
          </w:tcPr>
          <w:p>
            <w:pPr>
              <w:pStyle w:val="Compact"/>
              <w:spacing w:line="240" w:lineRule="auto" w:before="20" w:after="20"/>
            </w:pPr>
            <w:r>
              <w:rPr>
                <w:sz w:val="16"/>
              </w:rPr>
              <w:t xml:space="preserve">5/6 (83%)</w:t>
            </w:r>
          </w:p>
        </w:tc>
        <w:tc>
          <w:tcPr>
            <w:tcW w:type="dxa" w:w="1139"/>
          </w:tcPr>
          <w:p>
            <w:pPr>
              <w:pStyle w:val="Compact"/>
              <w:spacing w:line="240" w:lineRule="auto" w:before="20" w:after="20"/>
            </w:pPr>
            <w:r>
              <w:rPr>
                <w:sz w:val="16"/>
              </w:rPr>
              <w:t xml:space="preserve">5/6 (83%)</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SenseVoice</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SenseVoice (no ITN)</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Paraformer-en</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NeMo FastConformer</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8/9 (89%)</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Nemotron</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Zipformer</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19/19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29/29 (100%)</w:t>
            </w:r>
          </w:p>
        </w:tc>
        <w:tc>
          <w:tcPr>
            <w:tcW w:type="dxa" w:w="1139"/>
          </w:tcPr>
          <w:p>
            <w:pPr>
              <w:pStyle w:val="Compact"/>
              <w:spacing w:line="240" w:lineRule="auto" w:before="20" w:after="20"/>
            </w:pPr>
            <w:r>
              <w:rPr>
                <w:sz w:val="16"/>
              </w:rPr>
              <w:t xml:space="preserve">9/9 (100%)</w:t>
            </w:r>
          </w:p>
        </w:tc>
        <w:tc>
          <w:tcPr>
            <w:tcW w:type="dxa" w:w="1139"/>
          </w:tcPr>
          <w:p>
            <w:pPr>
              <w:pStyle w:val="Compact"/>
              <w:spacing w:line="240" w:lineRule="auto" w:before="20" w:after="20"/>
            </w:pPr>
            <w:r>
              <w:rPr>
                <w:sz w:val="16"/>
              </w:rPr>
              <w:t xml:space="preserve">5/5 (100%)</w:t>
            </w:r>
          </w:p>
        </w:tc>
      </w:tr>
      <w:tr>
        <w:trPr>
          <w:cantSplit/>
        </w:trPr>
        <w:tc>
          <w:tcPr>
            <w:tcW w:type="dxa" w:w="1684"/>
          </w:tcPr>
          <w:p>
            <w:pPr>
              <w:pStyle w:val="Compact"/>
              <w:spacing w:line="240" w:lineRule="auto" w:before="20" w:after="20"/>
            </w:pPr>
            <w:r>
              <w:rPr>
                <w:sz w:val="16"/>
              </w:rPr>
              <w:t xml:space="preserve">MedASR</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1/19 (5%)</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6/6 (100%)</w:t>
            </w:r>
          </w:p>
        </w:tc>
        <w:tc>
          <w:tcPr>
            <w:tcW w:type="dxa" w:w="1139"/>
          </w:tcPr>
          <w:p>
            <w:pPr>
              <w:pStyle w:val="Compact"/>
              <w:spacing w:line="240" w:lineRule="auto" w:before="20" w:after="20"/>
            </w:pPr>
            <w:r>
              <w:rPr>
                <w:sz w:val="16"/>
              </w:rPr>
              <w:t xml:space="preserve">8/29 (28%)</w:t>
            </w:r>
          </w:p>
        </w:tc>
        <w:tc>
          <w:tcPr>
            <w:tcW w:type="dxa" w:w="1139"/>
          </w:tcPr>
          <w:p>
            <w:pPr>
              <w:pStyle w:val="Compact"/>
              <w:spacing w:line="240" w:lineRule="auto" w:before="20" w:after="20"/>
            </w:pPr>
            <w:r>
              <w:rPr>
                <w:sz w:val="16"/>
              </w:rPr>
              <w:t xml:space="preserve">6/9 (67%)</w:t>
            </w:r>
          </w:p>
        </w:tc>
        <w:tc>
          <w:tcPr>
            <w:tcW w:type="dxa" w:w="1139"/>
          </w:tcPr>
          <w:p>
            <w:pPr>
              <w:pStyle w:val="Compact"/>
              <w:spacing w:line="240" w:lineRule="auto" w:before="20" w:after="20"/>
            </w:pPr>
            <w:r>
              <w:rPr>
                <w:sz w:val="16"/>
              </w:rPr>
              <w:t xml:space="preserve">2/5 (40%)</w:t>
            </w:r>
          </w:p>
        </w:tc>
      </w:tr>
      <w:tr>
        <w:trPr>
          <w:cantSplit/>
        </w:trPr>
        <w:tc>
          <w:tcPr>
            <w:tcW w:type="dxa" w:w="1684"/>
          </w:tcPr>
          <w:p>
            <w:pPr>
              <w:pStyle w:val="Compact"/>
              <w:spacing w:line="240" w:lineRule="auto" w:before="20" w:after="20"/>
            </w:pPr>
            <w:r>
              <w:rPr>
                <w:sz w:val="16"/>
              </w:rPr>
              <w:t xml:space="preserve">Azure Speech</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1/19 (5%)</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1/29 (3%)</w:t>
            </w:r>
          </w:p>
        </w:tc>
        <w:tc>
          <w:tcPr>
            <w:tcW w:type="dxa" w:w="1139"/>
          </w:tcPr>
          <w:p>
            <w:pPr>
              <w:pStyle w:val="Compact"/>
              <w:spacing w:line="240" w:lineRule="auto" w:before="20" w:after="20"/>
            </w:pPr>
            <w:r>
              <w:rPr>
                <w:sz w:val="16"/>
              </w:rPr>
              <w:t xml:space="preserve">4/9 (44%)</w:t>
            </w:r>
          </w:p>
        </w:tc>
        <w:tc>
          <w:tcPr>
            <w:tcW w:type="dxa" w:w="1139"/>
          </w:tcPr>
          <w:p>
            <w:pPr>
              <w:pStyle w:val="Compact"/>
              <w:spacing w:line="240" w:lineRule="auto" w:before="20" w:after="20"/>
            </w:pPr>
            <w:r>
              <w:rPr>
                <w:sz w:val="16"/>
              </w:rPr>
              <w:t xml:space="preserve">1/5 (20%)</w:t>
            </w:r>
          </w:p>
        </w:tc>
      </w:tr>
      <w:tr>
        <w:trPr>
          <w:cantSplit/>
        </w:trPr>
        <w:tc>
          <w:tcPr>
            <w:tcW w:type="dxa" w:w="1684"/>
          </w:tcPr>
          <w:p>
            <w:pPr>
              <w:pStyle w:val="Compact"/>
              <w:spacing w:line="240" w:lineRule="auto" w:before="20" w:after="20"/>
            </w:pPr>
            <w:r>
              <w:rPr>
                <w:sz w:val="16"/>
              </w:rPr>
              <w:t xml:space="preserve">Google medical_conversation</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0/19 (0%)</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2/29 (7%)</w:t>
            </w:r>
          </w:p>
        </w:tc>
        <w:tc>
          <w:tcPr>
            <w:tcW w:type="dxa" w:w="1139"/>
          </w:tcPr>
          <w:p>
            <w:pPr>
              <w:pStyle w:val="Compact"/>
              <w:spacing w:line="240" w:lineRule="auto" w:before="20" w:after="20"/>
            </w:pPr>
            <w:r>
              <w:rPr>
                <w:sz w:val="16"/>
              </w:rPr>
              <w:t xml:space="preserve">4/9 (44%)</w:t>
            </w:r>
          </w:p>
        </w:tc>
        <w:tc>
          <w:tcPr>
            <w:tcW w:type="dxa" w:w="1139"/>
          </w:tcPr>
          <w:p>
            <w:pPr>
              <w:pStyle w:val="Compact"/>
              <w:spacing w:line="240" w:lineRule="auto" w:before="20" w:after="20"/>
            </w:pPr>
            <w:r>
              <w:rPr>
                <w:sz w:val="16"/>
              </w:rPr>
              <w:t xml:space="preserve">0/5 (0%)</w:t>
            </w:r>
          </w:p>
        </w:tc>
      </w:tr>
      <w:tr>
        <w:trPr>
          <w:cantSplit/>
        </w:trPr>
        <w:tc>
          <w:tcPr>
            <w:tcW w:type="dxa" w:w="1684"/>
          </w:tcPr>
          <w:p>
            <w:pPr>
              <w:pStyle w:val="Compact"/>
              <w:spacing w:line="240" w:lineRule="auto" w:before="20" w:after="20"/>
            </w:pPr>
            <w:r>
              <w:rPr>
                <w:sz w:val="16"/>
              </w:rPr>
              <w:t xml:space="preserve">Deepgram Nova-2 Medical</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1/19 (5%)</w:t>
            </w:r>
          </w:p>
        </w:tc>
        <w:tc>
          <w:tcPr>
            <w:tcW w:type="dxa" w:w="1139"/>
          </w:tcPr>
          <w:p>
            <w:pPr>
              <w:pStyle w:val="Compact"/>
              <w:spacing w:line="240" w:lineRule="auto" w:before="20" w:after="20"/>
            </w:pPr>
            <w:r>
              <w:rPr>
                <w:sz w:val="16"/>
              </w:rPr>
              <w:t xml:space="preserve">1/6 (17%)</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8/29 (28%)</w:t>
            </w:r>
          </w:p>
        </w:tc>
        <w:tc>
          <w:tcPr>
            <w:tcW w:type="dxa" w:w="1139"/>
          </w:tcPr>
          <w:p>
            <w:pPr>
              <w:pStyle w:val="Compact"/>
              <w:spacing w:line="240" w:lineRule="auto" w:before="20" w:after="20"/>
            </w:pPr>
            <w:r>
              <w:rPr>
                <w:sz w:val="16"/>
              </w:rPr>
              <w:t xml:space="preserve">0/9 (0%)</w:t>
            </w:r>
          </w:p>
        </w:tc>
        <w:tc>
          <w:tcPr>
            <w:tcW w:type="dxa" w:w="1139"/>
          </w:tcPr>
          <w:p>
            <w:pPr>
              <w:pStyle w:val="Compact"/>
              <w:spacing w:line="240" w:lineRule="auto" w:before="20" w:after="20"/>
            </w:pPr>
            <w:r>
              <w:rPr>
                <w:sz w:val="16"/>
              </w:rPr>
              <w:t xml:space="preserve">1/5 (20%)</w:t>
            </w:r>
          </w:p>
        </w:tc>
      </w:tr>
      <w:tr>
        <w:trPr>
          <w:cantSplit/>
        </w:trPr>
        <w:tc>
          <w:tcPr>
            <w:tcW w:type="dxa" w:w="1684"/>
          </w:tcPr>
          <w:p>
            <w:pPr>
              <w:pStyle w:val="Compact"/>
              <w:spacing w:line="240" w:lineRule="auto" w:before="20" w:after="20"/>
            </w:pPr>
            <w:r>
              <w:rPr>
                <w:sz w:val="16"/>
              </w:rPr>
              <w:t xml:space="preserve">AssemblyAI</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1/19 (5%)</w:t>
            </w:r>
          </w:p>
        </w:tc>
        <w:tc>
          <w:tcPr>
            <w:tcW w:type="dxa" w:w="1139"/>
          </w:tcPr>
          <w:p>
            <w:pPr>
              <w:pStyle w:val="Compact"/>
              <w:spacing w:line="240" w:lineRule="auto" w:before="20" w:after="20"/>
            </w:pPr>
            <w:r>
              <w:rPr>
                <w:sz w:val="16"/>
              </w:rPr>
              <w:t xml:space="preserve">1/6 (17%)</w:t>
            </w:r>
          </w:p>
        </w:tc>
        <w:tc>
          <w:tcPr>
            <w:tcW w:type="dxa" w:w="1139"/>
          </w:tcPr>
          <w:p>
            <w:pPr>
              <w:pStyle w:val="Compact"/>
              <w:spacing w:line="240" w:lineRule="auto" w:before="20" w:after="20"/>
            </w:pPr>
            <w:r>
              <w:rPr>
                <w:sz w:val="16"/>
              </w:rPr>
              <w:t xml:space="preserve">2/6 (33%)</w:t>
            </w:r>
          </w:p>
        </w:tc>
        <w:tc>
          <w:tcPr>
            <w:tcW w:type="dxa" w:w="1139"/>
          </w:tcPr>
          <w:p>
            <w:pPr>
              <w:pStyle w:val="Compact"/>
              <w:spacing w:line="240" w:lineRule="auto" w:before="20" w:after="20"/>
            </w:pPr>
            <w:r>
              <w:rPr>
                <w:sz w:val="16"/>
              </w:rPr>
              <w:t xml:space="preserve">1/29 (3%)</w:t>
            </w:r>
          </w:p>
        </w:tc>
        <w:tc>
          <w:tcPr>
            <w:tcW w:type="dxa" w:w="1139"/>
          </w:tcPr>
          <w:p>
            <w:pPr>
              <w:pStyle w:val="Compact"/>
              <w:spacing w:line="240" w:lineRule="auto" w:before="20" w:after="20"/>
            </w:pPr>
            <w:r>
              <w:rPr>
                <w:sz w:val="16"/>
              </w:rPr>
              <w:t xml:space="preserve">0/9 (0%)</w:t>
            </w:r>
          </w:p>
        </w:tc>
        <w:tc>
          <w:tcPr>
            <w:tcW w:type="dxa" w:w="1139"/>
          </w:tcPr>
          <w:p>
            <w:pPr>
              <w:pStyle w:val="Compact"/>
              <w:spacing w:line="240" w:lineRule="auto" w:before="20" w:after="20"/>
            </w:pPr>
            <w:r>
              <w:rPr>
                <w:sz w:val="16"/>
              </w:rPr>
              <w:t xml:space="preserve">0/5 (0%)</w:t>
            </w:r>
          </w:p>
        </w:tc>
      </w:tr>
      <w:tr>
        <w:trPr>
          <w:cantSplit/>
        </w:trPr>
        <w:tc>
          <w:tcPr>
            <w:tcW w:type="dxa" w:w="1684"/>
          </w:tcPr>
          <w:p>
            <w:pPr>
              <w:pStyle w:val="Compact"/>
              <w:spacing w:line="240" w:lineRule="auto" w:before="20" w:after="20"/>
            </w:pPr>
            <w:r>
              <w:rPr>
                <w:sz w:val="16"/>
              </w:rPr>
              <w:t xml:space="preserve">AWS Transcribe Medical</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0/19 (0%)</w:t>
            </w:r>
          </w:p>
        </w:tc>
        <w:tc>
          <w:tcPr>
            <w:tcW w:type="dxa" w:w="1139"/>
          </w:tcPr>
          <w:p>
            <w:pPr>
              <w:pStyle w:val="Compact"/>
              <w:spacing w:line="240" w:lineRule="auto" w:before="20" w:after="20"/>
            </w:pPr>
            <w:r>
              <w:rPr>
                <w:sz w:val="16"/>
              </w:rPr>
              <w:t xml:space="preserve">1/6 (17%)</w:t>
            </w:r>
          </w:p>
        </w:tc>
        <w:tc>
          <w:tcPr>
            <w:tcW w:type="dxa" w:w="1139"/>
          </w:tcPr>
          <w:p>
            <w:pPr>
              <w:pStyle w:val="Compact"/>
              <w:spacing w:line="240" w:lineRule="auto" w:before="20" w:after="20"/>
            </w:pPr>
            <w:r>
              <w:rPr>
                <w:sz w:val="16"/>
              </w:rPr>
              <w:t xml:space="preserve">1/6 (17%)</w:t>
            </w:r>
          </w:p>
        </w:tc>
        <w:tc>
          <w:tcPr>
            <w:tcW w:type="dxa" w:w="1139"/>
          </w:tcPr>
          <w:p>
            <w:pPr>
              <w:pStyle w:val="Compact"/>
              <w:spacing w:line="240" w:lineRule="auto" w:before="20" w:after="20"/>
            </w:pPr>
            <w:r>
              <w:rPr>
                <w:sz w:val="16"/>
              </w:rPr>
              <w:t xml:space="preserve">0/29 (0%)</w:t>
            </w:r>
          </w:p>
        </w:tc>
        <w:tc>
          <w:tcPr>
            <w:tcW w:type="dxa" w:w="1139"/>
          </w:tcPr>
          <w:p>
            <w:pPr>
              <w:pStyle w:val="Compact"/>
              <w:spacing w:line="240" w:lineRule="auto" w:before="20" w:after="20"/>
            </w:pPr>
            <w:r>
              <w:rPr>
                <w:sz w:val="16"/>
              </w:rPr>
              <w:t xml:space="preserve">0/9 (0%)</w:t>
            </w:r>
          </w:p>
        </w:tc>
        <w:tc>
          <w:tcPr>
            <w:tcW w:type="dxa" w:w="1139"/>
          </w:tcPr>
          <w:p>
            <w:pPr>
              <w:pStyle w:val="Compact"/>
              <w:spacing w:line="240" w:lineRule="auto" w:before="20" w:after="20"/>
            </w:pPr>
            <w:r>
              <w:rPr>
                <w:sz w:val="16"/>
              </w:rPr>
              <w:t xml:space="preserve">0/5 (0%)</w:t>
            </w:r>
          </w:p>
        </w:tc>
      </w:tr>
      <w:tr>
        <w:trPr>
          <w:cantSplit/>
        </w:trPr>
        <w:tc>
          <w:tcPr>
            <w:tcW w:type="dxa" w:w="1684"/>
          </w:tcPr>
          <w:p>
            <w:pPr>
              <w:pStyle w:val="Compact"/>
              <w:spacing w:line="240" w:lineRule="auto" w:before="20" w:after="20"/>
            </w:pPr>
            <w:r>
              <w:rPr>
                <w:sz w:val="16"/>
              </w:rPr>
              <w:t xml:space="preserve">All on-device (pooled)</w:t>
            </w:r>
          </w:p>
        </w:tc>
        <w:tc>
          <w:tcPr>
            <w:tcW w:type="dxa" w:w="842"/>
          </w:tcPr>
          <w:p>
            <w:pPr>
              <w:pStyle w:val="Compact"/>
              <w:spacing w:line="240" w:lineRule="auto" w:before="20" w:after="20"/>
            </w:pPr>
            <w:r>
              <w:rPr>
                <w:sz w:val="16"/>
              </w:rPr>
              <w:t xml:space="preserve">On-device</w:t>
            </w:r>
          </w:p>
        </w:tc>
        <w:tc>
          <w:tcPr>
            <w:tcW w:type="dxa" w:w="1139"/>
          </w:tcPr>
          <w:p>
            <w:pPr>
              <w:pStyle w:val="Compact"/>
              <w:spacing w:line="240" w:lineRule="auto" w:before="20" w:after="20"/>
            </w:pPr>
            <w:r>
              <w:rPr>
                <w:sz w:val="16"/>
              </w:rPr>
              <w:t xml:space="preserve">195/228 (86%)</w:t>
            </w:r>
          </w:p>
        </w:tc>
        <w:tc>
          <w:tcPr>
            <w:tcW w:type="dxa" w:w="1139"/>
          </w:tcPr>
          <w:p>
            <w:pPr>
              <w:pStyle w:val="Compact"/>
              <w:spacing w:line="240" w:lineRule="auto" w:before="20" w:after="20"/>
            </w:pPr>
            <w:r>
              <w:rPr>
                <w:sz w:val="16"/>
              </w:rPr>
              <w:t xml:space="preserve">66/72 (92%)</w:t>
            </w:r>
          </w:p>
        </w:tc>
        <w:tc>
          <w:tcPr>
            <w:tcW w:type="dxa" w:w="1139"/>
          </w:tcPr>
          <w:p>
            <w:pPr>
              <w:pStyle w:val="Compact"/>
              <w:spacing w:line="240" w:lineRule="auto" w:before="20" w:after="20"/>
            </w:pPr>
            <w:r>
              <w:rPr>
                <w:sz w:val="16"/>
              </w:rPr>
              <w:t xml:space="preserve">67/72 (93%)</w:t>
            </w:r>
          </w:p>
        </w:tc>
        <w:tc>
          <w:tcPr>
            <w:tcW w:type="dxa" w:w="1139"/>
          </w:tcPr>
          <w:p>
            <w:pPr>
              <w:pStyle w:val="Compact"/>
              <w:spacing w:line="240" w:lineRule="auto" w:before="20" w:after="20"/>
            </w:pPr>
            <w:r>
              <w:rPr>
                <w:sz w:val="16"/>
              </w:rPr>
              <w:t xml:space="preserve">299/348 (86%)</w:t>
            </w:r>
          </w:p>
        </w:tc>
        <w:tc>
          <w:tcPr>
            <w:tcW w:type="dxa" w:w="1139"/>
          </w:tcPr>
          <w:p>
            <w:pPr>
              <w:pStyle w:val="Compact"/>
              <w:spacing w:line="240" w:lineRule="auto" w:before="20" w:after="20"/>
            </w:pPr>
            <w:r>
              <w:rPr>
                <w:sz w:val="16"/>
              </w:rPr>
              <w:t xml:space="preserve">99/108 (92%)</w:t>
            </w:r>
          </w:p>
        </w:tc>
        <w:tc>
          <w:tcPr>
            <w:tcW w:type="dxa" w:w="1139"/>
          </w:tcPr>
          <w:p>
            <w:pPr>
              <w:pStyle w:val="Compact"/>
              <w:spacing w:line="240" w:lineRule="auto" w:before="20" w:after="20"/>
            </w:pPr>
            <w:r>
              <w:rPr>
                <w:sz w:val="16"/>
              </w:rPr>
              <w:t xml:space="preserve">51/60 (85%)</w:t>
            </w:r>
          </w:p>
        </w:tc>
      </w:tr>
      <w:tr>
        <w:trPr>
          <w:cantSplit/>
        </w:trPr>
        <w:tc>
          <w:tcPr>
            <w:tcW w:type="dxa" w:w="1684"/>
          </w:tcPr>
          <w:p>
            <w:pPr>
              <w:pStyle w:val="Compact"/>
              <w:spacing w:line="240" w:lineRule="auto" w:before="20" w:after="20"/>
            </w:pPr>
            <w:r>
              <w:rPr>
                <w:sz w:val="16"/>
              </w:rPr>
              <w:t xml:space="preserve">All cloud (pooled)</w:t>
            </w:r>
          </w:p>
        </w:tc>
        <w:tc>
          <w:tcPr>
            <w:tcW w:type="dxa" w:w="842"/>
          </w:tcPr>
          <w:p>
            <w:pPr>
              <w:pStyle w:val="Compact"/>
              <w:spacing w:line="240" w:lineRule="auto" w:before="20" w:after="20"/>
            </w:pPr>
            <w:r>
              <w:rPr>
                <w:sz w:val="16"/>
              </w:rPr>
              <w:t xml:space="preserve">Cloud</w:t>
            </w:r>
          </w:p>
        </w:tc>
        <w:tc>
          <w:tcPr>
            <w:tcW w:type="dxa" w:w="1139"/>
          </w:tcPr>
          <w:p>
            <w:pPr>
              <w:pStyle w:val="Compact"/>
              <w:spacing w:line="240" w:lineRule="auto" w:before="20" w:after="20"/>
            </w:pPr>
            <w:r>
              <w:rPr>
                <w:sz w:val="16"/>
              </w:rPr>
              <w:t xml:space="preserve">3/95 (3%)</w:t>
            </w:r>
          </w:p>
        </w:tc>
        <w:tc>
          <w:tcPr>
            <w:tcW w:type="dxa" w:w="1139"/>
          </w:tcPr>
          <w:p>
            <w:pPr>
              <w:pStyle w:val="Compact"/>
              <w:spacing w:line="240" w:lineRule="auto" w:before="20" w:after="20"/>
            </w:pPr>
            <w:r>
              <w:rPr>
                <w:sz w:val="16"/>
              </w:rPr>
              <w:t xml:space="preserve">7/30 (23%)</w:t>
            </w:r>
          </w:p>
        </w:tc>
        <w:tc>
          <w:tcPr>
            <w:tcW w:type="dxa" w:w="1139"/>
          </w:tcPr>
          <w:p>
            <w:pPr>
              <w:pStyle w:val="Compact"/>
              <w:spacing w:line="240" w:lineRule="auto" w:before="20" w:after="20"/>
            </w:pPr>
            <w:r>
              <w:rPr>
                <w:sz w:val="16"/>
              </w:rPr>
              <w:t xml:space="preserve">9/30 (30%)</w:t>
            </w:r>
          </w:p>
        </w:tc>
        <w:tc>
          <w:tcPr>
            <w:tcW w:type="dxa" w:w="1139"/>
          </w:tcPr>
          <w:p>
            <w:pPr>
              <w:pStyle w:val="Compact"/>
              <w:spacing w:line="240" w:lineRule="auto" w:before="20" w:after="20"/>
            </w:pPr>
            <w:r>
              <w:rPr>
                <w:sz w:val="16"/>
              </w:rPr>
              <w:t xml:space="preserve">12/145 (8%)</w:t>
            </w:r>
          </w:p>
        </w:tc>
        <w:tc>
          <w:tcPr>
            <w:tcW w:type="dxa" w:w="1139"/>
          </w:tcPr>
          <w:p>
            <w:pPr>
              <w:pStyle w:val="Compact"/>
              <w:spacing w:line="240" w:lineRule="auto" w:before="20" w:after="20"/>
            </w:pPr>
            <w:r>
              <w:rPr>
                <w:sz w:val="16"/>
              </w:rPr>
              <w:t xml:space="preserve">8/45 (18%)</w:t>
            </w:r>
          </w:p>
        </w:tc>
        <w:tc>
          <w:tcPr>
            <w:tcW w:type="dxa" w:w="1139"/>
          </w:tcPr>
          <w:p>
            <w:pPr>
              <w:pStyle w:val="Compact"/>
              <w:spacing w:line="240" w:lineRule="auto" w:before="20" w:after="20"/>
            </w:pPr>
            <w:r>
              <w:rPr>
                <w:sz w:val="16"/>
              </w:rPr>
              <w:t xml:space="preserve">2/25 (8%)</w:t>
            </w:r>
          </w:p>
        </w:tc>
      </w:tr>
    </w:tbl>
    <w:bookmarkEnd w:id="15"/>
    <w:bookmarkEnd w:id="16"/>
    <w:sectPr>
      <w:footerReference w:type="default" r:id="rId9"/>
      <w:footnotePr>
        <w:numRestart w:val="eachSect"/>
      </w:footnotePr>
      <w:pgSz w:w="12240" w:h="15840"/>
      <w:pgMar w:left="1440" w:right="1440" w:top="1440" w:bottom="1440"/>
      <w:lnNumType w:countBy="1" w:restart="continuous" w:distance="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2026-08-24T12:50:49Z</dcterms:created>
  <dcterms:modified xsi:type="dcterms:W3CDTF">2026-08-24T12:50:49Z</dcterms:modified>
</cp:coreProperties>
</file>

<file path=docProps/custom.xml><?xml version="1.0" encoding="utf-8"?>
<Properties xmlns="http://schemas.openxmlformats.org/officeDocument/2006/custom-properties" xmlns:vt="http://schemas.openxmlformats.org/officeDocument/2006/docPropsVTypes"/>
</file>